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B2B" w:rsidRDefault="00CB7B2B" w:rsidP="00EC1DB8">
      <w:pPr>
        <w:spacing w:line="240" w:lineRule="auto"/>
        <w:rPr>
          <w:b/>
        </w:rPr>
      </w:pPr>
      <w:r>
        <w:rPr>
          <w:b/>
        </w:rPr>
        <w:t>THE CINEMAS PROJECT</w:t>
      </w:r>
    </w:p>
    <w:p w:rsidR="00CB7B2B" w:rsidRPr="00CB7B2B" w:rsidRDefault="00CB7B2B" w:rsidP="00EC1DB8">
      <w:pPr>
        <w:spacing w:line="240" w:lineRule="auto"/>
        <w:rPr>
          <w:b/>
        </w:rPr>
      </w:pPr>
      <w:r w:rsidRPr="00CB7B2B">
        <w:rPr>
          <w:b/>
        </w:rPr>
        <w:t>EXPLORING THE SPECTRAL SPACES OF CINEMAS IN REGIONAL VICTORIA</w:t>
      </w:r>
    </w:p>
    <w:p w:rsidR="00CB7B2B" w:rsidRDefault="00CB7B2B" w:rsidP="00EC1DB8">
      <w:pPr>
        <w:spacing w:line="240" w:lineRule="auto"/>
      </w:pPr>
    </w:p>
    <w:p w:rsidR="00EC1DB8" w:rsidRPr="00CB7B2B" w:rsidRDefault="00CB7B2B" w:rsidP="00EC1DB8">
      <w:pPr>
        <w:spacing w:line="240" w:lineRule="auto"/>
        <w:rPr>
          <w:i/>
        </w:rPr>
      </w:pPr>
      <w:r w:rsidRPr="00CB7B2B">
        <w:rPr>
          <w:i/>
        </w:rPr>
        <w:t>The Cinemas Project Book</w:t>
      </w:r>
    </w:p>
    <w:p w:rsidR="00CB7B2B" w:rsidRDefault="00CB7B2B" w:rsidP="00EC1DB8">
      <w:pPr>
        <w:spacing w:line="240" w:lineRule="auto"/>
      </w:pPr>
    </w:p>
    <w:p w:rsidR="00CB7B2B" w:rsidRDefault="00CB7B2B" w:rsidP="00CB7B2B">
      <w:pPr>
        <w:pStyle w:val="NormalWeb"/>
        <w:spacing w:beforeLines="0" w:afterLines="0"/>
        <w:rPr>
          <w:rFonts w:ascii="Helvetica" w:hAnsi="Helvetica" w:cstheme="minorBidi"/>
          <w:sz w:val="22"/>
          <w:szCs w:val="24"/>
        </w:rPr>
      </w:pPr>
      <w:r>
        <w:rPr>
          <w:rFonts w:ascii="Helvetica" w:hAnsi="Helvetica" w:cstheme="minorBidi"/>
          <w:sz w:val="22"/>
          <w:szCs w:val="24"/>
        </w:rPr>
        <w:t xml:space="preserve">CONTRIBUTORS: </w:t>
      </w:r>
      <w:r w:rsidRPr="00D668AC">
        <w:rPr>
          <w:rFonts w:ascii="Helvetica" w:hAnsi="Helvetica" w:cstheme="minorBidi"/>
          <w:b/>
          <w:sz w:val="22"/>
          <w:szCs w:val="24"/>
        </w:rPr>
        <w:t>Ian Christie</w:t>
      </w:r>
      <w:r w:rsidRPr="00EE3E52">
        <w:rPr>
          <w:rFonts w:ascii="Helvetica" w:hAnsi="Helvetica" w:cstheme="minorBidi"/>
          <w:sz w:val="22"/>
          <w:szCs w:val="24"/>
        </w:rPr>
        <w:t>, Anniversary Professor</w:t>
      </w:r>
      <w:r w:rsidRPr="00EE3E52">
        <w:rPr>
          <w:rFonts w:ascii="Arial" w:hAnsi="Arial"/>
          <w:sz w:val="18"/>
          <w:szCs w:val="18"/>
        </w:rPr>
        <w:t xml:space="preserve"> </w:t>
      </w:r>
      <w:r w:rsidRPr="00EE3E52">
        <w:rPr>
          <w:rFonts w:ascii="Helvetica" w:hAnsi="Helvetica" w:cstheme="minorBidi"/>
          <w:sz w:val="22"/>
          <w:szCs w:val="24"/>
        </w:rPr>
        <w:t>of Film and Media History at </w:t>
      </w:r>
      <w:proofErr w:type="spellStart"/>
      <w:r w:rsidRPr="00EE3E52">
        <w:rPr>
          <w:rFonts w:ascii="Helvetica" w:hAnsi="Helvetica" w:cstheme="minorBidi"/>
          <w:sz w:val="22"/>
          <w:szCs w:val="24"/>
        </w:rPr>
        <w:t>Birkbeck</w:t>
      </w:r>
      <w:proofErr w:type="spellEnd"/>
      <w:r w:rsidRPr="00EE3E52">
        <w:rPr>
          <w:rFonts w:ascii="Helvetica" w:hAnsi="Helvetica" w:cstheme="minorBidi"/>
          <w:sz w:val="22"/>
          <w:szCs w:val="24"/>
        </w:rPr>
        <w:t xml:space="preserve"> College, University of London</w:t>
      </w:r>
      <w:r>
        <w:rPr>
          <w:rFonts w:ascii="Helvetica" w:hAnsi="Helvetica" w:cstheme="minorBidi"/>
          <w:sz w:val="22"/>
          <w:szCs w:val="24"/>
        </w:rPr>
        <w:t xml:space="preserve"> and </w:t>
      </w:r>
      <w:r w:rsidRPr="00EE3E52">
        <w:rPr>
          <w:rFonts w:ascii="Helvetica" w:hAnsi="Helvetica" w:cstheme="minorBidi"/>
          <w:sz w:val="22"/>
          <w:szCs w:val="24"/>
        </w:rPr>
        <w:t>film historian, curator and broadcaster</w:t>
      </w:r>
      <w:r>
        <w:rPr>
          <w:rFonts w:ascii="Helvetica" w:hAnsi="Helvetica" w:cstheme="minorBidi"/>
          <w:sz w:val="22"/>
          <w:szCs w:val="24"/>
        </w:rPr>
        <w:t xml:space="preserve">; </w:t>
      </w:r>
      <w:r w:rsidRPr="00D668AC">
        <w:rPr>
          <w:rFonts w:ascii="Helvetica" w:hAnsi="Helvetica" w:cstheme="minorBidi"/>
          <w:b/>
          <w:sz w:val="22"/>
          <w:szCs w:val="24"/>
        </w:rPr>
        <w:t>Bridget Crone</w:t>
      </w:r>
      <w:r>
        <w:rPr>
          <w:rFonts w:ascii="Helvetica" w:hAnsi="Helvetica" w:cstheme="minorBidi"/>
          <w:sz w:val="22"/>
          <w:szCs w:val="24"/>
        </w:rPr>
        <w:t xml:space="preserve">, curator, </w:t>
      </w:r>
      <w:r w:rsidRPr="00D668AC">
        <w:rPr>
          <w:rFonts w:ascii="Helvetica" w:hAnsi="Helvetica" w:cstheme="minorBidi"/>
          <w:i/>
          <w:sz w:val="22"/>
          <w:szCs w:val="24"/>
        </w:rPr>
        <w:t>The Cinemas Project</w:t>
      </w:r>
      <w:r>
        <w:rPr>
          <w:rFonts w:ascii="Helvetica" w:hAnsi="Helvetica" w:cstheme="minorBidi"/>
          <w:sz w:val="22"/>
          <w:szCs w:val="24"/>
        </w:rPr>
        <w:t xml:space="preserve">; </w:t>
      </w:r>
      <w:r w:rsidRPr="00D668AC">
        <w:rPr>
          <w:rFonts w:ascii="Helvetica" w:hAnsi="Helvetica" w:cstheme="minorBidi"/>
          <w:b/>
          <w:sz w:val="22"/>
          <w:szCs w:val="24"/>
        </w:rPr>
        <w:t>Adrian Martin</w:t>
      </w:r>
      <w:r w:rsidRPr="00EE3E52">
        <w:rPr>
          <w:rFonts w:ascii="Helvetica" w:hAnsi="Helvetica" w:cstheme="minorBidi"/>
          <w:sz w:val="22"/>
          <w:szCs w:val="24"/>
        </w:rPr>
        <w:t>, Professor of Fi</w:t>
      </w:r>
      <w:r>
        <w:rPr>
          <w:rFonts w:ascii="Helvetica" w:hAnsi="Helvetica" w:cstheme="minorBidi"/>
          <w:sz w:val="22"/>
          <w:szCs w:val="24"/>
        </w:rPr>
        <w:t>lm Studies at Goethe University, Frankfurt</w:t>
      </w:r>
      <w:r w:rsidRPr="00EE3E52">
        <w:rPr>
          <w:rFonts w:ascii="Helvetica" w:hAnsi="Helvetica" w:cstheme="minorBidi"/>
          <w:sz w:val="22"/>
          <w:szCs w:val="24"/>
        </w:rPr>
        <w:t xml:space="preserve"> and</w:t>
      </w:r>
      <w:r>
        <w:rPr>
          <w:rFonts w:ascii="Geneva" w:hAnsi="Geneva" w:cs="Geneva"/>
          <w:sz w:val="32"/>
          <w:szCs w:val="32"/>
          <w:lang w:val="en-US"/>
        </w:rPr>
        <w:t xml:space="preserve"> </w:t>
      </w:r>
      <w:proofErr w:type="spellStart"/>
      <w:r>
        <w:rPr>
          <w:rFonts w:ascii="Helvetica" w:hAnsi="Helvetica" w:cstheme="minorBidi"/>
          <w:sz w:val="22"/>
          <w:szCs w:val="24"/>
        </w:rPr>
        <w:t>Monash</w:t>
      </w:r>
      <w:proofErr w:type="spellEnd"/>
      <w:r>
        <w:rPr>
          <w:rFonts w:ascii="Helvetica" w:hAnsi="Helvetica" w:cstheme="minorBidi"/>
          <w:sz w:val="22"/>
          <w:szCs w:val="24"/>
        </w:rPr>
        <w:t xml:space="preserve"> University, Melbourne;</w:t>
      </w:r>
      <w:r w:rsidRPr="00D668AC">
        <w:rPr>
          <w:rFonts w:ascii="Helvetica" w:hAnsi="Helvetica" w:cstheme="minorBidi"/>
          <w:b/>
          <w:sz w:val="22"/>
          <w:szCs w:val="24"/>
        </w:rPr>
        <w:t xml:space="preserve"> Sam Nightingale</w:t>
      </w:r>
      <w:r>
        <w:rPr>
          <w:rFonts w:ascii="Helvetica" w:hAnsi="Helvetica" w:cstheme="minorBidi"/>
          <w:sz w:val="22"/>
          <w:szCs w:val="24"/>
        </w:rPr>
        <w:t xml:space="preserve">, artist and researcher; </w:t>
      </w:r>
      <w:r w:rsidRPr="00D668AC">
        <w:rPr>
          <w:rFonts w:ascii="Helvetica" w:hAnsi="Helvetica" w:cstheme="minorBidi"/>
          <w:b/>
          <w:sz w:val="22"/>
          <w:szCs w:val="24"/>
        </w:rPr>
        <w:t xml:space="preserve">Brook Andrew, </w:t>
      </w:r>
      <w:proofErr w:type="spellStart"/>
      <w:r w:rsidRPr="00D668AC">
        <w:rPr>
          <w:rFonts w:ascii="Helvetica" w:hAnsi="Helvetica" w:cstheme="minorBidi"/>
          <w:b/>
          <w:sz w:val="22"/>
          <w:szCs w:val="24"/>
        </w:rPr>
        <w:t>Mikala</w:t>
      </w:r>
      <w:proofErr w:type="spellEnd"/>
      <w:r w:rsidRPr="00D668AC">
        <w:rPr>
          <w:rFonts w:ascii="Helvetica" w:hAnsi="Helvetica" w:cstheme="minorBidi"/>
          <w:b/>
          <w:sz w:val="22"/>
          <w:szCs w:val="24"/>
        </w:rPr>
        <w:t xml:space="preserve"> Dwyer, Bianca Hester, Lily </w:t>
      </w:r>
      <w:proofErr w:type="spellStart"/>
      <w:r w:rsidRPr="00D668AC">
        <w:rPr>
          <w:rFonts w:ascii="Helvetica" w:hAnsi="Helvetica" w:cstheme="minorBidi"/>
          <w:b/>
          <w:sz w:val="22"/>
          <w:szCs w:val="24"/>
        </w:rPr>
        <w:t>Hibberd</w:t>
      </w:r>
      <w:proofErr w:type="spellEnd"/>
      <w:r>
        <w:rPr>
          <w:rFonts w:ascii="Helvetica" w:hAnsi="Helvetica" w:cstheme="minorBidi"/>
          <w:sz w:val="22"/>
          <w:szCs w:val="24"/>
        </w:rPr>
        <w:t xml:space="preserve"> and </w:t>
      </w:r>
      <w:r w:rsidRPr="00D668AC">
        <w:rPr>
          <w:rFonts w:ascii="Helvetica" w:hAnsi="Helvetica" w:cstheme="minorBidi"/>
          <w:b/>
          <w:sz w:val="22"/>
          <w:szCs w:val="24"/>
        </w:rPr>
        <w:t>Tom Nicholson</w:t>
      </w:r>
      <w:r>
        <w:rPr>
          <w:rFonts w:ascii="Helvetica" w:hAnsi="Helvetica" w:cstheme="minorBidi"/>
          <w:sz w:val="22"/>
          <w:szCs w:val="24"/>
        </w:rPr>
        <w:t xml:space="preserve">, commissioned artists. </w:t>
      </w:r>
    </w:p>
    <w:p w:rsidR="00CB7B2B" w:rsidRDefault="00CB7B2B" w:rsidP="00CB7B2B">
      <w:pPr>
        <w:pStyle w:val="NormalWeb"/>
        <w:spacing w:beforeLines="0" w:afterLines="0"/>
        <w:rPr>
          <w:rFonts w:ascii="Helvetica" w:hAnsi="Helvetica" w:cstheme="minorBidi"/>
          <w:sz w:val="22"/>
          <w:szCs w:val="24"/>
        </w:rPr>
      </w:pPr>
    </w:p>
    <w:p w:rsidR="00CB7B2B" w:rsidRPr="0014471D" w:rsidRDefault="00CB7B2B" w:rsidP="00CB7B2B">
      <w:pPr>
        <w:pStyle w:val="Body1"/>
        <w:spacing w:line="240" w:lineRule="auto"/>
        <w:rPr>
          <w:b/>
          <w:sz w:val="20"/>
        </w:rPr>
      </w:pPr>
      <w:r>
        <w:rPr>
          <w:b/>
          <w:sz w:val="20"/>
        </w:rPr>
        <w:t>188</w:t>
      </w:r>
      <w:r w:rsidRPr="0014471D">
        <w:rPr>
          <w:b/>
          <w:sz w:val="20"/>
        </w:rPr>
        <w:t xml:space="preserve">pp., soft cover with </w:t>
      </w:r>
      <w:r>
        <w:rPr>
          <w:rFonts w:eastAsiaTheme="minorHAnsi" w:cs="Helvetica"/>
          <w:b/>
          <w:color w:val="auto"/>
          <w:sz w:val="20"/>
          <w:szCs w:val="22"/>
          <w:lang w:val="en-US"/>
        </w:rPr>
        <w:t>40</w:t>
      </w:r>
      <w:r w:rsidRPr="0014471D">
        <w:rPr>
          <w:rFonts w:eastAsiaTheme="minorHAnsi" w:cs="Helvetica"/>
          <w:b/>
          <w:color w:val="auto"/>
          <w:sz w:val="20"/>
          <w:szCs w:val="22"/>
          <w:lang w:val="en-US"/>
        </w:rPr>
        <w:t xml:space="preserve"> full-</w:t>
      </w:r>
      <w:proofErr w:type="spellStart"/>
      <w:r w:rsidRPr="0014471D">
        <w:rPr>
          <w:rFonts w:eastAsiaTheme="minorHAnsi" w:cs="Helvetica"/>
          <w:b/>
          <w:color w:val="auto"/>
          <w:sz w:val="20"/>
          <w:szCs w:val="22"/>
          <w:lang w:val="en-US"/>
        </w:rPr>
        <w:t>colour</w:t>
      </w:r>
      <w:proofErr w:type="spellEnd"/>
      <w:r w:rsidRPr="0014471D">
        <w:rPr>
          <w:rFonts w:eastAsiaTheme="minorHAnsi" w:cs="Helvetica"/>
          <w:b/>
          <w:color w:val="auto"/>
          <w:sz w:val="20"/>
          <w:szCs w:val="22"/>
          <w:lang w:val="en-US"/>
        </w:rPr>
        <w:t xml:space="preserve"> </w:t>
      </w:r>
      <w:r>
        <w:rPr>
          <w:rFonts w:eastAsiaTheme="minorHAnsi" w:cs="Helvetica"/>
          <w:b/>
          <w:color w:val="auto"/>
          <w:sz w:val="20"/>
          <w:szCs w:val="22"/>
          <w:lang w:val="en-US"/>
        </w:rPr>
        <w:t xml:space="preserve">and </w:t>
      </w:r>
      <w:r w:rsidRPr="0014471D">
        <w:rPr>
          <w:rFonts w:eastAsiaTheme="minorHAnsi" w:cs="Helvetica"/>
          <w:b/>
          <w:color w:val="auto"/>
          <w:sz w:val="20"/>
          <w:szCs w:val="22"/>
          <w:lang w:val="en-US"/>
        </w:rPr>
        <w:t>10 black and white illustrations</w:t>
      </w:r>
      <w:r w:rsidR="00CA60C3">
        <w:rPr>
          <w:rFonts w:eastAsiaTheme="minorHAnsi" w:cs="Helvetica"/>
          <w:b/>
          <w:color w:val="auto"/>
          <w:sz w:val="20"/>
          <w:szCs w:val="22"/>
          <w:lang w:val="en-US"/>
        </w:rPr>
        <w:t>.</w:t>
      </w:r>
    </w:p>
    <w:p w:rsidR="00CA60C3" w:rsidRDefault="00CB7B2B" w:rsidP="00CB7B2B">
      <w:pPr>
        <w:pStyle w:val="Body1"/>
        <w:spacing w:line="240" w:lineRule="auto"/>
        <w:rPr>
          <w:b/>
          <w:sz w:val="20"/>
        </w:rPr>
      </w:pPr>
      <w:r w:rsidRPr="0014471D">
        <w:rPr>
          <w:b/>
          <w:sz w:val="20"/>
        </w:rPr>
        <w:t xml:space="preserve">Published by </w:t>
      </w:r>
      <w:r>
        <w:rPr>
          <w:b/>
          <w:sz w:val="20"/>
        </w:rPr>
        <w:t>National Exhibitions Touring Support (NETS) Victoria, 2014</w:t>
      </w:r>
      <w:r w:rsidRPr="0014471D">
        <w:rPr>
          <w:b/>
          <w:sz w:val="20"/>
        </w:rPr>
        <w:t>.</w:t>
      </w:r>
    </w:p>
    <w:p w:rsidR="00CB7B2B" w:rsidRPr="0014471D" w:rsidRDefault="00CA60C3" w:rsidP="00CB7B2B">
      <w:pPr>
        <w:pStyle w:val="Body1"/>
        <w:spacing w:line="240" w:lineRule="auto"/>
        <w:rPr>
          <w:b/>
          <w:sz w:val="20"/>
        </w:rPr>
      </w:pPr>
      <w:r>
        <w:rPr>
          <w:b/>
          <w:sz w:val="20"/>
        </w:rPr>
        <w:t>Edited by Bridget Crone.</w:t>
      </w:r>
    </w:p>
    <w:p w:rsidR="00CB7B2B" w:rsidRPr="00CB7B2B" w:rsidRDefault="00CB7B2B" w:rsidP="00CB7B2B">
      <w:pPr>
        <w:pStyle w:val="Body1"/>
        <w:spacing w:line="240" w:lineRule="auto"/>
        <w:rPr>
          <w:b/>
          <w:sz w:val="20"/>
        </w:rPr>
      </w:pPr>
      <w:r w:rsidRPr="0014471D">
        <w:rPr>
          <w:b/>
          <w:sz w:val="20"/>
        </w:rPr>
        <w:t xml:space="preserve">ISBN: </w:t>
      </w:r>
      <w:r>
        <w:rPr>
          <w:b/>
          <w:sz w:val="20"/>
        </w:rPr>
        <w:t>978-0-9802977-0-6</w:t>
      </w:r>
    </w:p>
    <w:p w:rsidR="00EC1DB8" w:rsidRDefault="00EC1DB8" w:rsidP="00EC1DB8">
      <w:pPr>
        <w:spacing w:line="240" w:lineRule="auto"/>
      </w:pPr>
    </w:p>
    <w:p w:rsidR="00FB3B80" w:rsidRDefault="00EC1DB8" w:rsidP="00EC1DB8">
      <w:pPr>
        <w:spacing w:line="240" w:lineRule="auto"/>
      </w:pPr>
      <w:r>
        <w:t xml:space="preserve">To celebrate the culmination of </w:t>
      </w:r>
      <w:r w:rsidR="00FB3B80">
        <w:t>the</w:t>
      </w:r>
      <w:r>
        <w:t xml:space="preserve"> first iteration of </w:t>
      </w:r>
      <w:r w:rsidRPr="00EC1DB8">
        <w:rPr>
          <w:i/>
        </w:rPr>
        <w:t>The Cinemas Project</w:t>
      </w:r>
      <w:r>
        <w:t xml:space="preserve">, we are publishing a book that catalogues the </w:t>
      </w:r>
      <w:r w:rsidR="00FB3B80">
        <w:t xml:space="preserve">commissioned </w:t>
      </w:r>
      <w:r>
        <w:t>artists’ work as well as highlight</w:t>
      </w:r>
      <w:r w:rsidR="00FB3B80">
        <w:t>ing</w:t>
      </w:r>
      <w:r>
        <w:t xml:space="preserve"> some of the sites of cinema that we </w:t>
      </w:r>
      <w:r w:rsidR="00FB3B80">
        <w:t xml:space="preserve">have </w:t>
      </w:r>
      <w:r>
        <w:t xml:space="preserve">visited across regional Victoria. The book contains essays on the work of Brook Andrew and Mikala Dwyer, as well as extensive interviews with Tom Nicholson and Bianca Hester regarding their work that was produced for </w:t>
      </w:r>
      <w:r w:rsidR="00FB3B80" w:rsidRPr="00FB3B80">
        <w:rPr>
          <w:i/>
        </w:rPr>
        <w:t>The Cinemas Project</w:t>
      </w:r>
      <w:r>
        <w:t>. We are delighted that the book also contains</w:t>
      </w:r>
      <w:r w:rsidR="00FB3B80">
        <w:t xml:space="preserve"> essays by renowned cinema historians Adrian Martin and Ian Christie, alongside</w:t>
      </w:r>
      <w:r>
        <w:t xml:space="preserve"> </w:t>
      </w:r>
      <w:r w:rsidR="00FB3B80">
        <w:t xml:space="preserve">artist Sam Nightingale’s evocative photo-essay that presents the sites of cinema as they appear today. Finally, we are thrilled to present </w:t>
      </w:r>
      <w:r>
        <w:t xml:space="preserve">the complete script for Lily </w:t>
      </w:r>
      <w:proofErr w:type="spellStart"/>
      <w:r>
        <w:t>Hibberd’s</w:t>
      </w:r>
      <w:proofErr w:type="spellEnd"/>
      <w:r>
        <w:t xml:space="preserve"> play </w:t>
      </w:r>
      <w:r w:rsidRPr="00EC1DB8">
        <w:rPr>
          <w:i/>
        </w:rPr>
        <w:t>4 Devils – Hell and High Water</w:t>
      </w:r>
      <w:r>
        <w:t xml:space="preserve">, which was written for the beautiful Regent Cinema in </w:t>
      </w:r>
      <w:proofErr w:type="spellStart"/>
      <w:r>
        <w:t>Yarram</w:t>
      </w:r>
      <w:proofErr w:type="spellEnd"/>
      <w:r w:rsidR="00FB3B80">
        <w:t xml:space="preserve"> and to be performed by a local cas</w:t>
      </w:r>
      <w:r w:rsidR="00510B7A">
        <w:t>t</w:t>
      </w:r>
      <w:r>
        <w:t xml:space="preserve">. Built in 1930 by the entrepreneurial Mrs M A Thompson, The Regent remains an active and important part of the </w:t>
      </w:r>
      <w:proofErr w:type="spellStart"/>
      <w:r>
        <w:t>Yarram</w:t>
      </w:r>
      <w:proofErr w:type="spellEnd"/>
      <w:r>
        <w:t xml:space="preserve"> community and </w:t>
      </w:r>
      <w:proofErr w:type="spellStart"/>
      <w:r>
        <w:t>Hibberd’s</w:t>
      </w:r>
      <w:proofErr w:type="spellEnd"/>
      <w:r>
        <w:t xml:space="preserve"> play responds to the important role that the theatre holds within the community as well as telling its fascinating (and </w:t>
      </w:r>
      <w:r w:rsidR="00FB3B80">
        <w:t xml:space="preserve">often </w:t>
      </w:r>
      <w:r>
        <w:t xml:space="preserve">humorous) history.  </w:t>
      </w:r>
    </w:p>
    <w:p w:rsidR="00CB7B2B" w:rsidRDefault="00CB7B2B" w:rsidP="00EC1DB8">
      <w:pPr>
        <w:spacing w:line="240" w:lineRule="auto"/>
      </w:pPr>
    </w:p>
    <w:p w:rsidR="00510B7A" w:rsidRPr="00CB7B2B" w:rsidRDefault="00CB7B2B" w:rsidP="00EC1DB8">
      <w:pPr>
        <w:spacing w:line="240" w:lineRule="auto"/>
        <w:rPr>
          <w:b/>
        </w:rPr>
      </w:pPr>
      <w:r w:rsidRPr="00CB7B2B">
        <w:rPr>
          <w:b/>
        </w:rPr>
        <w:t xml:space="preserve">About </w:t>
      </w:r>
      <w:r w:rsidRPr="00CB7B2B">
        <w:rPr>
          <w:b/>
          <w:i/>
        </w:rPr>
        <w:t>The Cinemas Project</w:t>
      </w:r>
    </w:p>
    <w:p w:rsidR="00510B7A" w:rsidRDefault="00510B7A" w:rsidP="00510B7A">
      <w:pPr>
        <w:widowControl w:val="0"/>
        <w:autoSpaceDE w:val="0"/>
        <w:autoSpaceDN w:val="0"/>
        <w:adjustRightInd w:val="0"/>
        <w:spacing w:line="240" w:lineRule="auto"/>
        <w:rPr>
          <w:rFonts w:cs="Helvetica"/>
          <w:iCs/>
          <w:szCs w:val="22"/>
        </w:rPr>
      </w:pPr>
      <w:r w:rsidRPr="006B529E">
        <w:rPr>
          <w:rFonts w:cs="Helvetica"/>
          <w:i/>
          <w:iCs/>
          <w:szCs w:val="22"/>
        </w:rPr>
        <w:t>The Cinemas Project</w:t>
      </w:r>
      <w:r>
        <w:rPr>
          <w:rFonts w:cs="Helvetica"/>
          <w:iCs/>
          <w:szCs w:val="22"/>
        </w:rPr>
        <w:t xml:space="preserve"> draws upon the spectral space of cinema making reference to the diverse temporal spaces that are opened up within the immersive narratives of film and by acts of reminiscence and memory. As such we see </w:t>
      </w:r>
      <w:r w:rsidRPr="006B529E">
        <w:rPr>
          <w:rFonts w:cs="Helvetica"/>
          <w:i/>
          <w:iCs/>
          <w:szCs w:val="22"/>
        </w:rPr>
        <w:t>The Cinemas Project</w:t>
      </w:r>
      <w:r>
        <w:rPr>
          <w:rFonts w:cs="Helvetica"/>
          <w:iCs/>
          <w:szCs w:val="22"/>
        </w:rPr>
        <w:t xml:space="preserve"> to be evoking spirited, visions, ghostly images and the theatre of memory. </w:t>
      </w:r>
    </w:p>
    <w:p w:rsidR="00510B7A" w:rsidRDefault="00510B7A" w:rsidP="00510B7A">
      <w:pPr>
        <w:widowControl w:val="0"/>
        <w:autoSpaceDE w:val="0"/>
        <w:autoSpaceDN w:val="0"/>
        <w:adjustRightInd w:val="0"/>
        <w:spacing w:line="240" w:lineRule="auto"/>
        <w:rPr>
          <w:rFonts w:cs="Helvetica"/>
          <w:iCs/>
          <w:szCs w:val="22"/>
        </w:rPr>
      </w:pPr>
    </w:p>
    <w:p w:rsidR="00D668AC" w:rsidRPr="000526D2" w:rsidRDefault="00510B7A" w:rsidP="000526D2">
      <w:pPr>
        <w:widowControl w:val="0"/>
        <w:autoSpaceDE w:val="0"/>
        <w:autoSpaceDN w:val="0"/>
        <w:adjustRightInd w:val="0"/>
        <w:spacing w:line="240" w:lineRule="auto"/>
        <w:rPr>
          <w:rFonts w:cs="Helvetica"/>
          <w:iCs/>
          <w:szCs w:val="22"/>
        </w:rPr>
      </w:pPr>
      <w:r w:rsidRPr="006B529E">
        <w:rPr>
          <w:rFonts w:cs="Helvetica"/>
          <w:i/>
          <w:iCs/>
          <w:szCs w:val="22"/>
        </w:rPr>
        <w:t>The Cinemas Project</w:t>
      </w:r>
      <w:r w:rsidRPr="00B91DA4">
        <w:rPr>
          <w:rFonts w:cs="Helvetica"/>
          <w:iCs/>
          <w:szCs w:val="22"/>
        </w:rPr>
        <w:t xml:space="preserve"> </w:t>
      </w:r>
      <w:r>
        <w:rPr>
          <w:rFonts w:cs="Helvetica"/>
          <w:iCs/>
          <w:szCs w:val="22"/>
        </w:rPr>
        <w:t xml:space="preserve">is </w:t>
      </w:r>
      <w:r w:rsidRPr="00B91DA4">
        <w:rPr>
          <w:rFonts w:cs="Helvetica"/>
          <w:iCs/>
          <w:szCs w:val="22"/>
        </w:rPr>
        <w:t>a program of major, new contemporary artworks that explore the spaces of cinema in regional Victoria. These projects, by five of Australia’s leading contemporary artists, evoke both the mechanics of film as well as the history and present day reality of cinema</w:t>
      </w:r>
      <w:r>
        <w:rPr>
          <w:rFonts w:cs="Helvetica"/>
          <w:iCs/>
          <w:szCs w:val="22"/>
        </w:rPr>
        <w:t xml:space="preserve"> and the power of images in our midst</w:t>
      </w:r>
      <w:r w:rsidRPr="00B91DA4">
        <w:rPr>
          <w:rFonts w:cs="Helvetica"/>
          <w:iCs/>
          <w:szCs w:val="22"/>
        </w:rPr>
        <w:t xml:space="preserve">. In many cases the works </w:t>
      </w:r>
      <w:r>
        <w:rPr>
          <w:rFonts w:cs="Helvetica"/>
          <w:iCs/>
          <w:szCs w:val="22"/>
        </w:rPr>
        <w:t>were</w:t>
      </w:r>
      <w:r w:rsidRPr="00B91DA4">
        <w:rPr>
          <w:rFonts w:cs="Helvetica"/>
          <w:iCs/>
          <w:szCs w:val="22"/>
        </w:rPr>
        <w:t xml:space="preserve"> housed within or make reference to cinema buildings that </w:t>
      </w:r>
      <w:r w:rsidRPr="00B91DA4">
        <w:rPr>
          <w:rFonts w:cs="Helvetica"/>
          <w:szCs w:val="22"/>
        </w:rPr>
        <w:t xml:space="preserve">still stand, have vanished or </w:t>
      </w:r>
      <w:r>
        <w:rPr>
          <w:rFonts w:cs="Helvetica"/>
          <w:szCs w:val="22"/>
        </w:rPr>
        <w:t xml:space="preserve">have been </w:t>
      </w:r>
      <w:r w:rsidRPr="00B91DA4">
        <w:rPr>
          <w:rFonts w:cs="Helvetica"/>
          <w:szCs w:val="22"/>
        </w:rPr>
        <w:t>re-purposed</w:t>
      </w:r>
      <w:r w:rsidRPr="00B91DA4">
        <w:rPr>
          <w:rFonts w:cs="Helvetica"/>
          <w:iCs/>
          <w:szCs w:val="22"/>
        </w:rPr>
        <w:t xml:space="preserve">. </w:t>
      </w:r>
    </w:p>
    <w:sectPr w:rsidR="00D668AC" w:rsidRPr="000526D2" w:rsidSect="00DE2A0E">
      <w:pgSz w:w="11900" w:h="16840"/>
      <w:pgMar w:top="567" w:right="1270" w:bottom="992" w:left="1797"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85591"/>
    <w:multiLevelType w:val="hybridMultilevel"/>
    <w:tmpl w:val="A21C79EE"/>
    <w:lvl w:ilvl="0" w:tplc="7542C11A">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C1DB8"/>
    <w:rsid w:val="000526D2"/>
    <w:rsid w:val="00510B7A"/>
    <w:rsid w:val="00CA60C3"/>
    <w:rsid w:val="00CB7B2B"/>
    <w:rsid w:val="00D668AC"/>
    <w:rsid w:val="00DE2A0E"/>
    <w:rsid w:val="00E526A6"/>
    <w:rsid w:val="00E6638B"/>
    <w:rsid w:val="00EC1DB8"/>
    <w:rsid w:val="00FB3B80"/>
  </w:rsids>
  <m:mathPr>
    <m:mathFont m:val="Adobe Arabic"/>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6963"/>
    <w:pPr>
      <w:spacing w:line="480" w:lineRule="auto"/>
    </w:pPr>
    <w:rPr>
      <w:rFonts w:ascii="Helvetica" w:hAnsi="Helvetica"/>
      <w:sz w:val="22"/>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EndnoteText">
    <w:name w:val="endnote text"/>
    <w:basedOn w:val="FootnoteText"/>
    <w:link w:val="EndnoteTextChar"/>
    <w:autoRedefine/>
    <w:uiPriority w:val="99"/>
    <w:unhideWhenUsed/>
    <w:rsid w:val="008E4477"/>
    <w:pPr>
      <w:spacing w:after="160"/>
    </w:pPr>
    <w:rPr>
      <w:rFonts w:eastAsia="Cambria" w:cs="Times New Roman"/>
      <w:sz w:val="18"/>
    </w:rPr>
  </w:style>
  <w:style w:type="character" w:customStyle="1" w:styleId="EndnoteTextChar">
    <w:name w:val="Endnote Text Char"/>
    <w:basedOn w:val="DefaultParagraphFont"/>
    <w:link w:val="EndnoteText"/>
    <w:uiPriority w:val="99"/>
    <w:rsid w:val="008E4477"/>
    <w:rPr>
      <w:rFonts w:ascii="Helvetica" w:eastAsia="Cambria" w:hAnsi="Helvetica" w:cs="Times New Roman"/>
      <w:sz w:val="18"/>
      <w:lang w:val="en-GB"/>
    </w:rPr>
  </w:style>
  <w:style w:type="paragraph" w:styleId="FootnoteText">
    <w:name w:val="footnote text"/>
    <w:basedOn w:val="Normal"/>
    <w:link w:val="FootnoteTextChar"/>
    <w:uiPriority w:val="99"/>
    <w:semiHidden/>
    <w:unhideWhenUsed/>
    <w:rsid w:val="006D598F"/>
    <w:pPr>
      <w:spacing w:line="240" w:lineRule="auto"/>
    </w:pPr>
    <w:rPr>
      <w:sz w:val="24"/>
    </w:rPr>
  </w:style>
  <w:style w:type="character" w:customStyle="1" w:styleId="FootnoteTextChar">
    <w:name w:val="Footnote Text Char"/>
    <w:basedOn w:val="DefaultParagraphFont"/>
    <w:link w:val="FootnoteText"/>
    <w:uiPriority w:val="99"/>
    <w:semiHidden/>
    <w:rsid w:val="006D598F"/>
    <w:rPr>
      <w:rFonts w:ascii="Helvetica" w:hAnsi="Helvetica"/>
    </w:rPr>
  </w:style>
  <w:style w:type="paragraph" w:customStyle="1" w:styleId="Blockquote">
    <w:name w:val="Block quote"/>
    <w:basedOn w:val="Normal"/>
    <w:next w:val="Normal"/>
    <w:qFormat/>
    <w:rsid w:val="00F7317B"/>
    <w:pPr>
      <w:spacing w:line="360" w:lineRule="auto"/>
      <w:ind w:left="720" w:right="567"/>
    </w:pPr>
    <w:rPr>
      <w:rFonts w:ascii="Times" w:eastAsia="Cambria" w:hAnsi="Times" w:cs="Times New Roman"/>
      <w:sz w:val="20"/>
    </w:rPr>
  </w:style>
  <w:style w:type="paragraph" w:customStyle="1" w:styleId="Insetquote">
    <w:name w:val="Inset quote"/>
    <w:basedOn w:val="Normal"/>
    <w:uiPriority w:val="99"/>
    <w:rsid w:val="00D82217"/>
    <w:pPr>
      <w:ind w:left="720" w:right="720"/>
    </w:pPr>
    <w:rPr>
      <w:rFonts w:eastAsia="Cambria" w:cs="Times New Roman"/>
      <w:i/>
      <w:sz w:val="24"/>
    </w:rPr>
  </w:style>
  <w:style w:type="paragraph" w:customStyle="1" w:styleId="Intro">
    <w:name w:val="Intro"/>
    <w:basedOn w:val="Blockquote"/>
    <w:qFormat/>
    <w:rsid w:val="00A13483"/>
    <w:pPr>
      <w:widowControl w:val="0"/>
      <w:suppressAutoHyphens/>
    </w:pPr>
    <w:rPr>
      <w:rFonts w:ascii="Times New Roman" w:hAnsi="Times New Roman"/>
      <w:i/>
      <w:lang w:eastAsia="ar-SA"/>
    </w:rPr>
  </w:style>
  <w:style w:type="character" w:customStyle="1" w:styleId="EndnoteCharacters">
    <w:name w:val="Endnote Characters"/>
    <w:basedOn w:val="DefaultParagraphFont"/>
    <w:rsid w:val="00137C73"/>
    <w:rPr>
      <w:rFonts w:ascii="Times New Roman Bold" w:hAnsi="Times New Roman Bold" w:cs="Times New Roman"/>
      <w:b/>
      <w:sz w:val="24"/>
      <w:vertAlign w:val="superscript"/>
    </w:rPr>
  </w:style>
  <w:style w:type="paragraph" w:styleId="ListParagraph">
    <w:name w:val="List Paragraph"/>
    <w:basedOn w:val="Normal"/>
    <w:uiPriority w:val="34"/>
    <w:qFormat/>
    <w:rsid w:val="00510B7A"/>
    <w:pPr>
      <w:ind w:left="720"/>
      <w:contextualSpacing/>
    </w:pPr>
  </w:style>
  <w:style w:type="paragraph" w:styleId="NormalWeb">
    <w:name w:val="Normal (Web)"/>
    <w:basedOn w:val="Normal"/>
    <w:uiPriority w:val="99"/>
    <w:rsid w:val="00510B7A"/>
    <w:pPr>
      <w:spacing w:beforeLines="1" w:afterLines="1" w:line="240" w:lineRule="auto"/>
    </w:pPr>
    <w:rPr>
      <w:rFonts w:ascii="Times" w:hAnsi="Times" w:cs="Times New Roman"/>
      <w:sz w:val="20"/>
      <w:szCs w:val="20"/>
    </w:rPr>
  </w:style>
  <w:style w:type="paragraph" w:customStyle="1" w:styleId="Body1">
    <w:name w:val="Body 1"/>
    <w:rsid w:val="00E6638B"/>
    <w:pPr>
      <w:spacing w:line="480" w:lineRule="auto"/>
      <w:outlineLvl w:val="0"/>
    </w:pPr>
    <w:rPr>
      <w:rFonts w:ascii="Helvetica" w:eastAsia="ヒラギノ角ゴ Pro W3" w:hAnsi="Helvetica" w:cs="Times New Roman"/>
      <w:color w:val="000000"/>
      <w:sz w:val="22"/>
      <w:szCs w:val="20"/>
      <w:u w:color="000000"/>
      <w:lang w:val="en-G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Crone</dc:creator>
  <cp:keywords/>
  <cp:lastModifiedBy>Bridget Crone</cp:lastModifiedBy>
  <cp:revision>8</cp:revision>
  <dcterms:created xsi:type="dcterms:W3CDTF">2014-12-08T14:19:00Z</dcterms:created>
  <dcterms:modified xsi:type="dcterms:W3CDTF">2014-12-08T15:10:00Z</dcterms:modified>
</cp:coreProperties>
</file>