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88F04" w14:textId="77777777" w:rsidR="00C47651" w:rsidRPr="008A4013" w:rsidRDefault="00C47651" w:rsidP="00C47651">
      <w:pPr>
        <w:tabs>
          <w:tab w:val="left" w:pos="709"/>
        </w:tabs>
        <w:spacing w:line="240" w:lineRule="auto"/>
        <w:ind w:firstLine="0"/>
        <w:outlineLvl w:val="0"/>
      </w:pPr>
      <w:r w:rsidRPr="008A4013">
        <w:rPr>
          <w:b/>
        </w:rPr>
        <w:t xml:space="preserve">Title: </w:t>
      </w:r>
      <w:r w:rsidR="003163F8" w:rsidRPr="008A4013">
        <w:t>“God loves you and It Gets B</w:t>
      </w:r>
      <w:r w:rsidRPr="008A4013">
        <w:t>etter”: Ideology, deixis and agency in an anti-homophobic bullying viral campaign</w:t>
      </w:r>
    </w:p>
    <w:p w14:paraId="6393567B" w14:textId="77777777" w:rsidR="00A456AF" w:rsidRPr="008A4013" w:rsidRDefault="00A456AF" w:rsidP="00D155FB">
      <w:pPr>
        <w:tabs>
          <w:tab w:val="left" w:pos="709"/>
        </w:tabs>
        <w:spacing w:line="240" w:lineRule="auto"/>
        <w:ind w:firstLine="0"/>
        <w:rPr>
          <w:b/>
        </w:rPr>
      </w:pPr>
    </w:p>
    <w:p w14:paraId="26699835" w14:textId="475ED025" w:rsidR="007101AF" w:rsidRPr="008A4013" w:rsidRDefault="007101AF" w:rsidP="007101AF">
      <w:pPr>
        <w:tabs>
          <w:tab w:val="left" w:pos="709"/>
        </w:tabs>
        <w:spacing w:line="240" w:lineRule="auto"/>
        <w:ind w:firstLine="0"/>
      </w:pPr>
      <w:r w:rsidRPr="008A4013">
        <w:rPr>
          <w:b/>
        </w:rPr>
        <w:t xml:space="preserve">Abstract: </w:t>
      </w:r>
      <w:r w:rsidRPr="008A4013">
        <w:t xml:space="preserve">The ‘It Gets Better Project’ (IGBP) is an </w:t>
      </w:r>
      <w:r w:rsidR="00E74E24" w:rsidRPr="008A4013">
        <w:t xml:space="preserve">online anti-homophobic bullying </w:t>
      </w:r>
      <w:r w:rsidRPr="008A4013">
        <w:t>initiative directed at lesbian, gay, bi</w:t>
      </w:r>
      <w:r w:rsidR="008F1A59" w:rsidRPr="008A4013">
        <w:t xml:space="preserve">sexual and transgender </w:t>
      </w:r>
      <w:r w:rsidRPr="008A4013">
        <w:t xml:space="preserve">youth. To date, 50,000 user-generated IGBP videos have attracted over 50 million views. In this critical discourse analysis of IGBP videos in the “Faith” category, </w:t>
      </w:r>
      <w:r w:rsidR="008F1A59" w:rsidRPr="008A4013">
        <w:t>I note</w:t>
      </w:r>
      <w:r w:rsidRPr="008A4013">
        <w:t xml:space="preserve"> how the projected ideologies therein overlap with and depart from conservative Christian rhetoric in surprising ways. I ask</w:t>
      </w:r>
      <w:r w:rsidR="008F1A59" w:rsidRPr="008A4013">
        <w:t xml:space="preserve"> </w:t>
      </w:r>
      <w:r w:rsidRPr="008A4013">
        <w:t xml:space="preserve">what gets better, for whom, and how might that happen? I then compare messages uploaded by laypeople and spokespeople of religious institutions. I argue that neoliberal assumptions are frequently evident in laypeople’s emphases on individualism, economic success, urban spaces and heteronormative conceptions of time. Spokespeople, conversely, </w:t>
      </w:r>
      <w:r w:rsidR="00E74E24" w:rsidRPr="008A4013">
        <w:t>tend to emphasize</w:t>
      </w:r>
      <w:r w:rsidRPr="008A4013">
        <w:t xml:space="preserve"> community-based opposition to homophobia in t</w:t>
      </w:r>
      <w:r w:rsidR="008F1A59" w:rsidRPr="008A4013">
        <w:t xml:space="preserve">he </w:t>
      </w:r>
      <w:r w:rsidR="00E74E24" w:rsidRPr="008A4013">
        <w:t>here and now. T</w:t>
      </w:r>
      <w:r w:rsidR="008F1A59" w:rsidRPr="008A4013">
        <w:t>his</w:t>
      </w:r>
      <w:r w:rsidRPr="008A4013">
        <w:t xml:space="preserve"> ideological struggle highlight</w:t>
      </w:r>
      <w:r w:rsidR="008F1A59" w:rsidRPr="008A4013">
        <w:t>s</w:t>
      </w:r>
      <w:r w:rsidRPr="008A4013">
        <w:t xml:space="preserve"> barriers </w:t>
      </w:r>
      <w:r w:rsidR="00E74E24" w:rsidRPr="008A4013">
        <w:t>to</w:t>
      </w:r>
      <w:r w:rsidRPr="008A4013">
        <w:t xml:space="preserve"> “it </w:t>
      </w:r>
      <w:proofErr w:type="gramStart"/>
      <w:r w:rsidRPr="008A4013">
        <w:t>getting</w:t>
      </w:r>
      <w:proofErr w:type="gramEnd"/>
      <w:r w:rsidRPr="008A4013">
        <w:t xml:space="preserve"> better” in the present</w:t>
      </w:r>
      <w:r w:rsidR="00E74E24" w:rsidRPr="008A4013">
        <w:t xml:space="preserve"> but also</w:t>
      </w:r>
      <w:r w:rsidR="008F1A59" w:rsidRPr="008A4013">
        <w:t xml:space="preserve"> create</w:t>
      </w:r>
      <w:r w:rsidR="00E74E24" w:rsidRPr="008A4013">
        <w:t>s space for</w:t>
      </w:r>
      <w:r w:rsidR="008F1A59" w:rsidRPr="008A4013">
        <w:t xml:space="preserve"> politics of redistribution and </w:t>
      </w:r>
      <w:r w:rsidR="00E74E24" w:rsidRPr="008A4013">
        <w:t>an</w:t>
      </w:r>
      <w:r w:rsidR="008F1A59" w:rsidRPr="008A4013">
        <w:t xml:space="preserve"> unexpected queering of societal norms</w:t>
      </w:r>
      <w:r w:rsidRPr="008A4013">
        <w:t>.</w:t>
      </w:r>
    </w:p>
    <w:p w14:paraId="3C00F5D5" w14:textId="77777777" w:rsidR="007B12FF" w:rsidRPr="008A4013" w:rsidRDefault="007B12FF" w:rsidP="00C47651">
      <w:pPr>
        <w:tabs>
          <w:tab w:val="left" w:pos="709"/>
        </w:tabs>
        <w:spacing w:line="240" w:lineRule="auto"/>
        <w:ind w:firstLine="0"/>
        <w:rPr>
          <w:b/>
        </w:rPr>
      </w:pPr>
    </w:p>
    <w:p w14:paraId="0BE3B849" w14:textId="77777777" w:rsidR="000C398B" w:rsidRPr="008A4013" w:rsidRDefault="000C398B" w:rsidP="00C47651">
      <w:pPr>
        <w:tabs>
          <w:tab w:val="left" w:pos="709"/>
        </w:tabs>
        <w:spacing w:line="240" w:lineRule="auto"/>
        <w:ind w:firstLine="0"/>
      </w:pPr>
      <w:r w:rsidRPr="008A4013">
        <w:rPr>
          <w:b/>
        </w:rPr>
        <w:t xml:space="preserve">Keywords: </w:t>
      </w:r>
      <w:r w:rsidRPr="008A4013">
        <w:rPr>
          <w:i/>
        </w:rPr>
        <w:t>neoliberalism, faith, homophobia, youth, bullying, internet, deixis.</w:t>
      </w:r>
    </w:p>
    <w:p w14:paraId="3A217C12" w14:textId="77777777" w:rsidR="00C13813" w:rsidRPr="008A4013" w:rsidRDefault="00C13813" w:rsidP="00C13813">
      <w:pPr>
        <w:tabs>
          <w:tab w:val="left" w:pos="709"/>
        </w:tabs>
        <w:spacing w:line="240" w:lineRule="auto"/>
        <w:ind w:firstLine="0"/>
        <w:rPr>
          <w:b/>
        </w:rPr>
      </w:pPr>
    </w:p>
    <w:p w14:paraId="31A1972E" w14:textId="77777777" w:rsidR="00BF4F47" w:rsidRPr="008A4013" w:rsidRDefault="007B12FF" w:rsidP="00C47651">
      <w:pPr>
        <w:spacing w:line="240" w:lineRule="auto"/>
        <w:ind w:firstLine="0"/>
      </w:pPr>
      <w:r w:rsidRPr="008A4013">
        <w:br w:type="page"/>
      </w:r>
    </w:p>
    <w:p w14:paraId="1F3194FB" w14:textId="77777777" w:rsidR="00C2756D" w:rsidRPr="008A4013" w:rsidRDefault="00483F76" w:rsidP="00C137CF">
      <w:pPr>
        <w:tabs>
          <w:tab w:val="left" w:pos="709"/>
        </w:tabs>
        <w:ind w:firstLine="0"/>
        <w:rPr>
          <w:b/>
        </w:rPr>
      </w:pPr>
      <w:r w:rsidRPr="008A4013">
        <w:rPr>
          <w:b/>
        </w:rPr>
        <w:lastRenderedPageBreak/>
        <w:t xml:space="preserve">1. </w:t>
      </w:r>
      <w:r w:rsidR="007B12FF" w:rsidRPr="008A4013">
        <w:rPr>
          <w:b/>
        </w:rPr>
        <w:t xml:space="preserve">Introduction: It </w:t>
      </w:r>
      <w:r w:rsidR="005E4A94" w:rsidRPr="008A4013">
        <w:rPr>
          <w:b/>
        </w:rPr>
        <w:t>(</w:t>
      </w:r>
      <w:r w:rsidR="007B12FF" w:rsidRPr="008A4013">
        <w:rPr>
          <w:b/>
        </w:rPr>
        <w:t>nearly</w:t>
      </w:r>
      <w:r w:rsidR="005E4A94" w:rsidRPr="008A4013">
        <w:rPr>
          <w:b/>
        </w:rPr>
        <w:t>)</w:t>
      </w:r>
      <w:r w:rsidR="007B12FF" w:rsidRPr="008A4013">
        <w:rPr>
          <w:b/>
        </w:rPr>
        <w:t xml:space="preserve"> got worse</w:t>
      </w:r>
    </w:p>
    <w:p w14:paraId="4C2D2FC8" w14:textId="11948D3D" w:rsidR="00E14C6E" w:rsidRPr="008A4013" w:rsidRDefault="00C2756D" w:rsidP="00726D0F">
      <w:pPr>
        <w:ind w:firstLine="0"/>
      </w:pPr>
      <w:r w:rsidRPr="008A4013">
        <w:t>In September 2010, prompted by a spate of teen suicides linked to homophobic bullying, sex advice columnist Dan Savage</w:t>
      </w:r>
      <w:r w:rsidR="00E14C6E" w:rsidRPr="008A4013">
        <w:t xml:space="preserve"> and husband Terry Miller</w:t>
      </w:r>
      <w:r w:rsidRPr="008A4013">
        <w:t xml:space="preserve"> posted a </w:t>
      </w:r>
      <w:r w:rsidR="002C23D2" w:rsidRPr="008A4013">
        <w:t xml:space="preserve">short </w:t>
      </w:r>
      <w:r w:rsidRPr="008A4013">
        <w:t>video online</w:t>
      </w:r>
      <w:r w:rsidR="0017165A" w:rsidRPr="008A4013">
        <w:t xml:space="preserve"> </w:t>
      </w:r>
      <w:r w:rsidR="00E14C6E" w:rsidRPr="008A4013">
        <w:t>tell</w:t>
      </w:r>
      <w:r w:rsidR="000C104F" w:rsidRPr="008A4013">
        <w:t>ing</w:t>
      </w:r>
      <w:r w:rsidR="00E14C6E" w:rsidRPr="008A4013">
        <w:t xml:space="preserve"> young people experiencing harassment</w:t>
      </w:r>
      <w:r w:rsidR="002C23D2" w:rsidRPr="008A4013">
        <w:t xml:space="preserve"> at school</w:t>
      </w:r>
      <w:r w:rsidR="000C104F" w:rsidRPr="008A4013">
        <w:t xml:space="preserve"> that</w:t>
      </w:r>
      <w:r w:rsidR="002C23D2" w:rsidRPr="008A4013">
        <w:t xml:space="preserve"> “it gets better</w:t>
      </w:r>
      <w:r w:rsidR="00E14C6E" w:rsidRPr="008A4013">
        <w:t xml:space="preserve">” (Savage and Miller, 2010). </w:t>
      </w:r>
      <w:r w:rsidRPr="008A4013">
        <w:t xml:space="preserve"> </w:t>
      </w:r>
      <w:r w:rsidR="00E14C6E" w:rsidRPr="008A4013">
        <w:t xml:space="preserve">In the video, </w:t>
      </w:r>
      <w:r w:rsidR="002C23D2" w:rsidRPr="008A4013">
        <w:t>Savage and Miller recall</w:t>
      </w:r>
      <w:r w:rsidR="00E14C6E" w:rsidRPr="008A4013">
        <w:t xml:space="preserve"> </w:t>
      </w:r>
      <w:r w:rsidR="00D74059" w:rsidRPr="008A4013">
        <w:t xml:space="preserve">their own </w:t>
      </w:r>
      <w:r w:rsidR="00E14C6E" w:rsidRPr="008A4013">
        <w:t>high school experiences</w:t>
      </w:r>
      <w:r w:rsidR="00D74059" w:rsidRPr="008A4013">
        <w:t>, each</w:t>
      </w:r>
      <w:r w:rsidR="00E14C6E" w:rsidRPr="008A4013">
        <w:t xml:space="preserve"> </w:t>
      </w:r>
      <w:r w:rsidR="000C104F" w:rsidRPr="008A4013">
        <w:t>marked by</w:t>
      </w:r>
      <w:r w:rsidR="002C23D2" w:rsidRPr="008A4013">
        <w:t xml:space="preserve"> homophobic persecution</w:t>
      </w:r>
      <w:r w:rsidR="00D74059" w:rsidRPr="008A4013">
        <w:t>,</w:t>
      </w:r>
      <w:r w:rsidR="00244CB9" w:rsidRPr="008A4013">
        <w:t xml:space="preserve"> before detailing</w:t>
      </w:r>
      <w:r w:rsidR="00E14C6E" w:rsidRPr="008A4013">
        <w:t xml:space="preserve"> the happin</w:t>
      </w:r>
      <w:r w:rsidR="00244CB9" w:rsidRPr="008A4013">
        <w:t xml:space="preserve">ess they </w:t>
      </w:r>
      <w:r w:rsidR="00D74059" w:rsidRPr="008A4013">
        <w:t>found after graduation</w:t>
      </w:r>
      <w:r w:rsidR="00244CB9" w:rsidRPr="008A4013">
        <w:t xml:space="preserve"> and </w:t>
      </w:r>
      <w:r w:rsidR="00D74059" w:rsidRPr="008A4013">
        <w:t xml:space="preserve">later </w:t>
      </w:r>
      <w:r w:rsidR="000C104F" w:rsidRPr="008A4013">
        <w:t>through a</w:t>
      </w:r>
      <w:r w:rsidR="00BA401F" w:rsidRPr="008A4013">
        <w:t xml:space="preserve"> </w:t>
      </w:r>
      <w:r w:rsidR="002C23D2" w:rsidRPr="008A4013">
        <w:t>family life</w:t>
      </w:r>
      <w:r w:rsidR="00244CB9" w:rsidRPr="008A4013">
        <w:t xml:space="preserve"> together.</w:t>
      </w:r>
      <w:r w:rsidR="002C23D2" w:rsidRPr="008A4013">
        <w:t xml:space="preserve"> Savage pleads with viewers to</w:t>
      </w:r>
      <w:r w:rsidR="00E14C6E" w:rsidRPr="008A4013">
        <w:t xml:space="preserve"> “tough it out</w:t>
      </w:r>
      <w:r w:rsidR="00E54C7E" w:rsidRPr="008A4013">
        <w:t>,</w:t>
      </w:r>
      <w:r w:rsidR="00E14C6E" w:rsidRPr="008A4013">
        <w:t xml:space="preserve">” </w:t>
      </w:r>
      <w:r w:rsidR="00244CB9" w:rsidRPr="008A4013">
        <w:t>promising</w:t>
      </w:r>
      <w:r w:rsidR="002C23D2" w:rsidRPr="008A4013">
        <w:t>: “your life can</w:t>
      </w:r>
      <w:r w:rsidR="00244CB9" w:rsidRPr="008A4013">
        <w:t xml:space="preserve"> be amazing</w:t>
      </w:r>
      <w:r w:rsidR="002C23D2" w:rsidRPr="008A4013">
        <w:t>…</w:t>
      </w:r>
      <w:r w:rsidR="00B95E20" w:rsidRPr="008A4013">
        <w:t>[but]</w:t>
      </w:r>
      <w:r w:rsidR="002C23D2" w:rsidRPr="008A4013">
        <w:t xml:space="preserve"> you have to live your life so that you </w:t>
      </w:r>
      <w:r w:rsidR="00244CB9" w:rsidRPr="008A4013">
        <w:t xml:space="preserve">are around for it to get amazing” </w:t>
      </w:r>
      <w:r w:rsidR="008248C7" w:rsidRPr="008A4013">
        <w:fldChar w:fldCharType="begin"/>
      </w:r>
      <w:r w:rsidR="00DE221F">
        <w:instrText xml:space="preserve"> ADDIN EN.CITE &lt;EndNote&gt;&lt;Cite&gt;&lt;Author&gt;Savage&lt;/Author&gt;&lt;Year&gt;2010&lt;/Year&gt;&lt;RecNum&gt;135&lt;/RecNum&gt;&lt;DisplayText&gt;(Savage &amp;amp; Miller 2010)&lt;/DisplayText&gt;&lt;record&gt;&lt;rec-number&gt;135&lt;/rec-number&gt;&lt;foreign-keys&gt;&lt;key app="EN" db-id="x0x2x9vw3vz5wretwfnpsavdxe0w5pfpzees"&gt;135&lt;/key&gt;&lt;/foreign-keys&gt;&lt;ref-type name="Online Multimedia"&gt;48&lt;/ref-type&gt;&lt;contributors&gt;&lt;authors&gt;&lt;author&gt;Savage, Dan&lt;/author&gt;&lt;author&gt;Miller, Terry&lt;/author&gt;&lt;/authors&gt;&lt;/contributors&gt;&lt;titles&gt;&lt;title&gt;It Gets Better: Dan and Terry&lt;/title&gt;&lt;/titles&gt;&lt;dates&gt;&lt;year&gt;2010&lt;/year&gt;&lt;pub-dates&gt;&lt;date&gt;February 12, 2012&lt;/date&gt;&lt;/pub-dates&gt;&lt;/dates&gt;&lt;work-type&gt;Video&lt;/work-type&gt;&lt;urls&gt;&lt;related-urls&gt;&lt;url&gt;&lt;style face="normal" font="Times" size="100%"&gt;www.youtube.com/watch?v=7IcVyvg2Qlo&lt;/style&gt;&lt;/url&gt;&lt;/related-urls&gt;&lt;/urls&gt;&lt;access-date&gt;February 12, 2012&lt;/access-date&gt;&lt;/record&gt;&lt;/Cite&gt;&lt;/EndNote&gt;</w:instrText>
      </w:r>
      <w:r w:rsidR="008248C7" w:rsidRPr="008A4013">
        <w:fldChar w:fldCharType="separate"/>
      </w:r>
      <w:r w:rsidR="0095658A" w:rsidRPr="008A4013">
        <w:rPr>
          <w:noProof/>
        </w:rPr>
        <w:t>(</w:t>
      </w:r>
      <w:hyperlink w:anchor="_ENREF_37" w:tooltip="Savage, 2010 #135" w:history="1">
        <w:r w:rsidR="00DE221F" w:rsidRPr="008A4013">
          <w:rPr>
            <w:noProof/>
          </w:rPr>
          <w:t>Savage &amp; Miller 2010</w:t>
        </w:r>
      </w:hyperlink>
      <w:r w:rsidR="0095658A" w:rsidRPr="008A4013">
        <w:rPr>
          <w:noProof/>
        </w:rPr>
        <w:t>)</w:t>
      </w:r>
      <w:r w:rsidR="008248C7" w:rsidRPr="008A4013">
        <w:fldChar w:fldCharType="end"/>
      </w:r>
      <w:r w:rsidR="00E14C6E" w:rsidRPr="008A4013">
        <w:t>.</w:t>
      </w:r>
    </w:p>
    <w:p w14:paraId="7C8EFA3F" w14:textId="1C6CA8CD" w:rsidR="00D8465A" w:rsidRPr="008A4013" w:rsidRDefault="00D74059" w:rsidP="00C137CF">
      <w:pPr>
        <w:ind w:firstLine="720"/>
      </w:pPr>
      <w:r w:rsidRPr="008A4013">
        <w:t>M</w:t>
      </w:r>
      <w:r w:rsidR="00244CB9" w:rsidRPr="008A4013">
        <w:t xml:space="preserve">embers of the public, celebrities and politicians </w:t>
      </w:r>
      <w:r w:rsidR="00BA401F" w:rsidRPr="008A4013">
        <w:t>began to post</w:t>
      </w:r>
      <w:r w:rsidR="00244CB9" w:rsidRPr="008A4013">
        <w:t xml:space="preserve"> videos of their own</w:t>
      </w:r>
      <w:r w:rsidRPr="008A4013">
        <w:t xml:space="preserve"> in response</w:t>
      </w:r>
      <w:r w:rsidR="00244CB9" w:rsidRPr="008A4013">
        <w:t xml:space="preserve">, replicating the direct-to-camera format of the first film and echoing the “it gets better” message. </w:t>
      </w:r>
      <w:r w:rsidR="00BA401F" w:rsidRPr="008A4013">
        <w:t xml:space="preserve">The </w:t>
      </w:r>
      <w:r w:rsidR="002C23D2" w:rsidRPr="008A4013">
        <w:t xml:space="preserve">number of </w:t>
      </w:r>
      <w:r w:rsidR="00BA401F" w:rsidRPr="008A4013">
        <w:t xml:space="preserve">uploads </w:t>
      </w:r>
      <w:r w:rsidR="002C23D2" w:rsidRPr="008A4013">
        <w:t xml:space="preserve">grew </w:t>
      </w:r>
      <w:r w:rsidR="00B95E20" w:rsidRPr="008A4013">
        <w:t>rapidly</w:t>
      </w:r>
      <w:r w:rsidR="002C23D2" w:rsidRPr="008A4013">
        <w:t xml:space="preserve">, </w:t>
      </w:r>
      <w:r w:rsidR="00BA401F" w:rsidRPr="008A4013">
        <w:t>prompting newspaper and</w:t>
      </w:r>
      <w:r w:rsidR="00264139" w:rsidRPr="008A4013">
        <w:t xml:space="preserve"> </w:t>
      </w:r>
      <w:r w:rsidR="00BA401F" w:rsidRPr="008A4013">
        <w:t xml:space="preserve">magazine coverage particularly when Lady Gaga, </w:t>
      </w:r>
      <w:r w:rsidR="002C23D2" w:rsidRPr="008A4013">
        <w:t xml:space="preserve">the cast of the television series </w:t>
      </w:r>
      <w:r w:rsidR="002C23D2" w:rsidRPr="008A4013">
        <w:rPr>
          <w:i/>
        </w:rPr>
        <w:t xml:space="preserve">Glee </w:t>
      </w:r>
      <w:r w:rsidR="00BA401F" w:rsidRPr="008A4013">
        <w:t>and</w:t>
      </w:r>
      <w:r w:rsidR="002C23D2" w:rsidRPr="008A4013">
        <w:t xml:space="preserve"> later President Obama joined a host of other notable figures in contributing </w:t>
      </w:r>
      <w:r w:rsidRPr="008A4013">
        <w:t xml:space="preserve">clips of their own. </w:t>
      </w:r>
      <w:r w:rsidR="000C104F" w:rsidRPr="008A4013">
        <w:t>Within a few months, “It Gets B</w:t>
      </w:r>
      <w:r w:rsidRPr="008A4013">
        <w:t>etter” became a viral sensation</w:t>
      </w:r>
      <w:r w:rsidR="00D8465A" w:rsidRPr="008A4013">
        <w:t xml:space="preserve">. </w:t>
      </w:r>
    </w:p>
    <w:p w14:paraId="142346FD" w14:textId="77777777" w:rsidR="004B4C10" w:rsidRPr="008A4013" w:rsidRDefault="00244CB9" w:rsidP="00C137CF">
      <w:pPr>
        <w:ind w:firstLine="720"/>
      </w:pPr>
      <w:r w:rsidRPr="008A4013">
        <w:t xml:space="preserve">Subsequently and to date, more than 50,000 </w:t>
      </w:r>
      <w:r w:rsidR="00F13D63" w:rsidRPr="008A4013">
        <w:t>“It Gets Better”</w:t>
      </w:r>
      <w:r w:rsidRPr="008A4013">
        <w:t xml:space="preserve"> videos have been uploaded to YouTube, attracting over 50 million views between them. </w:t>
      </w:r>
      <w:r w:rsidR="00B95E20" w:rsidRPr="008A4013">
        <w:t>In October 2010, w</w:t>
      </w:r>
      <w:r w:rsidR="00BA401F" w:rsidRPr="008A4013">
        <w:t>ith support</w:t>
      </w:r>
      <w:r w:rsidRPr="008A4013">
        <w:t xml:space="preserve"> </w:t>
      </w:r>
      <w:r w:rsidR="00BA401F" w:rsidRPr="008A4013">
        <w:t xml:space="preserve">and administration duties </w:t>
      </w:r>
      <w:r w:rsidR="002C23D2" w:rsidRPr="008A4013">
        <w:t xml:space="preserve">assumed </w:t>
      </w:r>
      <w:r w:rsidRPr="008A4013">
        <w:t>by The Trevor Project</w:t>
      </w:r>
      <w:r w:rsidR="002C23D2" w:rsidRPr="008A4013">
        <w:rPr>
          <w:rStyle w:val="FootnoteReference"/>
        </w:rPr>
        <w:footnoteReference w:id="1"/>
      </w:r>
      <w:r w:rsidR="002C23D2" w:rsidRPr="008A4013">
        <w:t>,</w:t>
      </w:r>
      <w:r w:rsidR="00BA401F" w:rsidRPr="008A4013">
        <w:t xml:space="preserve"> the</w:t>
      </w:r>
      <w:r w:rsidR="00F13D63" w:rsidRPr="008A4013">
        <w:t xml:space="preserve"> official</w:t>
      </w:r>
      <w:r w:rsidR="00BA401F" w:rsidRPr="008A4013">
        <w:t>, trademarked</w:t>
      </w:r>
      <w:r w:rsidR="00F13D63" w:rsidRPr="008A4013">
        <w:t xml:space="preserve"> </w:t>
      </w:r>
      <w:r w:rsidRPr="008A4013">
        <w:t>I</w:t>
      </w:r>
      <w:r w:rsidR="00F13D63" w:rsidRPr="008A4013">
        <w:t xml:space="preserve">t </w:t>
      </w:r>
      <w:r w:rsidRPr="008A4013">
        <w:t>G</w:t>
      </w:r>
      <w:r w:rsidR="00F13D63" w:rsidRPr="008A4013">
        <w:t xml:space="preserve">ets </w:t>
      </w:r>
      <w:r w:rsidRPr="008A4013">
        <w:t>B</w:t>
      </w:r>
      <w:r w:rsidR="00F13D63" w:rsidRPr="008A4013">
        <w:t xml:space="preserve">etter </w:t>
      </w:r>
      <w:r w:rsidRPr="008A4013">
        <w:t>P</w:t>
      </w:r>
      <w:r w:rsidR="00F13D63" w:rsidRPr="008A4013">
        <w:t xml:space="preserve">roject </w:t>
      </w:r>
      <w:r w:rsidR="00BA401F" w:rsidRPr="008A4013">
        <w:t>(h</w:t>
      </w:r>
      <w:r w:rsidR="002C23D2" w:rsidRPr="008A4013">
        <w:t>enceforth IGBP) was founded. A</w:t>
      </w:r>
      <w:r w:rsidRPr="008A4013">
        <w:t xml:space="preserve"> </w:t>
      </w:r>
      <w:r w:rsidR="00F13D63" w:rsidRPr="008A4013">
        <w:t xml:space="preserve">moderated </w:t>
      </w:r>
      <w:r w:rsidRPr="008A4013">
        <w:t xml:space="preserve">website, </w:t>
      </w:r>
      <w:r w:rsidR="00F13D63" w:rsidRPr="008A4013">
        <w:t>tie-in books and a MTV documentary</w:t>
      </w:r>
      <w:r w:rsidR="00BA401F" w:rsidRPr="008A4013">
        <w:t xml:space="preserve"> </w:t>
      </w:r>
      <w:r w:rsidR="00D74059" w:rsidRPr="008A4013">
        <w:t>have</w:t>
      </w:r>
      <w:r w:rsidR="002C23D2" w:rsidRPr="008A4013">
        <w:t xml:space="preserve"> followed, </w:t>
      </w:r>
      <w:r w:rsidR="00BA401F" w:rsidRPr="008A4013">
        <w:t>all</w:t>
      </w:r>
      <w:r w:rsidR="00F13D63" w:rsidRPr="008A4013">
        <w:t xml:space="preserve"> ostensibly cementing the success and popularity of the project. </w:t>
      </w:r>
    </w:p>
    <w:p w14:paraId="28671461" w14:textId="1EC4F96B" w:rsidR="00C42E8D" w:rsidRPr="008A4013" w:rsidRDefault="00BA401F" w:rsidP="00C137CF">
      <w:pPr>
        <w:ind w:firstLine="720"/>
      </w:pPr>
      <w:r w:rsidRPr="008A4013">
        <w:t>T</w:t>
      </w:r>
      <w:r w:rsidR="00C42E8D" w:rsidRPr="008A4013">
        <w:t xml:space="preserve">he </w:t>
      </w:r>
      <w:r w:rsidR="00F13D63" w:rsidRPr="008A4013">
        <w:t>IGBP</w:t>
      </w:r>
      <w:r w:rsidRPr="008A4013">
        <w:t xml:space="preserve"> website states</w:t>
      </w:r>
      <w:r w:rsidR="00F13D63" w:rsidRPr="008A4013">
        <w:t xml:space="preserve"> its aims as follows: </w:t>
      </w:r>
    </w:p>
    <w:p w14:paraId="1585971F" w14:textId="129C3593" w:rsidR="00F13D63" w:rsidRPr="008A4013" w:rsidRDefault="00C42E8D" w:rsidP="00C137CF">
      <w:pPr>
        <w:pStyle w:val="Quote"/>
        <w:spacing w:after="0"/>
      </w:pPr>
      <w:r w:rsidRPr="008A4013">
        <w:t xml:space="preserve">The It Gets Better Project was created to show young LGBT </w:t>
      </w:r>
      <w:r w:rsidR="004A5BC0" w:rsidRPr="008A4013">
        <w:t xml:space="preserve">[lesbian, gay, bisexual and trans] </w:t>
      </w:r>
      <w:r w:rsidRPr="008A4013">
        <w:t xml:space="preserve">people the levels of happiness, potential, and </w:t>
      </w:r>
      <w:r w:rsidRPr="008A4013">
        <w:lastRenderedPageBreak/>
        <w:t>po</w:t>
      </w:r>
      <w:r w:rsidR="007101AF" w:rsidRPr="008A4013">
        <w:t>sitivity their lives will reach—</w:t>
      </w:r>
      <w:r w:rsidRPr="008A4013">
        <w:t>if they can just get through their teen years. The It Gets Better Project wants to remind teenagers in the LGBT co</w:t>
      </w:r>
      <w:r w:rsidR="007101AF" w:rsidRPr="008A4013">
        <w:t>mmunity that they are not alone—</w:t>
      </w:r>
      <w:r w:rsidRPr="008A4013">
        <w:t>and it WILL get better</w:t>
      </w:r>
      <w:r w:rsidR="007101AF" w:rsidRPr="008A4013">
        <w:t>.</w:t>
      </w:r>
      <w:r w:rsidRPr="008A4013">
        <w:t xml:space="preserve"> (</w:t>
      </w:r>
      <w:hyperlink r:id="rId8" w:history="1">
        <w:r w:rsidR="00C137CF" w:rsidRPr="008A4013">
          <w:rPr>
            <w:rStyle w:val="Hyperlink"/>
          </w:rPr>
          <w:t>http://itgetsbetter.org/</w:t>
        </w:r>
      </w:hyperlink>
      <w:r w:rsidRPr="008A4013">
        <w:t>)</w:t>
      </w:r>
    </w:p>
    <w:p w14:paraId="57F13164" w14:textId="77777777" w:rsidR="00C137CF" w:rsidRPr="009D4FFF" w:rsidRDefault="00C137CF" w:rsidP="009D4FFF">
      <w:pPr>
        <w:rPr>
          <w:sz w:val="22"/>
          <w:lang w:val="en-GB"/>
        </w:rPr>
      </w:pPr>
    </w:p>
    <w:p w14:paraId="337464DE" w14:textId="662DBE44" w:rsidR="004B4C10" w:rsidRPr="008A4013" w:rsidRDefault="00442608" w:rsidP="00C137CF">
      <w:pPr>
        <w:tabs>
          <w:tab w:val="left" w:pos="709"/>
        </w:tabs>
        <w:ind w:firstLine="0"/>
      </w:pPr>
      <w:r w:rsidRPr="008A4013">
        <w:tab/>
      </w:r>
      <w:r w:rsidR="00B95E20" w:rsidRPr="008A4013">
        <w:t xml:space="preserve">While undeniably popular, </w:t>
      </w:r>
      <w:r w:rsidR="004B4C10" w:rsidRPr="008A4013">
        <w:t xml:space="preserve">IGBP </w:t>
      </w:r>
      <w:r w:rsidR="000C104F" w:rsidRPr="008A4013">
        <w:t xml:space="preserve">has </w:t>
      </w:r>
      <w:r w:rsidR="004B4C10" w:rsidRPr="008A4013">
        <w:t xml:space="preserve">attracted </w:t>
      </w:r>
      <w:r w:rsidR="00DF5CF2" w:rsidRPr="008A4013">
        <w:t>criticism</w:t>
      </w:r>
      <w:r w:rsidR="004B4C10" w:rsidRPr="008A4013">
        <w:t xml:space="preserve"> as well as praise. </w:t>
      </w:r>
      <w:r w:rsidR="007101AF" w:rsidRPr="008A4013">
        <w:t>Soon after its launch, a</w:t>
      </w:r>
      <w:r w:rsidR="004B4C10" w:rsidRPr="008A4013">
        <w:t>cad</w:t>
      </w:r>
      <w:r w:rsidR="007101AF" w:rsidRPr="008A4013">
        <w:t>emics, journalists and bloggers</w:t>
      </w:r>
      <w:r w:rsidR="004B4C10" w:rsidRPr="008A4013">
        <w:t xml:space="preserve"> presented</w:t>
      </w:r>
      <w:r w:rsidR="000C104F" w:rsidRPr="008A4013">
        <w:t xml:space="preserve"> notable analyses, observing</w:t>
      </w:r>
      <w:r w:rsidR="004B4C10" w:rsidRPr="008A4013">
        <w:t xml:space="preserve"> how gender, race, and class privilege</w:t>
      </w:r>
      <w:r w:rsidR="00B95E20" w:rsidRPr="008A4013">
        <w:t>s</w:t>
      </w:r>
      <w:r w:rsidR="004B4C10" w:rsidRPr="008A4013">
        <w:t xml:space="preserve"> inform many IGBP messages</w:t>
      </w:r>
      <w:r w:rsidR="007101AF" w:rsidRPr="008A4013">
        <w:t xml:space="preserve"> </w:t>
      </w:r>
      <w:r w:rsidR="007101AF" w:rsidRPr="008A4013">
        <w:fldChar w:fldCharType="begin">
          <w:fldData xml:space="preserve">PEVuZE5vdGU+PENpdGU+PEF1dGhvcj5QdWFyPC9BdXRob3I+PFllYXI+MjAxMDwvWWVhcj48UmVj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</w:fldData>
        </w:fldChar>
      </w:r>
      <w:r w:rsidR="001F21F3" w:rsidRPr="008A4013">
        <w:instrText xml:space="preserve"> ADDIN EN.CITE </w:instrText>
      </w:r>
      <w:r w:rsidR="001F21F3" w:rsidRPr="008A4013">
        <w:fldChar w:fldCharType="begin">
          <w:fldData xml:space="preserve">PEVuZE5vdGU+PENpdGU+PEF1dGhvcj5QdWFyPC9BdXRob3I+PFllYXI+MjAxMDwvWWVhcj48UmVj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</w:fldData>
        </w:fldChar>
      </w:r>
      <w:r w:rsidR="001F21F3" w:rsidRPr="008A4013">
        <w:instrText xml:space="preserve"> ADDIN EN.CITE.DATA </w:instrText>
      </w:r>
      <w:r w:rsidR="001F21F3" w:rsidRPr="008A4013">
        <w:fldChar w:fldCharType="end"/>
      </w:r>
      <w:r w:rsidR="007101AF" w:rsidRPr="008A4013">
        <w:fldChar w:fldCharType="separate"/>
      </w:r>
      <w:r w:rsidR="007101AF" w:rsidRPr="008A4013">
        <w:rPr>
          <w:noProof/>
        </w:rPr>
        <w:t>(</w:t>
      </w:r>
      <w:hyperlink w:anchor="_ENREF_32" w:tooltip="Puar, 2010 #201" w:history="1">
        <w:r w:rsidR="00DE221F" w:rsidRPr="008A4013">
          <w:rPr>
            <w:noProof/>
          </w:rPr>
          <w:t>Puar 2010</w:t>
        </w:r>
      </w:hyperlink>
      <w:r w:rsidR="007101AF" w:rsidRPr="008A4013">
        <w:rPr>
          <w:noProof/>
        </w:rPr>
        <w:t xml:space="preserve">; </w:t>
      </w:r>
      <w:hyperlink w:anchor="_ENREF_34" w:tooltip="Quiet Riot Girl, 2010 #206" w:history="1">
        <w:r w:rsidR="00DE221F" w:rsidRPr="008A4013">
          <w:rPr>
            <w:noProof/>
          </w:rPr>
          <w:t>Quiet Riot Girl 2010</w:t>
        </w:r>
      </w:hyperlink>
      <w:r w:rsidR="007101AF" w:rsidRPr="008A4013">
        <w:rPr>
          <w:noProof/>
        </w:rPr>
        <w:t xml:space="preserve">; </w:t>
      </w:r>
      <w:hyperlink w:anchor="_ENREF_39" w:tooltip="Tseng, 2010 #205" w:history="1">
        <w:r w:rsidR="00DE221F" w:rsidRPr="008A4013">
          <w:rPr>
            <w:noProof/>
          </w:rPr>
          <w:t>Tseng 2010</w:t>
        </w:r>
      </w:hyperlink>
      <w:r w:rsidR="007101AF" w:rsidRPr="008A4013">
        <w:rPr>
          <w:noProof/>
        </w:rPr>
        <w:t>)</w:t>
      </w:r>
      <w:r w:rsidR="007101AF" w:rsidRPr="008A4013">
        <w:fldChar w:fldCharType="end"/>
      </w:r>
      <w:r w:rsidR="007101AF" w:rsidRPr="008A4013">
        <w:t>.</w:t>
      </w:r>
      <w:r w:rsidR="004B4C10" w:rsidRPr="008A4013">
        <w:t xml:space="preserve"> </w:t>
      </w:r>
      <w:r w:rsidR="007014ED" w:rsidRPr="008A4013">
        <w:t>My aim with</w:t>
      </w:r>
      <w:r w:rsidR="004B4C10" w:rsidRPr="008A4013">
        <w:t xml:space="preserve"> this paper is to contribute another critical voice</w:t>
      </w:r>
      <w:r w:rsidR="007101AF" w:rsidRPr="008A4013">
        <w:t xml:space="preserve"> to discussions of IGBP</w:t>
      </w:r>
      <w:r w:rsidR="004B4C10" w:rsidRPr="008A4013">
        <w:t xml:space="preserve">, albeit </w:t>
      </w:r>
      <w:r w:rsidR="00B95E20" w:rsidRPr="008A4013">
        <w:t>one</w:t>
      </w:r>
      <w:r w:rsidR="007014ED" w:rsidRPr="008A4013">
        <w:t xml:space="preserve"> seeking to explore the nuanced differences</w:t>
      </w:r>
      <w:r w:rsidR="00B95E20" w:rsidRPr="008A4013">
        <w:t xml:space="preserve"> of opinion presented within a</w:t>
      </w:r>
      <w:r w:rsidR="007014ED" w:rsidRPr="008A4013">
        <w:t xml:space="preserve"> </w:t>
      </w:r>
      <w:r w:rsidR="00FC2B2E" w:rsidRPr="008A4013">
        <w:t xml:space="preserve">particular </w:t>
      </w:r>
      <w:r w:rsidR="00B95E20" w:rsidRPr="008A4013">
        <w:t xml:space="preserve">section </w:t>
      </w:r>
      <w:r w:rsidR="007101AF" w:rsidRPr="008A4013">
        <w:t>of</w:t>
      </w:r>
      <w:r w:rsidR="007014ED" w:rsidRPr="008A4013">
        <w:t xml:space="preserve"> videos, rather than stress</w:t>
      </w:r>
      <w:r w:rsidR="00DF5CF2" w:rsidRPr="008A4013">
        <w:t>ing</w:t>
      </w:r>
      <w:r w:rsidR="007014ED" w:rsidRPr="008A4013">
        <w:t xml:space="preserve"> only what is </w:t>
      </w:r>
      <w:r w:rsidR="00B95E20" w:rsidRPr="008A4013">
        <w:t xml:space="preserve">seemingly </w:t>
      </w:r>
      <w:r w:rsidR="007014ED" w:rsidRPr="008A4013">
        <w:t>absent</w:t>
      </w:r>
      <w:r w:rsidR="00B95E20" w:rsidRPr="008A4013">
        <w:t xml:space="preserve"> or underrepresented in the body of clips taken as a whole. In doing so, I </w:t>
      </w:r>
      <w:r w:rsidR="00FC2B2E" w:rsidRPr="008A4013">
        <w:t xml:space="preserve">hope to highlight a struggle </w:t>
      </w:r>
      <w:r w:rsidR="000C104F" w:rsidRPr="008A4013">
        <w:t>that persists within IGBP</w:t>
      </w:r>
      <w:r w:rsidR="00FC2B2E" w:rsidRPr="008A4013">
        <w:t xml:space="preserve"> over how best </w:t>
      </w:r>
      <w:r w:rsidR="00DF5CF2" w:rsidRPr="008A4013">
        <w:t xml:space="preserve">to </w:t>
      </w:r>
      <w:r w:rsidR="00C21A8B" w:rsidRPr="008A4013">
        <w:t>challenge</w:t>
      </w:r>
      <w:r w:rsidR="00FC2B2E" w:rsidRPr="008A4013">
        <w:t xml:space="preserve"> homophobic</w:t>
      </w:r>
      <w:r w:rsidR="000C104F" w:rsidRPr="008A4013">
        <w:t>, and possibly other prejudicial</w:t>
      </w:r>
      <w:r w:rsidR="00FC2B2E" w:rsidRPr="008A4013">
        <w:t xml:space="preserve"> discourses and oppressions. I also </w:t>
      </w:r>
      <w:r w:rsidR="007014ED" w:rsidRPr="008A4013">
        <w:t xml:space="preserve">intend to </w:t>
      </w:r>
      <w:r w:rsidR="0075584F" w:rsidRPr="008A4013">
        <w:t>caution against the idea that the</w:t>
      </w:r>
      <w:r w:rsidR="004D31AC" w:rsidRPr="008A4013">
        <w:t xml:space="preserve"> homophilic discourse </w:t>
      </w:r>
      <w:r w:rsidR="0075584F" w:rsidRPr="008A4013">
        <w:t xml:space="preserve">of IGBP </w:t>
      </w:r>
      <w:r w:rsidR="004D31AC" w:rsidRPr="008A4013">
        <w:t xml:space="preserve">necessarily </w:t>
      </w:r>
      <w:r w:rsidR="0075584F" w:rsidRPr="008A4013">
        <w:t xml:space="preserve">promotes diverse ways of being, by questioning </w:t>
      </w:r>
      <w:r w:rsidR="00FC2B2E" w:rsidRPr="008A4013">
        <w:t>the assertion that “it gets better” for everyone</w:t>
      </w:r>
      <w:r w:rsidR="0075584F" w:rsidRPr="008A4013">
        <w:t>—regardless of race, gender, class, or ability.</w:t>
      </w:r>
    </w:p>
    <w:p w14:paraId="134E63CE" w14:textId="20BC224A" w:rsidR="00F02BF1" w:rsidRPr="008A4013" w:rsidRDefault="007014ED" w:rsidP="00C137CF">
      <w:pPr>
        <w:tabs>
          <w:tab w:val="left" w:pos="709"/>
        </w:tabs>
        <w:ind w:firstLine="0"/>
        <w:rPr>
          <w:strike/>
        </w:rPr>
      </w:pPr>
      <w:r w:rsidRPr="008A4013">
        <w:tab/>
      </w:r>
      <w:r w:rsidR="00FC2B2E" w:rsidRPr="008A4013">
        <w:t>I was prompted to explore IGBP</w:t>
      </w:r>
      <w:r w:rsidRPr="008A4013">
        <w:t xml:space="preserve"> e</w:t>
      </w:r>
      <w:r w:rsidR="00892ECC" w:rsidRPr="008A4013">
        <w:t>ighteen months after the first video upload</w:t>
      </w:r>
      <w:r w:rsidRPr="008A4013">
        <w:t>,</w:t>
      </w:r>
      <w:r w:rsidR="00892ECC" w:rsidRPr="008A4013">
        <w:t xml:space="preserve"> </w:t>
      </w:r>
      <w:r w:rsidR="00F13D63" w:rsidRPr="008A4013">
        <w:t xml:space="preserve">as the Republican Party presidential candidates </w:t>
      </w:r>
      <w:r w:rsidR="00A65DEA" w:rsidRPr="008A4013">
        <w:t xml:space="preserve">debated their opposition to </w:t>
      </w:r>
      <w:r w:rsidR="007101AF" w:rsidRPr="008A4013">
        <w:t>same-sex</w:t>
      </w:r>
      <w:r w:rsidR="00F13D63" w:rsidRPr="008A4013">
        <w:t xml:space="preserve"> marriage, and </w:t>
      </w:r>
      <w:r w:rsidR="007101AF" w:rsidRPr="008A4013">
        <w:t>the repeal of Don’t Ask, Don’t Tell</w:t>
      </w:r>
      <w:r w:rsidR="007101AF" w:rsidRPr="008A4013">
        <w:rPr>
          <w:rStyle w:val="FootnoteReference"/>
        </w:rPr>
        <w:footnoteReference w:id="2"/>
      </w:r>
      <w:r w:rsidR="00F13D63" w:rsidRPr="008A4013">
        <w:t xml:space="preserve"> </w:t>
      </w:r>
      <w:r w:rsidR="00F02BF1" w:rsidRPr="008A4013">
        <w:t>in national</w:t>
      </w:r>
      <w:r w:rsidR="00892ECC" w:rsidRPr="008A4013">
        <w:t>ly</w:t>
      </w:r>
      <w:r w:rsidR="00F02BF1" w:rsidRPr="008A4013">
        <w:t xml:space="preserve"> televised debates</w:t>
      </w:r>
      <w:r w:rsidR="00F13D63" w:rsidRPr="008A4013">
        <w:t>.</w:t>
      </w:r>
      <w:r w:rsidR="00F02BF1" w:rsidRPr="008A4013">
        <w:t xml:space="preserve"> </w:t>
      </w:r>
      <w:r w:rsidR="00892ECC" w:rsidRPr="008A4013">
        <w:t>Arguably t</w:t>
      </w:r>
      <w:r w:rsidR="00DE6377" w:rsidRPr="008A4013">
        <w:t xml:space="preserve">he most outspoken </w:t>
      </w:r>
      <w:r w:rsidR="00F02BF1" w:rsidRPr="008A4013">
        <w:t xml:space="preserve">and eye-catching </w:t>
      </w:r>
      <w:r w:rsidR="00DE6377" w:rsidRPr="008A4013">
        <w:t xml:space="preserve">candidate to share his views on homosexuality was </w:t>
      </w:r>
      <w:r w:rsidR="00A65DEA" w:rsidRPr="008A4013">
        <w:t>former-Senator for Pennsylvania and staunch Catholic Rick Santorum</w:t>
      </w:r>
      <w:r w:rsidR="00892ECC" w:rsidRPr="008A4013">
        <w:t xml:space="preserve">. </w:t>
      </w:r>
      <w:r w:rsidR="00DE6377" w:rsidRPr="008A4013">
        <w:t>Santorum</w:t>
      </w:r>
      <w:r w:rsidR="00892ECC" w:rsidRPr="008A4013">
        <w:t xml:space="preserve"> has a history of stoking the ire of gay rights advocates, </w:t>
      </w:r>
      <w:r w:rsidR="00A65DEA" w:rsidRPr="008A4013">
        <w:t>notably with</w:t>
      </w:r>
      <w:r w:rsidR="00892ECC" w:rsidRPr="008A4013">
        <w:t xml:space="preserve"> his well-publicized equating of gay marriage </w:t>
      </w:r>
      <w:r w:rsidR="00DF5CF2" w:rsidRPr="008A4013">
        <w:t>with</w:t>
      </w:r>
      <w:r w:rsidR="00892ECC" w:rsidRPr="008A4013">
        <w:t xml:space="preserve"> adultery, polygamy and bestiality in 2003 </w:t>
      </w:r>
      <w:r w:rsidR="008248C7" w:rsidRPr="008A4013">
        <w:fldChar w:fldCharType="begin"/>
      </w:r>
      <w:r w:rsidR="00892ECC" w:rsidRPr="008A4013">
        <w:instrText xml:space="preserve"> ADDIN EN.CITE &lt;EndNote&gt;&lt;Cite&gt;&lt;Author&gt;Loughlin&lt;/Author&gt;&lt;Year&gt;2003&lt;/Year&gt;&lt;RecNum&gt;60&lt;/RecNum&gt;&lt;DisplayText&gt;(Loughlin 2003)&lt;/DisplayText&gt;&lt;record&gt;&lt;rec-number&gt;60&lt;/rec-number&gt;&lt;foreign-keys&gt;&lt;key app="EN" db-id="x0x2x9vw3vz5wretwfnpsavdxe0w5pfpzees"&gt;60&lt;/key&gt;&lt;/foreign-keys&gt;&lt;ref-type name="Newspaper Article"&gt;23&lt;/ref-type&gt;&lt;contributors&gt;&lt;authors&gt;&lt;author&gt;Sean Loughlin&lt;/author&gt;&lt;/authors&gt;&lt;/contributors&gt;&lt;titles&gt;&lt;title&gt;Santorum under fire for comments on homosexuality&lt;/title&gt;&lt;secondary-title&gt;CNN.com&lt;/secondary-title&gt;&lt;/titles&gt;&lt;dates&gt;&lt;year&gt;2003&lt;/year&gt;&lt;pub-dates&gt;&lt;date&gt;April 22, 2003&lt;/date&gt;&lt;/pub-dates&gt;&lt;/dates&gt;&lt;urls&gt;&lt;related-urls&gt;&lt;url&gt;http://articles.cnn.com/2003-04-22/politics/santorum.gays_1_statement-on-individual-lifestyles-senator-santorum-bigamy-and-adultery?_s=PM:ALLPOLITICS&lt;/url&gt;&lt;/related-urls&gt;&lt;/urls&gt;&lt;/record&gt;&lt;/Cite&gt;&lt;/EndNote&gt;</w:instrText>
      </w:r>
      <w:r w:rsidR="008248C7" w:rsidRPr="008A4013">
        <w:fldChar w:fldCharType="separate"/>
      </w:r>
      <w:r w:rsidR="00892ECC" w:rsidRPr="008A4013">
        <w:rPr>
          <w:noProof/>
        </w:rPr>
        <w:t>(</w:t>
      </w:r>
      <w:hyperlink w:anchor="_ENREF_26" w:tooltip="Loughlin, 2003 #60" w:history="1">
        <w:r w:rsidR="00DE221F" w:rsidRPr="008A4013">
          <w:rPr>
            <w:noProof/>
          </w:rPr>
          <w:t>Loughlin 2003</w:t>
        </w:r>
      </w:hyperlink>
      <w:r w:rsidR="00892ECC" w:rsidRPr="008A4013">
        <w:rPr>
          <w:noProof/>
        </w:rPr>
        <w:t>)</w:t>
      </w:r>
      <w:r w:rsidR="008248C7" w:rsidRPr="008A4013">
        <w:fldChar w:fldCharType="end"/>
      </w:r>
      <w:r w:rsidR="00892ECC" w:rsidRPr="008A4013">
        <w:t>.</w:t>
      </w:r>
      <w:r w:rsidR="001D479A" w:rsidRPr="008A4013">
        <w:t xml:space="preserve"> As a result of Dan </w:t>
      </w:r>
      <w:r w:rsidR="001D479A" w:rsidRPr="008A4013">
        <w:lastRenderedPageBreak/>
        <w:t>Savage’s well-publicized admonishment of Santorum at that time</w:t>
      </w:r>
      <w:r w:rsidR="00FC2B2E" w:rsidRPr="008A4013">
        <w:rPr>
          <w:rStyle w:val="FootnoteReference"/>
        </w:rPr>
        <w:footnoteReference w:id="3"/>
      </w:r>
      <w:r w:rsidR="001D479A" w:rsidRPr="008A4013">
        <w:t xml:space="preserve">, IGBP shot back into the public eye during the primary debates. </w:t>
      </w:r>
    </w:p>
    <w:p w14:paraId="4157906E" w14:textId="12556633" w:rsidR="001D479A" w:rsidRPr="008A4013" w:rsidRDefault="00FC2B2E" w:rsidP="00C137CF">
      <w:pPr>
        <w:tabs>
          <w:tab w:val="left" w:pos="709"/>
        </w:tabs>
        <w:ind w:firstLine="0"/>
      </w:pPr>
      <w:r w:rsidRPr="008A4013">
        <w:tab/>
      </w:r>
      <w:r w:rsidR="008E4F24" w:rsidRPr="008A4013">
        <w:t xml:space="preserve">While political analysts predicted that Santorum’s homophobic pronouncements would ultimately derail his campaign </w:t>
      </w:r>
      <w:r w:rsidR="008248C7" w:rsidRPr="008A4013">
        <w:fldChar w:fldCharType="begin"/>
      </w:r>
      <w:r w:rsidR="00841C69" w:rsidRPr="008A4013">
        <w:instrText xml:space="preserve"> ADDIN EN.CITE &lt;EndNote&gt;&lt;Cite&gt;&lt;Author&gt;Michaelson&lt;/Author&gt;&lt;Year&gt;2012&lt;/Year&gt;&lt;RecNum&gt;61&lt;/RecNum&gt;&lt;DisplayText&gt;(Michaelson 2012)&lt;/DisplayText&gt;&lt;record&gt;&lt;rec-number&gt;61&lt;/rec-number&gt;&lt;foreign-keys&gt;&lt;key app="EN" db-id="x0x2x9vw3vz5wretwfnpsavdxe0w5pfpzees"&gt;61&lt;/key&gt;&lt;/foreign-keys&gt;&lt;ref-type name="Newspaper Article"&gt;23&lt;/ref-type&gt;&lt;contributors&gt;&lt;authors&gt;&lt;author&gt;Jay Michaelson&lt;/author&gt;&lt;/authors&gt;&lt;/contributors&gt;&lt;titles&gt;&lt;title&gt;Santorum&amp;apos;s homophobia problem&lt;/title&gt;&lt;secondary-title&gt;The Huffington Post&lt;/secondary-title&gt;&lt;/titles&gt;&lt;periodical&gt;&lt;full-title&gt;The Huffington Post&lt;/full-title&gt;&lt;/periodical&gt;&lt;dates&gt;&lt;year&gt;2012&lt;/year&gt;&lt;pub-dates&gt;&lt;date&gt;January 04, 2012&lt;/date&gt;&lt;/pub-dates&gt;&lt;/dates&gt;&lt;urls&gt;&lt;related-urls&gt;&lt;url&gt;http://www.huffingtonpost.com/jay-michaelson/rick-santorum-homophobia_b_1182857.html&lt;/url&gt;&lt;/related-urls&gt;&lt;/urls&gt;&lt;access-date&gt;March 31, 2012&lt;/access-date&gt;&lt;/record&gt;&lt;/Cite&gt;&lt;/EndNote&gt;</w:instrText>
      </w:r>
      <w:r w:rsidR="008248C7" w:rsidRPr="008A4013">
        <w:fldChar w:fldCharType="separate"/>
      </w:r>
      <w:r w:rsidR="008E4F24" w:rsidRPr="008A4013">
        <w:rPr>
          <w:noProof/>
        </w:rPr>
        <w:t>(</w:t>
      </w:r>
      <w:hyperlink w:anchor="_ENREF_27" w:tooltip="Michaelson, 2012 #61" w:history="1">
        <w:r w:rsidR="00DE221F" w:rsidRPr="008A4013">
          <w:rPr>
            <w:noProof/>
          </w:rPr>
          <w:t>Michaelson 2012</w:t>
        </w:r>
      </w:hyperlink>
      <w:r w:rsidR="008E4F24" w:rsidRPr="008A4013">
        <w:rPr>
          <w:noProof/>
        </w:rPr>
        <w:t>)</w:t>
      </w:r>
      <w:r w:rsidR="008248C7" w:rsidRPr="008A4013">
        <w:fldChar w:fldCharType="end"/>
      </w:r>
      <w:r w:rsidR="008E4F24" w:rsidRPr="008A4013">
        <w:t>, w</w:t>
      </w:r>
      <w:r w:rsidR="00F02BF1" w:rsidRPr="008A4013">
        <w:t>ins in Primaries or Caucuses in T</w:t>
      </w:r>
      <w:r w:rsidR="00F02BF1" w:rsidRPr="008A4013">
        <w:rPr>
          <w:rFonts w:eastAsia="Times New Roman"/>
        </w:rPr>
        <w:t xml:space="preserve">ennessee, Oklahoma, North Dakota, Pennsylvania, Louisiana and Alabama implied that his </w:t>
      </w:r>
      <w:r w:rsidR="00F02BF1" w:rsidRPr="008A4013">
        <w:t xml:space="preserve">religiously inflected homophobic </w:t>
      </w:r>
      <w:r w:rsidR="00F02BF1" w:rsidRPr="008A4013">
        <w:rPr>
          <w:rFonts w:eastAsia="Times New Roman"/>
        </w:rPr>
        <w:t>rhetoric held</w:t>
      </w:r>
      <w:r w:rsidR="004A5BC0" w:rsidRPr="008A4013">
        <w:rPr>
          <w:rFonts w:eastAsia="Times New Roman"/>
        </w:rPr>
        <w:t xml:space="preserve"> appeal,</w:t>
      </w:r>
      <w:r w:rsidR="00F02BF1" w:rsidRPr="008A4013">
        <w:rPr>
          <w:rFonts w:eastAsia="Times New Roman"/>
        </w:rPr>
        <w:t xml:space="preserve"> particular</w:t>
      </w:r>
      <w:r w:rsidR="004A5BC0" w:rsidRPr="008A4013">
        <w:rPr>
          <w:rFonts w:eastAsia="Times New Roman"/>
        </w:rPr>
        <w:t>ly</w:t>
      </w:r>
      <w:r w:rsidR="00F02BF1" w:rsidRPr="008A4013">
        <w:rPr>
          <w:rFonts w:eastAsia="Times New Roman"/>
        </w:rPr>
        <w:t xml:space="preserve"> in the South and Mid-West</w:t>
      </w:r>
      <w:r w:rsidR="008E4F24" w:rsidRPr="008A4013">
        <w:rPr>
          <w:rFonts w:eastAsia="Times New Roman"/>
        </w:rPr>
        <w:t>.</w:t>
      </w:r>
      <w:r w:rsidR="003F6F3B" w:rsidRPr="008A4013">
        <w:rPr>
          <w:rFonts w:eastAsia="Times New Roman"/>
        </w:rPr>
        <w:t xml:space="preserve"> </w:t>
      </w:r>
      <w:r w:rsidR="001D479A" w:rsidRPr="008A4013">
        <w:t>In this context, g</w:t>
      </w:r>
      <w:r w:rsidR="009B513C" w:rsidRPr="008A4013">
        <w:t xml:space="preserve">ay rights campaigners </w:t>
      </w:r>
      <w:r w:rsidR="001D479A" w:rsidRPr="008A4013">
        <w:t>rallying</w:t>
      </w:r>
      <w:r w:rsidR="009B513C" w:rsidRPr="008A4013">
        <w:t xml:space="preserve"> against Santorum </w:t>
      </w:r>
      <w:r w:rsidR="0075584F" w:rsidRPr="008A4013">
        <w:t>regularly</w:t>
      </w:r>
      <w:r w:rsidR="009B513C" w:rsidRPr="008A4013">
        <w:t xml:space="preserve"> </w:t>
      </w:r>
      <w:r w:rsidR="007101AF" w:rsidRPr="008A4013">
        <w:t>highlighted</w:t>
      </w:r>
      <w:r w:rsidR="00C44AB1" w:rsidRPr="008A4013">
        <w:t xml:space="preserve"> </w:t>
      </w:r>
      <w:r w:rsidR="007101AF" w:rsidRPr="008A4013">
        <w:t>his</w:t>
      </w:r>
      <w:r w:rsidR="00C44AB1" w:rsidRPr="008A4013">
        <w:t xml:space="preserve"> religious views as </w:t>
      </w:r>
      <w:r w:rsidR="00762D23" w:rsidRPr="008A4013">
        <w:t>problematic;</w:t>
      </w:r>
      <w:r w:rsidR="0075584F" w:rsidRPr="008A4013">
        <w:t xml:space="preserve"> </w:t>
      </w:r>
      <w:r w:rsidR="00C44AB1" w:rsidRPr="008A4013">
        <w:t xml:space="preserve">the source of </w:t>
      </w:r>
      <w:r w:rsidR="007101AF" w:rsidRPr="008A4013">
        <w:t>his</w:t>
      </w:r>
      <w:r w:rsidR="00C44AB1" w:rsidRPr="008A4013">
        <w:t xml:space="preserve"> anti-gay </w:t>
      </w:r>
      <w:r w:rsidR="001D479A" w:rsidRPr="008A4013">
        <w:t>stance</w:t>
      </w:r>
      <w:r w:rsidR="00A65DEA" w:rsidRPr="008A4013">
        <w:t xml:space="preserve"> </w:t>
      </w:r>
      <w:r w:rsidR="008248C7" w:rsidRPr="008A4013">
        <w:fldChar w:fldCharType="begin"/>
      </w:r>
      <w:r w:rsidR="00841C69" w:rsidRPr="008A4013">
        <w:instrText xml:space="preserve"> ADDIN EN.CITE &lt;EndNote&gt;&lt;Cite&gt;&lt;Author&gt;Johnson&lt;/Author&gt;&lt;Year&gt;2012&lt;/Year&gt;&lt;RecNum&gt;204&lt;/RecNum&gt;&lt;DisplayText&gt;(Donaldson 2012; Johnson 2012)&lt;/DisplayText&gt;&lt;record&gt;&lt;rec-number&gt;204&lt;/rec-number&gt;&lt;foreign-keys&gt;&lt;key app="EN" db-id="x0x2x9vw3vz5wretwfnpsavdxe0w5pfpzees"&gt;204&lt;/key&gt;&lt;/foreign-keys&gt;&lt;ref-type name="Newspaper Article"&gt;23&lt;/ref-type&gt;&lt;contributors&gt;&lt;authors&gt;&lt;author&gt;Johnson, Chris&lt;/author&gt;&lt;/authors&gt;&lt;/contributors&gt;&lt;titles&gt;&lt;title&gt;Gingrich: Media has anti-Christian bias on marriage&lt;/title&gt;&lt;secondary-title&gt;The Washington Blade&lt;/secondary-title&gt;&lt;/titles&gt;&lt;dates&gt;&lt;year&gt;2012&lt;/year&gt;&lt;pub-dates&gt;&lt;date&gt;January 8, 2012&lt;/date&gt;&lt;/pub-dates&gt;&lt;/dates&gt;&lt;pub-location&gt;Washington, D.C.&lt;/pub-location&gt;&lt;urls&gt;&lt;related-urls&gt;&lt;url&gt;http://www.washingtonblade.com/2012/01/08/gingrich-media-has-anti-christian-bias-on-marriage/&lt;/url&gt;&lt;/related-urls&gt;&lt;/urls&gt;&lt;access-date&gt;March 31, 2012&lt;/access-date&gt;&lt;/record&gt;&lt;/Cite&gt;&lt;Cite&gt;&lt;Author&gt;Donaldson&lt;/Author&gt;&lt;Year&gt;2012&lt;/Year&gt;&lt;RecNum&gt;203&lt;/RecNum&gt;&lt;record&gt;&lt;rec-number&gt;203&lt;/rec-number&gt;&lt;foreign-keys&gt;&lt;key app="EN" db-id="x0x2x9vw3vz5wretwfnpsavdxe0w5pfpzees"&gt;203&lt;/key&gt;&lt;/foreign-keys&gt;&lt;ref-type name="Newspaper Article"&gt;23&lt;/ref-type&gt;&lt;contributors&gt;&lt;authors&gt;&lt;author&gt;Donaldson, Rob&lt;/author&gt;&lt;/authors&gt;&lt;/contributors&gt;&lt;titles&gt;&lt;title&gt;RGOD2: What LGBT people might expect from a Mormon president&lt;/title&gt;&lt;secondary-title&gt;San Diego Gay and Lesbian News&lt;/secondary-title&gt;&lt;/titles&gt;&lt;dates&gt;&lt;year&gt;2012&lt;/year&gt;&lt;pub-dates&gt;&lt;date&gt;April 20, 2012&lt;/date&gt;&lt;/pub-dates&gt;&lt;/dates&gt;&lt;pub-location&gt;San Diego&lt;/pub-location&gt;&lt;urls&gt;&lt;related-urls&gt;&lt;url&gt;http://www.sdgln.com/social/2012/04/20/rgod2-what-lgbt-people-might-expect-mormon-president-mitt-romney&lt;/url&gt;&lt;/related-urls&gt;&lt;/urls&gt;&lt;access-date&gt;April 20, 2012&lt;/access-date&gt;&lt;/record&gt;&lt;/Cite&gt;&lt;/EndNote&gt;</w:instrText>
      </w:r>
      <w:r w:rsidR="008248C7" w:rsidRPr="008A4013">
        <w:fldChar w:fldCharType="separate"/>
      </w:r>
      <w:r w:rsidR="00C44AB1" w:rsidRPr="008A4013">
        <w:rPr>
          <w:noProof/>
        </w:rPr>
        <w:t>(</w:t>
      </w:r>
      <w:hyperlink w:anchor="_ENREF_7" w:tooltip="Donaldson, 2012 #203" w:history="1">
        <w:r w:rsidR="00DE221F" w:rsidRPr="008A4013">
          <w:rPr>
            <w:noProof/>
          </w:rPr>
          <w:t>Donaldson 2012</w:t>
        </w:r>
      </w:hyperlink>
      <w:r w:rsidR="00C44AB1" w:rsidRPr="008A4013">
        <w:rPr>
          <w:noProof/>
        </w:rPr>
        <w:t xml:space="preserve">; </w:t>
      </w:r>
      <w:hyperlink w:anchor="_ENREF_20" w:tooltip="Johnson, 2012 #204" w:history="1">
        <w:r w:rsidR="00DE221F" w:rsidRPr="008A4013">
          <w:rPr>
            <w:noProof/>
          </w:rPr>
          <w:t>Johnson 2012</w:t>
        </w:r>
      </w:hyperlink>
      <w:r w:rsidR="00C44AB1" w:rsidRPr="008A4013">
        <w:rPr>
          <w:noProof/>
        </w:rPr>
        <w:t>)</w:t>
      </w:r>
      <w:r w:rsidR="008248C7" w:rsidRPr="008A4013">
        <w:fldChar w:fldCharType="end"/>
      </w:r>
      <w:r w:rsidR="009B513C" w:rsidRPr="008A4013">
        <w:t>.</w:t>
      </w:r>
      <w:r w:rsidR="00007640" w:rsidRPr="008A4013">
        <w:t xml:space="preserve"> </w:t>
      </w:r>
    </w:p>
    <w:p w14:paraId="574CA773" w14:textId="0AC63A0F" w:rsidR="00AD038D" w:rsidRPr="008A4013" w:rsidRDefault="001D479A" w:rsidP="00C137CF">
      <w:pPr>
        <w:tabs>
          <w:tab w:val="left" w:pos="709"/>
        </w:tabs>
        <w:ind w:firstLine="0"/>
      </w:pPr>
      <w:r w:rsidRPr="008A4013">
        <w:tab/>
        <w:t>H</w:t>
      </w:r>
      <w:r w:rsidR="008E4F24" w:rsidRPr="008A4013">
        <w:t>aving worked with open and affirming churches in the U.S., I wa</w:t>
      </w:r>
      <w:r w:rsidR="004A5BC0" w:rsidRPr="008A4013">
        <w:t>s intrigued to see what pro-LGBT</w:t>
      </w:r>
      <w:r w:rsidR="008E4F24" w:rsidRPr="008A4013">
        <w:t xml:space="preserve"> Christian sentiments might feature in IGB</w:t>
      </w:r>
      <w:r w:rsidRPr="008A4013">
        <w:t>P</w:t>
      </w:r>
      <w:r w:rsidR="008E4F24" w:rsidRPr="008A4013">
        <w:t xml:space="preserve"> videos, </w:t>
      </w:r>
      <w:r w:rsidR="00A65DEA" w:rsidRPr="008A4013">
        <w:t xml:space="preserve">potentially to </w:t>
      </w:r>
      <w:r w:rsidR="008E4F24" w:rsidRPr="008A4013">
        <w:t>contest</w:t>
      </w:r>
      <w:r w:rsidR="004A5BC0" w:rsidRPr="008A4013">
        <w:t xml:space="preserve"> or interrupt</w:t>
      </w:r>
      <w:r w:rsidR="008E4F24" w:rsidRPr="008A4013">
        <w:t xml:space="preserve"> the messaging of </w:t>
      </w:r>
      <w:r w:rsidR="00C44AB1" w:rsidRPr="008A4013">
        <w:t>the</w:t>
      </w:r>
      <w:r w:rsidR="008E4F24" w:rsidRPr="008A4013">
        <w:t xml:space="preserve"> </w:t>
      </w:r>
      <w:r w:rsidR="00762D23" w:rsidRPr="008A4013">
        <w:t>Christian</w:t>
      </w:r>
      <w:r w:rsidR="008E4F24" w:rsidRPr="008A4013">
        <w:t xml:space="preserve"> right. </w:t>
      </w:r>
      <w:r w:rsidR="002C5328" w:rsidRPr="008A4013">
        <w:t xml:space="preserve">Upon </w:t>
      </w:r>
      <w:r w:rsidR="00762D23" w:rsidRPr="008A4013">
        <w:t>discovering</w:t>
      </w:r>
      <w:r w:rsidR="008E4F24" w:rsidRPr="008A4013">
        <w:t xml:space="preserve"> a category of videos entitled “Faith” on the IGBP website, I decided to expand my outlook to consider more broadly defined faith-based messages</w:t>
      </w:r>
      <w:r w:rsidR="004A5BC0" w:rsidRPr="008A4013">
        <w:t>, rather than those limited to Christian sources</w:t>
      </w:r>
      <w:r w:rsidR="008E4F24" w:rsidRPr="008A4013">
        <w:t xml:space="preserve">. </w:t>
      </w:r>
    </w:p>
    <w:p w14:paraId="32C0B84D" w14:textId="0FEE06FD" w:rsidR="008E4F24" w:rsidRPr="008A4013" w:rsidRDefault="00AD038D" w:rsidP="00C137CF">
      <w:pPr>
        <w:tabs>
          <w:tab w:val="left" w:pos="709"/>
        </w:tabs>
        <w:ind w:firstLine="0"/>
      </w:pPr>
      <w:r w:rsidRPr="008A4013">
        <w:tab/>
      </w:r>
      <w:r w:rsidR="008E4F24" w:rsidRPr="008A4013">
        <w:t xml:space="preserve">I thus began </w:t>
      </w:r>
      <w:r w:rsidR="004A5BC0" w:rsidRPr="008A4013">
        <w:t>the</w:t>
      </w:r>
      <w:r w:rsidR="008E4F24" w:rsidRPr="008A4013">
        <w:t xml:space="preserve"> analysis of videos uploaded to the</w:t>
      </w:r>
      <w:r w:rsidRPr="008A4013">
        <w:t xml:space="preserve"> IGBP website that</w:t>
      </w:r>
      <w:r w:rsidR="00F7391E" w:rsidRPr="008A4013">
        <w:t xml:space="preserve"> I discuss in this paper</w:t>
      </w:r>
      <w:r w:rsidR="008E4F24" w:rsidRPr="008A4013">
        <w:t xml:space="preserve">. In undertaking this research, I had hoped to identify potential avenues of resistance and contestation of </w:t>
      </w:r>
      <w:r w:rsidR="00C44AB1" w:rsidRPr="008A4013">
        <w:t>the conservative Christian</w:t>
      </w:r>
      <w:r w:rsidR="008E4F24" w:rsidRPr="008A4013">
        <w:t xml:space="preserve"> </w:t>
      </w:r>
      <w:r w:rsidR="00867736" w:rsidRPr="008A4013">
        <w:t>rhetoric</w:t>
      </w:r>
      <w:r w:rsidR="00C44AB1" w:rsidRPr="008A4013">
        <w:t xml:space="preserve"> frequently voiced </w:t>
      </w:r>
      <w:r w:rsidR="00762D23" w:rsidRPr="008A4013">
        <w:t>from within</w:t>
      </w:r>
      <w:r w:rsidR="00C44AB1" w:rsidRPr="008A4013">
        <w:t xml:space="preserve"> the Republican Party</w:t>
      </w:r>
      <w:r w:rsidR="00867736" w:rsidRPr="008A4013">
        <w:t xml:space="preserve">. </w:t>
      </w:r>
      <w:r w:rsidR="008E4F24" w:rsidRPr="008A4013">
        <w:t>Yet</w:t>
      </w:r>
      <w:r w:rsidR="003F10C6" w:rsidRPr="008A4013">
        <w:t>,</w:t>
      </w:r>
      <w:r w:rsidR="008E4F24" w:rsidRPr="008A4013">
        <w:t xml:space="preserve"> in watching </w:t>
      </w:r>
      <w:r w:rsidR="00867736" w:rsidRPr="008A4013">
        <w:t>the</w:t>
      </w:r>
      <w:r w:rsidR="008E4F24" w:rsidRPr="008A4013">
        <w:t xml:space="preserve"> videos, I found </w:t>
      </w:r>
      <w:r w:rsidR="00F7391E" w:rsidRPr="008A4013">
        <w:t>more pressing initial questions regarding</w:t>
      </w:r>
      <w:r w:rsidR="008E4F24" w:rsidRPr="008A4013">
        <w:t xml:space="preserve"> the core assertion: Frequently, it was unclear </w:t>
      </w:r>
      <w:r w:rsidR="008E4F24" w:rsidRPr="008A4013">
        <w:rPr>
          <w:i/>
        </w:rPr>
        <w:t>what</w:t>
      </w:r>
      <w:r w:rsidR="008E4F24" w:rsidRPr="008A4013">
        <w:t xml:space="preserve"> gets better for </w:t>
      </w:r>
      <w:r w:rsidR="008E4F24" w:rsidRPr="008A4013">
        <w:rPr>
          <w:i/>
        </w:rPr>
        <w:t>whom</w:t>
      </w:r>
      <w:r w:rsidR="008E4F24" w:rsidRPr="008A4013">
        <w:t xml:space="preserve">, and </w:t>
      </w:r>
      <w:r w:rsidR="008E4F24" w:rsidRPr="008A4013">
        <w:rPr>
          <w:i/>
        </w:rPr>
        <w:t>how</w:t>
      </w:r>
      <w:r w:rsidR="00867736" w:rsidRPr="008A4013">
        <w:t xml:space="preserve"> that might happen.</w:t>
      </w:r>
    </w:p>
    <w:p w14:paraId="266B2D6D" w14:textId="02642636" w:rsidR="002C5328" w:rsidRPr="008A4013" w:rsidRDefault="00A555DD" w:rsidP="00C137CF">
      <w:pPr>
        <w:tabs>
          <w:tab w:val="left" w:pos="709"/>
        </w:tabs>
        <w:ind w:firstLine="0"/>
      </w:pPr>
      <w:r w:rsidRPr="008A4013">
        <w:lastRenderedPageBreak/>
        <w:tab/>
      </w:r>
      <w:r w:rsidR="007101AF" w:rsidRPr="008A4013">
        <w:t xml:space="preserve">In this paper, I present a linguistic analysis of IGBP Faith videos to show that divergent ideological outlooks inform the conclusions drawn by spokespeople for faith-based </w:t>
      </w:r>
      <w:proofErr w:type="spellStart"/>
      <w:r w:rsidR="007101AF" w:rsidRPr="008A4013">
        <w:t>organisations</w:t>
      </w:r>
      <w:proofErr w:type="spellEnd"/>
      <w:r w:rsidR="007101AF" w:rsidRPr="008A4013">
        <w:t xml:space="preserve"> and lay</w:t>
      </w:r>
      <w:r w:rsidR="00E54C7E" w:rsidRPr="008A4013">
        <w:t>people as to what “gets better,”</w:t>
      </w:r>
      <w:r w:rsidR="007101AF" w:rsidRPr="008A4013">
        <w:t xml:space="preserve"> and how. </w:t>
      </w:r>
      <w:r w:rsidR="00AD45D2" w:rsidRPr="008A4013">
        <w:t>I</w:t>
      </w:r>
      <w:r w:rsidR="00680FE9" w:rsidRPr="008A4013">
        <w:t xml:space="preserve"> argue that</w:t>
      </w:r>
      <w:r w:rsidR="00867736" w:rsidRPr="008A4013">
        <w:t xml:space="preserve"> laypeople </w:t>
      </w:r>
      <w:r w:rsidR="002C5328" w:rsidRPr="008A4013">
        <w:t xml:space="preserve">frequently </w:t>
      </w:r>
      <w:r w:rsidR="00867736" w:rsidRPr="008A4013">
        <w:t>betray neo</w:t>
      </w:r>
      <w:r w:rsidR="00AD45D2" w:rsidRPr="008A4013">
        <w:t>liberal assumptions in their</w:t>
      </w:r>
      <w:r w:rsidR="00867736" w:rsidRPr="008A4013">
        <w:t xml:space="preserve"> faith-inflected</w:t>
      </w:r>
      <w:r w:rsidR="00AD45D2" w:rsidRPr="008A4013">
        <w:t xml:space="preserve"> messages, evinced by their emphasis on individualism</w:t>
      </w:r>
      <w:r w:rsidR="00F7391E" w:rsidRPr="008A4013">
        <w:t>, economic success, urban living,</w:t>
      </w:r>
      <w:r w:rsidR="00AD45D2" w:rsidRPr="008A4013">
        <w:t xml:space="preserve"> and erstwhile heteronormative conceptions of time. </w:t>
      </w:r>
      <w:r w:rsidR="002C5328" w:rsidRPr="008A4013">
        <w:t>This position, I argue, can emphasize a limited and exclusive conception of what “better” entails.</w:t>
      </w:r>
    </w:p>
    <w:p w14:paraId="78BA8510" w14:textId="15EB5B5D" w:rsidR="00D8465A" w:rsidRPr="008A4013" w:rsidRDefault="002C5328" w:rsidP="00C137CF">
      <w:pPr>
        <w:tabs>
          <w:tab w:val="left" w:pos="709"/>
        </w:tabs>
        <w:ind w:firstLine="0"/>
        <w:rPr>
          <w:b/>
        </w:rPr>
      </w:pPr>
      <w:r w:rsidRPr="008A4013">
        <w:tab/>
      </w:r>
      <w:r w:rsidR="00AD45D2" w:rsidRPr="008A4013">
        <w:t xml:space="preserve">Conversely, and </w:t>
      </w:r>
      <w:r w:rsidR="00044E52" w:rsidRPr="008A4013">
        <w:t xml:space="preserve">as </w:t>
      </w:r>
      <w:r w:rsidR="00A65DEA" w:rsidRPr="008A4013">
        <w:t xml:space="preserve">also </w:t>
      </w:r>
      <w:r w:rsidR="00044E52" w:rsidRPr="008A4013">
        <w:t xml:space="preserve">distinct from </w:t>
      </w:r>
      <w:r w:rsidR="00AD45D2" w:rsidRPr="008A4013">
        <w:t xml:space="preserve">the rhetoric of </w:t>
      </w:r>
      <w:r w:rsidR="00AD038D" w:rsidRPr="008A4013">
        <w:t>conservative Christian politic</w:t>
      </w:r>
      <w:r w:rsidR="00264139" w:rsidRPr="008A4013">
        <w:t>i</w:t>
      </w:r>
      <w:r w:rsidR="00AD038D" w:rsidRPr="008A4013">
        <w:t>ans and organizations</w:t>
      </w:r>
      <w:r w:rsidR="00680FE9" w:rsidRPr="008A4013">
        <w:t xml:space="preserve"> </w:t>
      </w:r>
      <w:r w:rsidR="008248C7" w:rsidRPr="008A4013">
        <w:fldChar w:fldCharType="begin">
          <w:fldData xml:space="preserve">PEVuZE5vdGU+PENpdGU+PEF1dGhvcj5Pbmc8L0F1dGhvcj48WWVhcj4yMDA2PC9ZZWFyPjxSZWNO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==
</w:fldData>
        </w:fldChar>
      </w:r>
      <w:r w:rsidR="00841C69" w:rsidRPr="008A4013">
        <w:instrText xml:space="preserve"> ADDIN EN.CITE </w:instrText>
      </w:r>
      <w:r w:rsidR="00841C69" w:rsidRPr="008A4013">
        <w:fldChar w:fldCharType="begin">
          <w:fldData xml:space="preserve">PEVuZE5vdGU+PENpdGU+PEF1dGhvcj5Pbmc8L0F1dGhvcj48WWVhcj4yMDA2PC9ZZWFyPjxSZWNO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==
</w:fldData>
        </w:fldChar>
      </w:r>
      <w:r w:rsidR="00841C69" w:rsidRPr="008A4013">
        <w:instrText xml:space="preserve"> ADDIN EN.CITE.DATA </w:instrText>
      </w:r>
      <w:r w:rsidR="00841C69" w:rsidRPr="008A4013">
        <w:fldChar w:fldCharType="end"/>
      </w:r>
      <w:r w:rsidR="008248C7" w:rsidRPr="008A4013">
        <w:fldChar w:fldCharType="separate"/>
      </w:r>
      <w:r w:rsidR="00A52215" w:rsidRPr="008A4013">
        <w:rPr>
          <w:noProof/>
        </w:rPr>
        <w:t>(</w:t>
      </w:r>
      <w:hyperlink w:anchor="_ENREF_29" w:tooltip="Ong, 2006 #44" w:history="1">
        <w:r w:rsidR="00DE221F" w:rsidRPr="008A4013">
          <w:rPr>
            <w:noProof/>
          </w:rPr>
          <w:t>Ong 2006: 2</w:t>
        </w:r>
      </w:hyperlink>
      <w:r w:rsidR="00A52215" w:rsidRPr="008A4013">
        <w:rPr>
          <w:noProof/>
        </w:rPr>
        <w:t xml:space="preserve">; </w:t>
      </w:r>
      <w:hyperlink w:anchor="_ENREF_31" w:tooltip="Peterson, 2010 #56" w:history="1">
        <w:r w:rsidR="00DE221F" w:rsidRPr="008A4013">
          <w:rPr>
            <w:noProof/>
          </w:rPr>
          <w:t>Peterson 2010</w:t>
        </w:r>
      </w:hyperlink>
      <w:r w:rsidR="00A52215" w:rsidRPr="008A4013">
        <w:rPr>
          <w:noProof/>
        </w:rPr>
        <w:t>)</w:t>
      </w:r>
      <w:r w:rsidR="008248C7" w:rsidRPr="008A4013">
        <w:fldChar w:fldCharType="end"/>
      </w:r>
      <w:r w:rsidR="00AD45D2" w:rsidRPr="008A4013">
        <w:t xml:space="preserve">, spokespeople </w:t>
      </w:r>
      <w:r w:rsidRPr="008A4013">
        <w:t xml:space="preserve">are more likely to </w:t>
      </w:r>
      <w:r w:rsidR="00AD45D2" w:rsidRPr="008A4013">
        <w:t xml:space="preserve">contest </w:t>
      </w:r>
      <w:r w:rsidRPr="008A4013">
        <w:t xml:space="preserve">such </w:t>
      </w:r>
      <w:r w:rsidR="00AD45D2" w:rsidRPr="008A4013">
        <w:t xml:space="preserve">neoliberal perspectives </w:t>
      </w:r>
      <w:r w:rsidR="00680FE9" w:rsidRPr="008A4013">
        <w:t>by</w:t>
      </w:r>
      <w:r w:rsidR="00AD45D2" w:rsidRPr="008A4013">
        <w:t xml:space="preserve"> </w:t>
      </w:r>
      <w:r w:rsidR="008F1A59" w:rsidRPr="008A4013">
        <w:t>emphasizing</w:t>
      </w:r>
      <w:r w:rsidR="00004F46" w:rsidRPr="008A4013">
        <w:t xml:space="preserve"> the importance of</w:t>
      </w:r>
      <w:r w:rsidR="00AD45D2" w:rsidRPr="008A4013">
        <w:t xml:space="preserve"> community-</w:t>
      </w:r>
      <w:r w:rsidRPr="008A4013">
        <w:t>driven</w:t>
      </w:r>
      <w:r w:rsidR="00075272" w:rsidRPr="008A4013">
        <w:t>, active</w:t>
      </w:r>
      <w:r w:rsidR="00AD45D2" w:rsidRPr="008A4013">
        <w:t xml:space="preserve"> opposition to homophobia in the here and now. </w:t>
      </w:r>
      <w:r w:rsidR="00075272" w:rsidRPr="008A4013">
        <w:t>While the religious fram</w:t>
      </w:r>
      <w:r w:rsidR="00762D23" w:rsidRPr="008A4013">
        <w:t xml:space="preserve">ing of these messages might not </w:t>
      </w:r>
      <w:r w:rsidR="00075272" w:rsidRPr="008A4013">
        <w:t xml:space="preserve">appeal to </w:t>
      </w:r>
      <w:r w:rsidR="00136293" w:rsidRPr="008A4013">
        <w:t>all</w:t>
      </w:r>
      <w:r w:rsidR="00075272" w:rsidRPr="008A4013">
        <w:t xml:space="preserve"> viewers, their </w:t>
      </w:r>
      <w:r w:rsidR="00136293" w:rsidRPr="008A4013">
        <w:t xml:space="preserve">perspective suggests </w:t>
      </w:r>
      <w:r w:rsidR="003F10C6" w:rsidRPr="008A4013">
        <w:t xml:space="preserve">that </w:t>
      </w:r>
      <w:r w:rsidR="00136293" w:rsidRPr="008A4013">
        <w:t xml:space="preserve">more diverse and accessible conceptions of “better” are possible. </w:t>
      </w:r>
      <w:r w:rsidR="005414D6" w:rsidRPr="008A4013">
        <w:t xml:space="preserve">I conclude </w:t>
      </w:r>
      <w:r w:rsidR="00004F46" w:rsidRPr="008A4013">
        <w:t xml:space="preserve">first </w:t>
      </w:r>
      <w:r w:rsidR="005414D6" w:rsidRPr="008A4013">
        <w:t xml:space="preserve">that </w:t>
      </w:r>
      <w:r w:rsidR="00762D23" w:rsidRPr="008A4013">
        <w:t>homophilic discourse</w:t>
      </w:r>
      <w:r w:rsidR="00004F46" w:rsidRPr="008A4013">
        <w:t xml:space="preserve"> </w:t>
      </w:r>
      <w:r w:rsidR="005414D6" w:rsidRPr="008A4013">
        <w:t xml:space="preserve">might </w:t>
      </w:r>
      <w:r w:rsidR="00004F46" w:rsidRPr="008A4013">
        <w:t xml:space="preserve">prove problematically limiting where </w:t>
      </w:r>
      <w:r w:rsidR="00762D23" w:rsidRPr="008A4013">
        <w:t>it</w:t>
      </w:r>
      <w:r w:rsidR="00004F46" w:rsidRPr="008A4013">
        <w:t xml:space="preserve"> echo</w:t>
      </w:r>
      <w:r w:rsidR="00762D23" w:rsidRPr="008A4013">
        <w:t>es</w:t>
      </w:r>
      <w:r w:rsidR="00004F46" w:rsidRPr="008A4013">
        <w:t xml:space="preserve"> other, </w:t>
      </w:r>
      <w:r w:rsidR="00762D23" w:rsidRPr="008A4013">
        <w:t>established</w:t>
      </w:r>
      <w:r w:rsidR="00004F46" w:rsidRPr="008A4013">
        <w:t xml:space="preserve"> social prejudices and hierarchies. Second</w:t>
      </w:r>
      <w:r w:rsidR="00F7391E" w:rsidRPr="008A4013">
        <w:t xml:space="preserve">, </w:t>
      </w:r>
      <w:r w:rsidR="00004F46" w:rsidRPr="008A4013">
        <w:t>I argue that</w:t>
      </w:r>
      <w:r w:rsidR="003F10C6" w:rsidRPr="008A4013">
        <w:t>,</w:t>
      </w:r>
      <w:r w:rsidR="00004F46" w:rsidRPr="008A4013">
        <w:t xml:space="preserve"> </w:t>
      </w:r>
      <w:r w:rsidR="00762D23" w:rsidRPr="008A4013">
        <w:t xml:space="preserve">alongside </w:t>
      </w:r>
      <w:r w:rsidR="00F7391E" w:rsidRPr="008A4013">
        <w:t xml:space="preserve">outright rejection of </w:t>
      </w:r>
      <w:r w:rsidR="00762D23" w:rsidRPr="008A4013">
        <w:t>conservative Christian</w:t>
      </w:r>
      <w:r w:rsidR="00F7391E" w:rsidRPr="008A4013">
        <w:t xml:space="preserve"> rhetoric, open and affi</w:t>
      </w:r>
      <w:r w:rsidR="00762D23" w:rsidRPr="008A4013">
        <w:t xml:space="preserve">rming faith-based discourse might </w:t>
      </w:r>
      <w:r w:rsidR="00004F46" w:rsidRPr="008A4013">
        <w:t>offer</w:t>
      </w:r>
      <w:r w:rsidR="00762D23" w:rsidRPr="008A4013">
        <w:t xml:space="preserve"> a</w:t>
      </w:r>
      <w:r w:rsidR="00004F46" w:rsidRPr="008A4013">
        <w:t xml:space="preserve"> useful</w:t>
      </w:r>
      <w:r w:rsidR="00F7391E" w:rsidRPr="008A4013">
        <w:t xml:space="preserve"> riposte to </w:t>
      </w:r>
      <w:r w:rsidR="004B40E4" w:rsidRPr="008A4013">
        <w:t>institutionalized homophobic attitudes in U.S. politics and society</w:t>
      </w:r>
      <w:r w:rsidR="00F7391E" w:rsidRPr="008A4013">
        <w:t>.</w:t>
      </w:r>
      <w:r w:rsidR="00004F46" w:rsidRPr="008A4013">
        <w:t xml:space="preserve"> </w:t>
      </w:r>
      <w:r w:rsidR="004D3C1F" w:rsidRPr="008A4013">
        <w:t xml:space="preserve">In keeping with my outlook as a public anthropologist, I believe both conclusions can </w:t>
      </w:r>
      <w:r w:rsidR="00816F52" w:rsidRPr="008A4013">
        <w:t xml:space="preserve">contribute to on-going efforts to oppose </w:t>
      </w:r>
      <w:r w:rsidR="00136293" w:rsidRPr="008A4013">
        <w:t xml:space="preserve">not only </w:t>
      </w:r>
      <w:r w:rsidR="00816F52" w:rsidRPr="008A4013">
        <w:t xml:space="preserve">homophobic, </w:t>
      </w:r>
      <w:r w:rsidR="00136293" w:rsidRPr="008A4013">
        <w:t>but</w:t>
      </w:r>
      <w:r w:rsidR="003F10C6" w:rsidRPr="008A4013">
        <w:t xml:space="preserve"> also</w:t>
      </w:r>
      <w:r w:rsidR="00816F52" w:rsidRPr="008A4013">
        <w:t xml:space="preserve"> </w:t>
      </w:r>
      <w:r w:rsidR="00136293" w:rsidRPr="008A4013">
        <w:t xml:space="preserve">intersecting </w:t>
      </w:r>
      <w:r w:rsidR="00816F52" w:rsidRPr="008A4013">
        <w:t>forms of oppression</w:t>
      </w:r>
      <w:r w:rsidR="00136293" w:rsidRPr="008A4013">
        <w:t xml:space="preserve"> faced by LGBT youth</w:t>
      </w:r>
      <w:r w:rsidR="00816F52" w:rsidRPr="008A4013">
        <w:t>.</w:t>
      </w:r>
      <w:r w:rsidR="00816F52" w:rsidRPr="008A4013">
        <w:rPr>
          <w:b/>
        </w:rPr>
        <w:t xml:space="preserve"> </w:t>
      </w:r>
    </w:p>
    <w:p w14:paraId="268FA82E" w14:textId="77777777" w:rsidR="00D8465A" w:rsidRPr="008A4013" w:rsidRDefault="00D8465A" w:rsidP="00C137CF">
      <w:pPr>
        <w:tabs>
          <w:tab w:val="left" w:pos="709"/>
        </w:tabs>
        <w:ind w:firstLine="0"/>
      </w:pPr>
    </w:p>
    <w:p w14:paraId="7033BFCE" w14:textId="77777777" w:rsidR="00483F76" w:rsidRPr="008A4013" w:rsidRDefault="00483F76" w:rsidP="00C137CF">
      <w:pPr>
        <w:ind w:firstLine="0"/>
        <w:rPr>
          <w:b/>
        </w:rPr>
      </w:pPr>
      <w:r w:rsidRPr="008A4013">
        <w:rPr>
          <w:b/>
        </w:rPr>
        <w:t xml:space="preserve">2. </w:t>
      </w:r>
      <w:r w:rsidR="00756164" w:rsidRPr="008A4013">
        <w:rPr>
          <w:b/>
        </w:rPr>
        <w:t>Data Collection and Analysis</w:t>
      </w:r>
    </w:p>
    <w:p w14:paraId="0C522C8A" w14:textId="77777777" w:rsidR="00280B09" w:rsidRPr="008A4013" w:rsidRDefault="00DE4540" w:rsidP="00C137CF">
      <w:pPr>
        <w:tabs>
          <w:tab w:val="left" w:pos="709"/>
        </w:tabs>
        <w:ind w:firstLine="0"/>
      </w:pPr>
      <w:r w:rsidRPr="008A4013">
        <w:t xml:space="preserve">The standard format of </w:t>
      </w:r>
      <w:r w:rsidR="00244CB9" w:rsidRPr="008A4013">
        <w:t>IGBP</w:t>
      </w:r>
      <w:r w:rsidRPr="008A4013">
        <w:t xml:space="preserve"> videos is</w:t>
      </w:r>
      <w:r w:rsidR="005B1316" w:rsidRPr="008A4013">
        <w:t xml:space="preserve"> </w:t>
      </w:r>
      <w:r w:rsidRPr="008A4013">
        <w:t>d</w:t>
      </w:r>
      <w:r w:rsidR="000A32B5" w:rsidRPr="008A4013">
        <w:t>irect-to-camera address</w:t>
      </w:r>
      <w:r w:rsidRPr="008A4013">
        <w:t>.</w:t>
      </w:r>
      <w:r w:rsidR="000A32B5" w:rsidRPr="008A4013">
        <w:t xml:space="preserve"> </w:t>
      </w:r>
      <w:r w:rsidR="005B1316" w:rsidRPr="008A4013">
        <w:t>The use of animations, titles or other digital elaboration</w:t>
      </w:r>
      <w:r w:rsidR="00BF31A5" w:rsidRPr="008A4013">
        <w:t xml:space="preserve"> in clips</w:t>
      </w:r>
      <w:r w:rsidR="005B1316" w:rsidRPr="008A4013">
        <w:t xml:space="preserve"> is rare, and the vast majority feature </w:t>
      </w:r>
      <w:r w:rsidR="00EF0900" w:rsidRPr="008A4013">
        <w:t>a single</w:t>
      </w:r>
      <w:r w:rsidR="005B1316" w:rsidRPr="008A4013">
        <w:t xml:space="preserve"> </w:t>
      </w:r>
      <w:r w:rsidR="00EF0900" w:rsidRPr="008A4013">
        <w:t>s</w:t>
      </w:r>
      <w:r w:rsidR="005B1316" w:rsidRPr="008A4013">
        <w:t xml:space="preserve">peaker, </w:t>
      </w:r>
      <w:r w:rsidR="00EF0900" w:rsidRPr="008A4013">
        <w:lastRenderedPageBreak/>
        <w:t>visible</w:t>
      </w:r>
      <w:r w:rsidR="005B1316" w:rsidRPr="008A4013">
        <w:t xml:space="preserve"> from </w:t>
      </w:r>
      <w:r w:rsidR="00EF0900" w:rsidRPr="008A4013">
        <w:t>the waist, or occasionally neck</w:t>
      </w:r>
      <w:r w:rsidR="005B1316" w:rsidRPr="008A4013">
        <w:t xml:space="preserve"> up. While some messages appear scripted or </w:t>
      </w:r>
      <w:r w:rsidR="001A4E00" w:rsidRPr="008A4013">
        <w:t>rehearsed</w:t>
      </w:r>
      <w:r w:rsidR="005B1316" w:rsidRPr="008A4013">
        <w:t xml:space="preserve">, the overall tone of </w:t>
      </w:r>
      <w:r w:rsidR="00244CB9" w:rsidRPr="008A4013">
        <w:t>IGBP</w:t>
      </w:r>
      <w:r w:rsidR="005B1316" w:rsidRPr="008A4013">
        <w:t xml:space="preserve"> </w:t>
      </w:r>
      <w:r w:rsidR="00BF31A5" w:rsidRPr="008A4013">
        <w:t>messages</w:t>
      </w:r>
      <w:r w:rsidR="005B1316" w:rsidRPr="008A4013">
        <w:t xml:space="preserve"> is informal. </w:t>
      </w:r>
    </w:p>
    <w:p w14:paraId="4783506C" w14:textId="7D764F46" w:rsidR="00280B09" w:rsidRPr="008A4013" w:rsidRDefault="00280B09" w:rsidP="00C137CF">
      <w:pPr>
        <w:tabs>
          <w:tab w:val="left" w:pos="709"/>
        </w:tabs>
        <w:ind w:firstLine="0"/>
      </w:pPr>
      <w:r w:rsidRPr="008A4013">
        <w:tab/>
      </w:r>
      <w:r w:rsidR="00244CB9" w:rsidRPr="008A4013">
        <w:t>IGBP</w:t>
      </w:r>
      <w:r w:rsidRPr="008A4013">
        <w:t xml:space="preserve"> videos can be uploaded to YouTube.com or directly to the official website</w:t>
      </w:r>
      <w:r w:rsidR="00057629" w:rsidRPr="008A4013">
        <w:t>.</w:t>
      </w:r>
      <w:r w:rsidR="001A4E00" w:rsidRPr="008A4013">
        <w:rPr>
          <w:rStyle w:val="FootnoteReference"/>
        </w:rPr>
        <w:footnoteReference w:id="4"/>
      </w:r>
      <w:r w:rsidRPr="008A4013">
        <w:rPr>
          <w:rStyle w:val="Hyperlink"/>
          <w:color w:val="auto"/>
          <w:u w:val="none"/>
        </w:rPr>
        <w:t xml:space="preserve"> I have chosen to </w:t>
      </w:r>
      <w:r w:rsidR="008F1A59" w:rsidRPr="008A4013">
        <w:rPr>
          <w:rStyle w:val="Hyperlink"/>
          <w:color w:val="auto"/>
          <w:u w:val="none"/>
        </w:rPr>
        <w:t>analyze</w:t>
      </w:r>
      <w:r w:rsidRPr="008A4013">
        <w:rPr>
          <w:rStyle w:val="Hyperlink"/>
          <w:color w:val="auto"/>
          <w:u w:val="none"/>
        </w:rPr>
        <w:t xml:space="preserve"> videos taken from the official website as I am </w:t>
      </w:r>
      <w:r w:rsidR="005E4A94" w:rsidRPr="008A4013">
        <w:rPr>
          <w:rStyle w:val="Hyperlink"/>
          <w:color w:val="auto"/>
          <w:u w:val="none"/>
        </w:rPr>
        <w:t xml:space="preserve">primarily </w:t>
      </w:r>
      <w:r w:rsidRPr="008A4013">
        <w:rPr>
          <w:rStyle w:val="Hyperlink"/>
          <w:color w:val="auto"/>
          <w:u w:val="none"/>
        </w:rPr>
        <w:t xml:space="preserve">concerned with the </w:t>
      </w:r>
      <w:r w:rsidR="005E4A94" w:rsidRPr="008A4013">
        <w:rPr>
          <w:rStyle w:val="Hyperlink"/>
          <w:color w:val="auto"/>
          <w:u w:val="none"/>
        </w:rPr>
        <w:t xml:space="preserve">official, or </w:t>
      </w:r>
      <w:r w:rsidR="004B40E4" w:rsidRPr="008A4013">
        <w:rPr>
          <w:rStyle w:val="Hyperlink"/>
          <w:color w:val="auto"/>
          <w:u w:val="none"/>
        </w:rPr>
        <w:t xml:space="preserve">at least </w:t>
      </w:r>
      <w:r w:rsidRPr="008A4013">
        <w:rPr>
          <w:rStyle w:val="Hyperlink"/>
          <w:color w:val="auto"/>
          <w:u w:val="none"/>
        </w:rPr>
        <w:t>sanctioned</w:t>
      </w:r>
      <w:r w:rsidR="003F10C6" w:rsidRPr="008A4013">
        <w:rPr>
          <w:rStyle w:val="Hyperlink"/>
          <w:color w:val="auto"/>
          <w:u w:val="none"/>
        </w:rPr>
        <w:t>,</w:t>
      </w:r>
      <w:r w:rsidRPr="008A4013">
        <w:rPr>
          <w:rStyle w:val="Hyperlink"/>
          <w:color w:val="auto"/>
          <w:u w:val="none"/>
        </w:rPr>
        <w:t xml:space="preserve"> narrative</w:t>
      </w:r>
      <w:r w:rsidR="004B40E4" w:rsidRPr="008A4013">
        <w:rPr>
          <w:rStyle w:val="Hyperlink"/>
          <w:color w:val="auto"/>
          <w:u w:val="none"/>
        </w:rPr>
        <w:t>:</w:t>
      </w:r>
      <w:r w:rsidR="005E4A94" w:rsidRPr="008A4013">
        <w:rPr>
          <w:rStyle w:val="Hyperlink"/>
          <w:color w:val="auto"/>
          <w:u w:val="none"/>
        </w:rPr>
        <w:t xml:space="preserve"> </w:t>
      </w:r>
      <w:r w:rsidR="004B40E4" w:rsidRPr="008A4013">
        <w:rPr>
          <w:rStyle w:val="Hyperlink"/>
          <w:color w:val="auto"/>
          <w:u w:val="none"/>
        </w:rPr>
        <w:t>T</w:t>
      </w:r>
      <w:r w:rsidR="00EF0900" w:rsidRPr="008A4013">
        <w:rPr>
          <w:rStyle w:val="Hyperlink"/>
          <w:color w:val="auto"/>
          <w:u w:val="none"/>
        </w:rPr>
        <w:t xml:space="preserve">he official </w:t>
      </w:r>
      <w:r w:rsidR="004B40E4" w:rsidRPr="008A4013">
        <w:rPr>
          <w:rStyle w:val="Hyperlink"/>
          <w:color w:val="auto"/>
          <w:u w:val="none"/>
        </w:rPr>
        <w:t xml:space="preserve">IGBP </w:t>
      </w:r>
      <w:r w:rsidR="00EF0900" w:rsidRPr="008A4013">
        <w:rPr>
          <w:rStyle w:val="Hyperlink"/>
          <w:color w:val="auto"/>
          <w:u w:val="none"/>
        </w:rPr>
        <w:t>site</w:t>
      </w:r>
      <w:r w:rsidRPr="008A4013">
        <w:rPr>
          <w:rStyle w:val="Hyperlink"/>
          <w:color w:val="auto"/>
          <w:u w:val="none"/>
        </w:rPr>
        <w:t xml:space="preserve"> has more stringent removal policies </w:t>
      </w:r>
      <w:r w:rsidR="00756164" w:rsidRPr="008A4013">
        <w:rPr>
          <w:rStyle w:val="Hyperlink"/>
          <w:color w:val="auto"/>
          <w:u w:val="none"/>
        </w:rPr>
        <w:t xml:space="preserve">for what it regards as “offensive content” </w:t>
      </w:r>
      <w:r w:rsidRPr="008A4013">
        <w:rPr>
          <w:rStyle w:val="Hyperlink"/>
          <w:color w:val="auto"/>
          <w:u w:val="none"/>
        </w:rPr>
        <w:t xml:space="preserve">than </w:t>
      </w:r>
      <w:r w:rsidR="00044E52" w:rsidRPr="008A4013">
        <w:rPr>
          <w:rStyle w:val="Hyperlink"/>
          <w:color w:val="auto"/>
          <w:u w:val="none"/>
        </w:rPr>
        <w:t xml:space="preserve">does </w:t>
      </w:r>
      <w:r w:rsidRPr="008A4013">
        <w:rPr>
          <w:rStyle w:val="Hyperlink"/>
          <w:color w:val="auto"/>
          <w:u w:val="none"/>
        </w:rPr>
        <w:t>YouTube</w:t>
      </w:r>
      <w:r w:rsidR="00057629" w:rsidRPr="008A4013">
        <w:rPr>
          <w:rStyle w:val="Hyperlink"/>
          <w:color w:val="auto"/>
          <w:u w:val="none"/>
        </w:rPr>
        <w:t>,</w:t>
      </w:r>
      <w:r w:rsidR="001A4E00" w:rsidRPr="008A4013">
        <w:rPr>
          <w:rStyle w:val="FootnoteReference"/>
        </w:rPr>
        <w:footnoteReference w:id="5"/>
      </w:r>
      <w:r w:rsidR="004B40E4" w:rsidRPr="008A4013">
        <w:rPr>
          <w:rStyle w:val="Hyperlink"/>
          <w:color w:val="auto"/>
          <w:u w:val="none"/>
        </w:rPr>
        <w:t xml:space="preserve"> and uses its own system of categories and tags to organize uploaded content</w:t>
      </w:r>
      <w:r w:rsidRPr="008A4013">
        <w:rPr>
          <w:rStyle w:val="Hyperlink"/>
          <w:color w:val="auto"/>
          <w:u w:val="none"/>
        </w:rPr>
        <w:t>.</w:t>
      </w:r>
      <w:r w:rsidRPr="008A4013">
        <w:t xml:space="preserve"> </w:t>
      </w:r>
    </w:p>
    <w:p w14:paraId="13B1121C" w14:textId="4122264E" w:rsidR="005B1316" w:rsidRPr="008A4013" w:rsidRDefault="00EF0900" w:rsidP="00C137CF">
      <w:pPr>
        <w:tabs>
          <w:tab w:val="left" w:pos="709"/>
        </w:tabs>
        <w:ind w:firstLine="0"/>
      </w:pPr>
      <w:r w:rsidRPr="008A4013">
        <w:tab/>
        <w:t>I follow</w:t>
      </w:r>
      <w:r w:rsidR="00280B09" w:rsidRPr="008A4013">
        <w:t xml:space="preserve"> Earle and Sharp’s </w:t>
      </w:r>
      <w:r w:rsidR="008248C7" w:rsidRPr="008A4013">
        <w:fldChar w:fldCharType="begin"/>
      </w:r>
      <w:r w:rsidR="00841C69" w:rsidRPr="008A4013">
        <w:instrText xml:space="preserve"> ADDIN EN.CITE &lt;EndNote&gt;&lt;Cite ExcludeAuth="1"&gt;&lt;Author&gt;Earle&lt;/Author&gt;&lt;Year&gt;2007&lt;/Year&gt;&lt;RecNum&gt;48&lt;/RecNum&gt;&lt;DisplayText&gt;(2007)&lt;/DisplayText&gt;&lt;record&gt;&lt;rec-number&gt;48&lt;/rec-number&gt;&lt;foreign-keys&gt;&lt;key app="EN" db-id="x0x2x9vw3vz5wretwfnpsavdxe0w5pfpzees"&gt;48&lt;/key&gt;&lt;/foreign-keys&gt;&lt;ref-type name="Book"&gt;6&lt;/ref-type&gt;&lt;contributors&gt;&lt;authors&gt;&lt;author&gt;Earle, Sarah&lt;/author&gt;&lt;author&gt;Keith Sharp&lt;/author&gt;&lt;/authors&gt;&lt;/contributors&gt;&lt;titles&gt;&lt;title&gt;Sex in Cyberspace: Men Who Pay for Sex&lt;/title&gt;&lt;/titles&gt;&lt;dates&gt;&lt;year&gt;2007&lt;/year&gt;&lt;/dates&gt;&lt;pub-location&gt;Aldershot&lt;/pub-location&gt;&lt;publisher&gt;Ashgate&lt;/publisher&gt;&lt;urls&gt;&lt;/urls&gt;&lt;/record&gt;&lt;/Cite&gt;&lt;/EndNote&gt;</w:instrText>
      </w:r>
      <w:r w:rsidR="008248C7" w:rsidRPr="008A4013">
        <w:fldChar w:fldCharType="separate"/>
      </w:r>
      <w:r w:rsidR="00070F1C" w:rsidRPr="008A4013">
        <w:rPr>
          <w:noProof/>
        </w:rPr>
        <w:t>(</w:t>
      </w:r>
      <w:hyperlink w:anchor="_ENREF_9" w:tooltip="Earle, 2007 #48" w:history="1">
        <w:r w:rsidR="00DE221F" w:rsidRPr="008A4013">
          <w:rPr>
            <w:noProof/>
          </w:rPr>
          <w:t>2007</w:t>
        </w:r>
      </w:hyperlink>
      <w:r w:rsidR="00070F1C" w:rsidRPr="008A4013">
        <w:rPr>
          <w:noProof/>
        </w:rPr>
        <w:t>)</w:t>
      </w:r>
      <w:r w:rsidR="008248C7" w:rsidRPr="008A4013">
        <w:fldChar w:fldCharType="end"/>
      </w:r>
      <w:r w:rsidR="00280B09" w:rsidRPr="008A4013">
        <w:t xml:space="preserve"> </w:t>
      </w:r>
      <w:r w:rsidR="00044E52" w:rsidRPr="008A4013">
        <w:t xml:space="preserve">consideration </w:t>
      </w:r>
      <w:r w:rsidR="00280B09" w:rsidRPr="008A4013">
        <w:t>of b</w:t>
      </w:r>
      <w:r w:rsidR="007101AF" w:rsidRPr="008A4013">
        <w:t xml:space="preserve">est practice in online research </w:t>
      </w:r>
      <w:r w:rsidR="00A52215" w:rsidRPr="008A4013">
        <w:t>with regards to</w:t>
      </w:r>
      <w:r w:rsidR="00280B09" w:rsidRPr="008A4013">
        <w:t xml:space="preserve"> consent, data collection and initial analysis. On the issue of ethical research </w:t>
      </w:r>
      <w:r w:rsidR="00A52215" w:rsidRPr="008A4013">
        <w:t xml:space="preserve">methods </w:t>
      </w:r>
      <w:r w:rsidR="00280B09" w:rsidRPr="008A4013">
        <w:t xml:space="preserve">and consent, I argue that </w:t>
      </w:r>
      <w:r w:rsidR="00244CB9" w:rsidRPr="008A4013">
        <w:t>IGBP</w:t>
      </w:r>
      <w:r w:rsidR="00280B09" w:rsidRPr="008A4013">
        <w:t xml:space="preserve"> videos</w:t>
      </w:r>
      <w:r w:rsidR="00912F80" w:rsidRPr="008A4013">
        <w:t xml:space="preserve"> not only</w:t>
      </w:r>
      <w:r w:rsidR="00280B09" w:rsidRPr="008A4013">
        <w:t xml:space="preserve"> fall into the category of “most publically accessible” online material</w:t>
      </w:r>
      <w:r w:rsidR="001C51EB">
        <w:t>, but are</w:t>
      </w:r>
      <w:r w:rsidR="00912F80" w:rsidRPr="008A4013">
        <w:t xml:space="preserve"> also “publically disseminated” texts</w:t>
      </w:r>
      <w:r w:rsidR="00280B09" w:rsidRPr="008A4013">
        <w:t xml:space="preserve"> </w:t>
      </w:r>
      <w:r w:rsidR="008248C7" w:rsidRPr="008A4013">
        <w:fldChar w:fldCharType="begin"/>
      </w:r>
      <w:r w:rsidR="00841C69" w:rsidRPr="008A4013">
        <w:instrText xml:space="preserve"> ADDIN EN.CITE &lt;EndNote&gt;&lt;Cite&gt;&lt;Author&gt;Earle&lt;/Author&gt;&lt;Year&gt;2007&lt;/Year&gt;&lt;RecNum&gt;48&lt;/RecNum&gt;&lt;Pages&gt;31&lt;/Pages&gt;&lt;DisplayText&gt;(Earle &amp;amp; Sharp 2007: 31)&lt;/DisplayText&gt;&lt;record&gt;&lt;rec-number&gt;48&lt;/rec-number&gt;&lt;foreign-keys&gt;&lt;key app="EN" db-id="x0x2x9vw3vz5wretwfnpsavdxe0w5pfpzees"&gt;48&lt;/key&gt;&lt;/foreign-keys&gt;&lt;ref-type name="Book"&gt;6&lt;/ref-type&gt;&lt;contributors&gt;&lt;authors&gt;&lt;author&gt;Earle, Sarah&lt;/author&gt;&lt;author&gt;Keith Sharp&lt;/author&gt;&lt;/authors&gt;&lt;/contributors&gt;&lt;titles&gt;&lt;title&gt;Sex in Cyberspace: Men Who Pay for Sex&lt;/title&gt;&lt;/titles&gt;&lt;dates&gt;&lt;year&gt;2007&lt;/year&gt;&lt;/dates&gt;&lt;pub-location&gt;Aldershot&lt;/pub-location&gt;&lt;publisher&gt;Ashgate&lt;/publisher&gt;&lt;urls&gt;&lt;/urls&gt;&lt;/record&gt;&lt;/Cite&gt;&lt;/EndNote&gt;</w:instrText>
      </w:r>
      <w:r w:rsidR="008248C7" w:rsidRPr="008A4013">
        <w:fldChar w:fldCharType="separate"/>
      </w:r>
      <w:r w:rsidR="0095658A" w:rsidRPr="008A4013">
        <w:rPr>
          <w:noProof/>
        </w:rPr>
        <w:t>(</w:t>
      </w:r>
      <w:hyperlink w:anchor="_ENREF_9" w:tooltip="Earle, 2007 #48" w:history="1">
        <w:r w:rsidR="00DE221F" w:rsidRPr="008A4013">
          <w:rPr>
            <w:noProof/>
          </w:rPr>
          <w:t>Earle &amp; Sharp 2007: 31</w:t>
        </w:r>
      </w:hyperlink>
      <w:r w:rsidR="0095658A" w:rsidRPr="008A4013">
        <w:rPr>
          <w:noProof/>
        </w:rPr>
        <w:t>)</w:t>
      </w:r>
      <w:r w:rsidR="008248C7" w:rsidRPr="008A4013">
        <w:fldChar w:fldCharType="end"/>
      </w:r>
      <w:r w:rsidR="00280B09" w:rsidRPr="008A4013">
        <w:t xml:space="preserve">. </w:t>
      </w:r>
      <w:r w:rsidR="004D3C1F" w:rsidRPr="008A4013">
        <w:t>T</w:t>
      </w:r>
      <w:r w:rsidR="00280B09" w:rsidRPr="008A4013">
        <w:t xml:space="preserve">heir makers </w:t>
      </w:r>
      <w:r w:rsidR="004D3C1F" w:rsidRPr="008A4013">
        <w:t xml:space="preserve">placed them in the public domain </w:t>
      </w:r>
      <w:r w:rsidR="00912F80" w:rsidRPr="008A4013">
        <w:t>with the explicit intention and understanding</w:t>
      </w:r>
      <w:r w:rsidR="00AF0E5D" w:rsidRPr="008A4013">
        <w:t xml:space="preserve"> that th</w:t>
      </w:r>
      <w:r w:rsidR="004D3C1F" w:rsidRPr="008A4013">
        <w:t>ey will be available to all.</w:t>
      </w:r>
      <w:r w:rsidR="009F7C69" w:rsidRPr="008A4013">
        <w:rPr>
          <w:rStyle w:val="FootnoteReference"/>
        </w:rPr>
        <w:footnoteReference w:id="6"/>
      </w:r>
      <w:r w:rsidRPr="008A4013">
        <w:t xml:space="preserve"> </w:t>
      </w:r>
      <w:r w:rsidR="00912F80" w:rsidRPr="008A4013">
        <w:t xml:space="preserve">I </w:t>
      </w:r>
      <w:r w:rsidR="009F7C69" w:rsidRPr="008A4013">
        <w:t xml:space="preserve">have </w:t>
      </w:r>
      <w:r w:rsidR="00AB446B" w:rsidRPr="008A4013">
        <w:t>therefore retained the names used by thos</w:t>
      </w:r>
      <w:r w:rsidR="00912F80" w:rsidRPr="008A4013">
        <w:t>e video makers</w:t>
      </w:r>
      <w:r w:rsidR="00280B09" w:rsidRPr="008A4013">
        <w:t xml:space="preserve"> </w:t>
      </w:r>
      <w:r w:rsidR="00070F1C" w:rsidRPr="008A4013">
        <w:t xml:space="preserve">who </w:t>
      </w:r>
      <w:r w:rsidR="00AB446B" w:rsidRPr="008A4013">
        <w:t xml:space="preserve">publically </w:t>
      </w:r>
      <w:r w:rsidRPr="008A4013">
        <w:t>identify themselves</w:t>
      </w:r>
      <w:r w:rsidR="00912F80" w:rsidRPr="008A4013">
        <w:t xml:space="preserve"> </w:t>
      </w:r>
      <w:r w:rsidR="00E54C7E" w:rsidRPr="008A4013">
        <w:fldChar w:fldCharType="begin"/>
      </w:r>
      <w:r w:rsidR="00841C69" w:rsidRPr="008A4013">
        <w:instrText xml:space="preserve"> ADDIN EN.CITE &lt;EndNote&gt;&lt;Cite&gt;&lt;Author&gt;Earle&lt;/Author&gt;&lt;Year&gt;2007&lt;/Year&gt;&lt;RecNum&gt;48&lt;/RecNum&gt;&lt;Prefix&gt;see &lt;/Prefix&gt;&lt;Suffix&gt; for further discussion&lt;/Suffix&gt;&lt;Pages&gt;32&lt;/Pages&gt;&lt;DisplayText&gt;(see Earle &amp;amp; Sharp 2007: 32 for further discussion)&lt;/DisplayText&gt;&lt;record&gt;&lt;rec-number&gt;48&lt;/rec-number&gt;&lt;foreign-keys&gt;&lt;key app="EN" db-id="x0x2x9vw3vz5wretwfnpsavdxe0w5pfpzees"&gt;48&lt;/key&gt;&lt;/foreign-keys&gt;&lt;ref-type name="Book"&gt;6&lt;/ref-type&gt;&lt;contributors&gt;&lt;authors&gt;&lt;author&gt;Earle, Sarah&lt;/author&gt;&lt;author&gt;Keith Sharp&lt;/author&gt;&lt;/authors&gt;&lt;/contributors&gt;&lt;titles&gt;&lt;title&gt;Sex in Cyberspace: Men Who Pay for Sex&lt;/title&gt;&lt;/titles&gt;&lt;dates&gt;&lt;year&gt;2007&lt;/year&gt;&lt;/dates&gt;&lt;pub-location&gt;Aldershot&lt;/pub-location&gt;&lt;publisher&gt;Ashgate&lt;/publisher&gt;&lt;urls&gt;&lt;/urls&gt;&lt;/record&gt;&lt;/Cite&gt;&lt;/EndNote&gt;</w:instrText>
      </w:r>
      <w:r w:rsidR="00E54C7E" w:rsidRPr="008A4013">
        <w:fldChar w:fldCharType="separate"/>
      </w:r>
      <w:r w:rsidR="0095658A" w:rsidRPr="008A4013">
        <w:rPr>
          <w:noProof/>
        </w:rPr>
        <w:t>(</w:t>
      </w:r>
      <w:hyperlink w:anchor="_ENREF_9" w:tooltip="Earle, 2007 #48" w:history="1">
        <w:r w:rsidR="00DE221F" w:rsidRPr="008A4013">
          <w:rPr>
            <w:noProof/>
          </w:rPr>
          <w:t>see Earle &amp; Sharp 2007: 32 for further discussion</w:t>
        </w:r>
      </w:hyperlink>
      <w:r w:rsidR="0095658A" w:rsidRPr="008A4013">
        <w:rPr>
          <w:noProof/>
        </w:rPr>
        <w:t>)</w:t>
      </w:r>
      <w:r w:rsidR="00E54C7E" w:rsidRPr="008A4013">
        <w:fldChar w:fldCharType="end"/>
      </w:r>
      <w:r w:rsidR="00912F80" w:rsidRPr="008A4013">
        <w:t>.</w:t>
      </w:r>
    </w:p>
    <w:p w14:paraId="0B106B9B" w14:textId="562453D4" w:rsidR="000A32B5" w:rsidRPr="008A4013" w:rsidRDefault="00D67308" w:rsidP="00C137CF">
      <w:pPr>
        <w:tabs>
          <w:tab w:val="left" w:pos="709"/>
        </w:tabs>
        <w:ind w:firstLine="0"/>
      </w:pPr>
      <w:r w:rsidRPr="008A4013">
        <w:tab/>
      </w:r>
      <w:r w:rsidR="006D0E09" w:rsidRPr="008A4013">
        <w:t xml:space="preserve">In this paper, I compare and discuss twenty IGBP videos, all downloaded on 20 February 2012. </w:t>
      </w:r>
      <w:r w:rsidRPr="008A4013">
        <w:t>As of this date,</w:t>
      </w:r>
      <w:r w:rsidR="000E581F" w:rsidRPr="008A4013">
        <w:t xml:space="preserve"> </w:t>
      </w:r>
      <w:r w:rsidR="001A4E00" w:rsidRPr="008A4013">
        <w:t xml:space="preserve">2,298 </w:t>
      </w:r>
      <w:r w:rsidR="000E581F" w:rsidRPr="008A4013">
        <w:t xml:space="preserve">videos were </w:t>
      </w:r>
      <w:r w:rsidRPr="008A4013">
        <w:t>available</w:t>
      </w:r>
      <w:r w:rsidR="000E581F" w:rsidRPr="008A4013">
        <w:t xml:space="preserve"> on </w:t>
      </w:r>
      <w:r w:rsidR="001A4E00" w:rsidRPr="008A4013">
        <w:t xml:space="preserve">the </w:t>
      </w:r>
      <w:r w:rsidR="00A52215" w:rsidRPr="008A4013">
        <w:t xml:space="preserve">official </w:t>
      </w:r>
      <w:r w:rsidR="00244CB9" w:rsidRPr="008A4013">
        <w:t>IGBP</w:t>
      </w:r>
      <w:r w:rsidR="001A4E00" w:rsidRPr="008A4013">
        <w:t xml:space="preserve"> website</w:t>
      </w:r>
      <w:r w:rsidR="006D0E09" w:rsidRPr="008A4013">
        <w:t xml:space="preserve">, </w:t>
      </w:r>
      <w:r w:rsidR="000E581F" w:rsidRPr="008A4013">
        <w:t>203</w:t>
      </w:r>
      <w:r w:rsidR="006D0E09" w:rsidRPr="008A4013">
        <w:t xml:space="preserve"> of which were included in the Faith category</w:t>
      </w:r>
      <w:r w:rsidR="000E581F" w:rsidRPr="008A4013">
        <w:t xml:space="preserve">. </w:t>
      </w:r>
      <w:r w:rsidR="00AF0E5D" w:rsidRPr="008A4013">
        <w:t>Authors determine which categories their video will be included in when they use keywords in</w:t>
      </w:r>
      <w:r w:rsidR="00EF4ADB" w:rsidRPr="008A4013">
        <w:t xml:space="preserve"> the title</w:t>
      </w:r>
      <w:r w:rsidR="00AF0E5D" w:rsidRPr="008A4013">
        <w:t>, or as “tags” accompany</w:t>
      </w:r>
      <w:r w:rsidR="004D3C1F" w:rsidRPr="008A4013">
        <w:t>ing</w:t>
      </w:r>
      <w:r w:rsidR="00AF0E5D" w:rsidRPr="008A4013">
        <w:t xml:space="preserve"> their clip</w:t>
      </w:r>
      <w:r w:rsidR="00EF4ADB" w:rsidRPr="008A4013">
        <w:t>.</w:t>
      </w:r>
      <w:r w:rsidR="004D3C1F" w:rsidRPr="008A4013">
        <w:t xml:space="preserve"> </w:t>
      </w:r>
      <w:r w:rsidRPr="008A4013">
        <w:t>Taking</w:t>
      </w:r>
      <w:r w:rsidR="00A4421F" w:rsidRPr="008A4013">
        <w:t xml:space="preserve"> a sample size of</w:t>
      </w:r>
      <w:r w:rsidR="000A32B5" w:rsidRPr="008A4013">
        <w:t xml:space="preserve"> </w:t>
      </w:r>
      <w:r w:rsidRPr="008A4013">
        <w:t xml:space="preserve">ten per cent, I selected twenty videos through a process of systematic </w:t>
      </w:r>
      <w:r w:rsidRPr="008A4013">
        <w:lastRenderedPageBreak/>
        <w:t>random sampling</w:t>
      </w:r>
      <w:r w:rsidR="004F789C" w:rsidRPr="008A4013">
        <w:t>.</w:t>
      </w:r>
      <w:r w:rsidRPr="008A4013">
        <w:rPr>
          <w:rStyle w:val="FootnoteReference"/>
        </w:rPr>
        <w:footnoteReference w:id="7"/>
      </w:r>
      <w:r w:rsidRPr="008A4013">
        <w:t xml:space="preserve"> I then transcribed the </w:t>
      </w:r>
      <w:r w:rsidR="006D0E09" w:rsidRPr="008A4013">
        <w:t xml:space="preserve">verbal text of each video, </w:t>
      </w:r>
      <w:r w:rsidRPr="008A4013">
        <w:t xml:space="preserve">noting the name, profession and any other declared identity markers of the speakers for each </w:t>
      </w:r>
      <w:r w:rsidR="00EF4ADB" w:rsidRPr="008A4013">
        <w:t>clip</w:t>
      </w:r>
      <w:r w:rsidRPr="008A4013">
        <w:t xml:space="preserve">. This iterative process allowed me to obtain a </w:t>
      </w:r>
      <w:r w:rsidR="00AB446B" w:rsidRPr="008A4013">
        <w:t>good</w:t>
      </w:r>
      <w:r w:rsidR="006D0E09" w:rsidRPr="008A4013">
        <w:t xml:space="preserve"> grasp of</w:t>
      </w:r>
      <w:r w:rsidRPr="008A4013">
        <w:t xml:space="preserve"> the material before </w:t>
      </w:r>
      <w:r w:rsidR="005E4A94" w:rsidRPr="008A4013">
        <w:t>beginn</w:t>
      </w:r>
      <w:r w:rsidRPr="008A4013">
        <w:t xml:space="preserve">ing a focused analysis. </w:t>
      </w:r>
    </w:p>
    <w:p w14:paraId="0FFCCBF7" w14:textId="4E84AD7F" w:rsidR="00AA0338" w:rsidRPr="008A4013" w:rsidRDefault="00D67308" w:rsidP="00C137CF">
      <w:pPr>
        <w:tabs>
          <w:tab w:val="left" w:pos="709"/>
        </w:tabs>
        <w:ind w:firstLine="0"/>
      </w:pPr>
      <w:r w:rsidRPr="008A4013">
        <w:tab/>
        <w:t xml:space="preserve">The </w:t>
      </w:r>
      <w:r w:rsidR="005E4A94" w:rsidRPr="008A4013">
        <w:t xml:space="preserve">combined transcript of </w:t>
      </w:r>
      <w:r w:rsidRPr="008A4013">
        <w:t xml:space="preserve">the videos </w:t>
      </w:r>
      <w:r w:rsidR="005E4A94" w:rsidRPr="008A4013">
        <w:t xml:space="preserve">is </w:t>
      </w:r>
      <w:r w:rsidRPr="008A4013">
        <w:t>16,502 words</w:t>
      </w:r>
      <w:r w:rsidR="005E4A94" w:rsidRPr="008A4013">
        <w:t xml:space="preserve"> in length, a suitable size</w:t>
      </w:r>
      <w:r w:rsidRPr="008A4013">
        <w:t xml:space="preserve"> </w:t>
      </w:r>
      <w:r w:rsidR="005E4A94" w:rsidRPr="008A4013">
        <w:t>for</w:t>
      </w:r>
      <w:r w:rsidRPr="008A4013">
        <w:t xml:space="preserve"> </w:t>
      </w:r>
      <w:r w:rsidR="00D4656D" w:rsidRPr="008A4013">
        <w:t xml:space="preserve">considering the use </w:t>
      </w:r>
      <w:r w:rsidR="00044E52" w:rsidRPr="008A4013">
        <w:t xml:space="preserve">of </w:t>
      </w:r>
      <w:r w:rsidRPr="008A4013">
        <w:t>corpus linguistic analysis</w:t>
      </w:r>
      <w:r w:rsidR="00D4656D" w:rsidRPr="008A4013">
        <w:t>. Corpus</w:t>
      </w:r>
      <w:r w:rsidRPr="008A4013">
        <w:t xml:space="preserve"> </w:t>
      </w:r>
      <w:r w:rsidR="00D4656D" w:rsidRPr="008A4013">
        <w:t>techniques allow researchers to establish an initial u</w:t>
      </w:r>
      <w:r w:rsidR="00E54CE9" w:rsidRPr="008A4013">
        <w:t>nderstanding of large data sets. A</w:t>
      </w:r>
      <w:r w:rsidR="00D4656D" w:rsidRPr="008A4013">
        <w:t xml:space="preserve"> </w:t>
      </w:r>
      <w:r w:rsidR="00E54CE9" w:rsidRPr="008A4013">
        <w:t>quick search can establish</w:t>
      </w:r>
      <w:r w:rsidR="00D4656D" w:rsidRPr="008A4013">
        <w:t xml:space="preserve"> the frequency </w:t>
      </w:r>
      <w:r w:rsidR="00E54CE9" w:rsidRPr="008A4013">
        <w:t xml:space="preserve">with which </w:t>
      </w:r>
      <w:r w:rsidR="00D4656D" w:rsidRPr="008A4013">
        <w:t>certain</w:t>
      </w:r>
      <w:r w:rsidRPr="008A4013">
        <w:t xml:space="preserve"> words </w:t>
      </w:r>
      <w:r w:rsidR="00D4656D" w:rsidRPr="008A4013">
        <w:t xml:space="preserve">(“nodes”) </w:t>
      </w:r>
      <w:r w:rsidR="00E54CE9" w:rsidRPr="008A4013">
        <w:t xml:space="preserve">appear. Presented with </w:t>
      </w:r>
      <w:r w:rsidR="00D4656D" w:rsidRPr="008A4013">
        <w:t>concordance lines—the whole sentence</w:t>
      </w:r>
      <w:r w:rsidR="00E54CE9" w:rsidRPr="008A4013">
        <w:t xml:space="preserve"> or limited number of words</w:t>
      </w:r>
      <w:r w:rsidR="00D4656D" w:rsidRPr="008A4013">
        <w:t xml:space="preserve"> </w:t>
      </w:r>
      <w:r w:rsidR="00E54CE9" w:rsidRPr="008A4013">
        <w:t>surrounding the node word(s)—</w:t>
      </w:r>
      <w:r w:rsidR="00D4656D" w:rsidRPr="008A4013">
        <w:t>swift identification of patterns of meaning becomes possible</w:t>
      </w:r>
      <w:r w:rsidR="00AB446B" w:rsidRPr="008A4013">
        <w:t xml:space="preserve"> </w:t>
      </w:r>
      <w:r w:rsidR="008248C7" w:rsidRPr="008A4013">
        <w:fldChar w:fldCharType="begin"/>
      </w:r>
      <w:r w:rsidR="00A52215" w:rsidRPr="008A4013">
        <w:instrText xml:space="preserve"> ADDIN EN.CITE &lt;EndNote&gt;&lt;Cite&gt;&lt;Author&gt;Huntson&lt;/Author&gt;&lt;Year&gt;2002&lt;/Year&gt;&lt;RecNum&gt;46&lt;/RecNum&gt;&lt;Pages&gt;39-42&lt;/Pages&gt;&lt;DisplayText&gt;(Huntson 2002: 39-42)&lt;/DisplayText&gt;&lt;record&gt;&lt;rec-number&gt;46&lt;/rec-number&gt;&lt;foreign-keys&gt;&lt;key app="EN" db-id="x0x2x9vw3vz5wretwfnpsavdxe0w5pfpzees"&gt;46&lt;/key&gt;&lt;/foreign-keys&gt;&lt;ref-type name="Book"&gt;6&lt;/ref-type&gt;&lt;contributors&gt;&lt;authors&gt;&lt;author&gt;Susan Huntson&lt;/author&gt;&lt;/authors&gt;&lt;/contributors&gt;&lt;titles&gt;&lt;title&gt;Corpora in Applied Linguistics&lt;/title&gt;&lt;/titles&gt;&lt;dates&gt;&lt;year&gt;2002&lt;/year&gt;&lt;/dates&gt;&lt;pub-location&gt;Cambridge&lt;/pub-location&gt;&lt;publisher&gt;Cambridge University Press&lt;/publisher&gt;&lt;urls&gt;&lt;/urls&gt;&lt;/record&gt;&lt;/Cite&gt;&lt;/EndNote&gt;</w:instrText>
      </w:r>
      <w:r w:rsidR="008248C7" w:rsidRPr="008A4013">
        <w:fldChar w:fldCharType="separate"/>
      </w:r>
      <w:r w:rsidR="00A52215" w:rsidRPr="008A4013">
        <w:rPr>
          <w:noProof/>
        </w:rPr>
        <w:t>(</w:t>
      </w:r>
      <w:hyperlink w:anchor="_ENREF_19" w:tooltip="Huntson, 2002 #46" w:history="1">
        <w:r w:rsidR="00DE221F" w:rsidRPr="008A4013">
          <w:rPr>
            <w:noProof/>
          </w:rPr>
          <w:t>Huntson 2002: 39-42</w:t>
        </w:r>
      </w:hyperlink>
      <w:r w:rsidR="00A52215" w:rsidRPr="008A4013">
        <w:rPr>
          <w:noProof/>
        </w:rPr>
        <w:t>)</w:t>
      </w:r>
      <w:r w:rsidR="008248C7" w:rsidRPr="008A4013">
        <w:fldChar w:fldCharType="end"/>
      </w:r>
      <w:r w:rsidR="006A0766" w:rsidRPr="008A4013">
        <w:t>.</w:t>
      </w:r>
    </w:p>
    <w:p w14:paraId="70296E1D" w14:textId="1A6F5DD5" w:rsidR="00EF4816" w:rsidRPr="008A4013" w:rsidRDefault="00AA0338" w:rsidP="00C137CF">
      <w:pPr>
        <w:tabs>
          <w:tab w:val="left" w:pos="709"/>
        </w:tabs>
        <w:ind w:firstLine="0"/>
      </w:pPr>
      <w:r w:rsidRPr="008A4013">
        <w:tab/>
      </w:r>
      <w:r w:rsidR="00EF4ADB" w:rsidRPr="008A4013">
        <w:t xml:space="preserve">I concur with </w:t>
      </w:r>
      <w:r w:rsidRPr="008A4013">
        <w:t>Paul Baker that, as corpora can consist of thousands, occasionally millions of words, corpus analysis “can be used to identify values, beliefs, attitudes and discourses</w:t>
      </w:r>
      <w:r w:rsidR="00AB446B" w:rsidRPr="008A4013">
        <w:t xml:space="preserve">” </w:t>
      </w:r>
      <w:r w:rsidR="008248C7" w:rsidRPr="008A4013">
        <w:fldChar w:fldCharType="begin"/>
      </w:r>
      <w:r w:rsidR="00841C69" w:rsidRPr="008A4013">
        <w:instrText xml:space="preserve"> ADDIN EN.CITE &lt;EndNote&gt;&lt;Cite ExcludeAuth="1"&gt;&lt;Author&gt;Baker&lt;/Author&gt;&lt;Year&gt;2008&lt;/Year&gt;&lt;RecNum&gt;45&lt;/RecNum&gt;&lt;Pages&gt;76&lt;/Pages&gt;&lt;DisplayText&gt;(2008: 76)&lt;/DisplayText&gt;&lt;record&gt;&lt;rec-number&gt;45&lt;/rec-number&gt;&lt;foreign-keys&gt;&lt;key app="EN" db-id="x0x2x9vw3vz5wretwfnpsavdxe0w5pfpzees"&gt;45&lt;/key&gt;&lt;/foreign-keys&gt;&lt;ref-type name="Book Section"&gt;5&lt;/ref-type&gt;&lt;contributors&gt;&lt;authors&gt;&lt;author&gt;Paul Baker&lt;/author&gt;&lt;/authors&gt;&lt;secondary-authors&gt;&lt;author&gt;Kate Harrington&lt;/author&gt;&lt;author&gt;Lia Litosseliti&lt;/author&gt;&lt;author&gt;Helen Sauntson&lt;/author&gt;&lt;author&gt;Jane Sunderland&lt;/author&gt;&lt;/secondary-authors&gt;&lt;/contributors&gt;&lt;titles&gt;&lt;title&gt;“Eligible” bachelors and “frustrated’ spinsters: Corpus linguistics, gender and language&lt;/title&gt;&lt;secondary-title&gt;Gender and Language Research Methodologies&lt;/secondary-title&gt;&lt;/titles&gt;&lt;pages&gt;73-87&lt;/pages&gt;&lt;dates&gt;&lt;year&gt;2008&lt;/year&gt;&lt;/dates&gt;&lt;pub-location&gt;London&lt;/pub-location&gt;&lt;publisher&gt;Palgrave&lt;/publisher&gt;&lt;urls&gt;&lt;/urls&gt;&lt;/record&gt;&lt;/Cite&gt;&lt;/EndNote&gt;</w:instrText>
      </w:r>
      <w:r w:rsidR="008248C7" w:rsidRPr="008A4013">
        <w:fldChar w:fldCharType="separate"/>
      </w:r>
      <w:r w:rsidR="00A52215" w:rsidRPr="008A4013">
        <w:rPr>
          <w:noProof/>
        </w:rPr>
        <w:t>(</w:t>
      </w:r>
      <w:hyperlink w:anchor="_ENREF_3" w:tooltip="Baker, 2008 #45" w:history="1">
        <w:r w:rsidR="00DE221F" w:rsidRPr="008A4013">
          <w:rPr>
            <w:noProof/>
          </w:rPr>
          <w:t>2008: 76</w:t>
        </w:r>
      </w:hyperlink>
      <w:r w:rsidR="00A52215" w:rsidRPr="008A4013">
        <w:rPr>
          <w:noProof/>
        </w:rPr>
        <w:t>)</w:t>
      </w:r>
      <w:r w:rsidR="008248C7" w:rsidRPr="008A4013">
        <w:fldChar w:fldCharType="end"/>
      </w:r>
      <w:r w:rsidRPr="008A4013">
        <w:t xml:space="preserve">. </w:t>
      </w:r>
      <w:r w:rsidR="00EF4816" w:rsidRPr="008A4013">
        <w:t xml:space="preserve">I used </w:t>
      </w:r>
      <w:r w:rsidR="005E4A94" w:rsidRPr="008A4013">
        <w:t>corpus analysis</w:t>
      </w:r>
      <w:r w:rsidR="00756164" w:rsidRPr="008A4013">
        <w:t xml:space="preserve"> </w:t>
      </w:r>
      <w:r w:rsidR="00EF4816" w:rsidRPr="008A4013">
        <w:t>techniques</w:t>
      </w:r>
      <w:r w:rsidR="00756164" w:rsidRPr="008A4013">
        <w:t xml:space="preserve"> to </w:t>
      </w:r>
      <w:r w:rsidR="00EF4816" w:rsidRPr="008A4013">
        <w:t>examine</w:t>
      </w:r>
      <w:r w:rsidR="00756164" w:rsidRPr="008A4013">
        <w:t xml:space="preserve"> if</w:t>
      </w:r>
      <w:r w:rsidR="00EF4816" w:rsidRPr="008A4013">
        <w:t>,</w:t>
      </w:r>
      <w:r w:rsidR="00756164" w:rsidRPr="008A4013">
        <w:t xml:space="preserve"> and how </w:t>
      </w:r>
      <w:r w:rsidR="00E54C7E" w:rsidRPr="008A4013">
        <w:t>“faith,”</w:t>
      </w:r>
      <w:r w:rsidR="005E4A94" w:rsidRPr="008A4013">
        <w:t xml:space="preserve"> “god” and “religion” were</w:t>
      </w:r>
      <w:r w:rsidR="00756164" w:rsidRPr="008A4013">
        <w:t xml:space="preserve"> understood by the speakers as </w:t>
      </w:r>
      <w:r w:rsidR="005E4A94" w:rsidRPr="008A4013">
        <w:t xml:space="preserve">directly </w:t>
      </w:r>
      <w:r w:rsidR="00756164" w:rsidRPr="008A4013">
        <w:t xml:space="preserve">related to “it” getting better. </w:t>
      </w:r>
    </w:p>
    <w:p w14:paraId="00722EE6" w14:textId="752D3C51" w:rsidR="00807EC7" w:rsidRPr="008A4013" w:rsidRDefault="00E33E4B" w:rsidP="00C137CF">
      <w:pPr>
        <w:tabs>
          <w:tab w:val="left" w:pos="284"/>
          <w:tab w:val="left" w:pos="709"/>
        </w:tabs>
        <w:ind w:firstLine="0"/>
        <w:rPr>
          <w:b/>
        </w:rPr>
      </w:pPr>
      <w:r w:rsidRPr="008A4013">
        <w:tab/>
      </w:r>
      <w:r w:rsidR="00370B91" w:rsidRPr="008A4013">
        <w:tab/>
      </w:r>
      <w:r w:rsidR="00807EC7" w:rsidRPr="008A4013">
        <w:t xml:space="preserve">While corpus analysis provides initial pointers, I draw on Norman Fairclough’s </w:t>
      </w:r>
      <w:r w:rsidR="000A2EF9" w:rsidRPr="008A4013">
        <w:fldChar w:fldCharType="begin"/>
      </w:r>
      <w:r w:rsidR="00841C69" w:rsidRPr="008A4013">
        <w:instrText xml:space="preserve"> ADDIN EN.CITE &lt;EndNote&gt;&lt;Cite ExcludeAuth="1"&gt;&lt;Author&gt;Fairclough&lt;/Author&gt;&lt;Year&gt;2012&lt;/Year&gt;&lt;RecNum&gt;39&lt;/RecNum&gt;&lt;DisplayText&gt;(2012)&lt;/DisplayText&gt;&lt;record&gt;&lt;rec-number&gt;39&lt;/rec-number&gt;&lt;foreign-keys&gt;&lt;key app="EN" db-id="x0x2x9vw3vz5wretwfnpsavdxe0w5pfpzees"&gt;39&lt;/key&gt;&lt;/foreign-keys&gt;&lt;ref-type name="Book Section"&gt;5&lt;/ref-type&gt;&lt;contributors&gt;&lt;authors&gt;&lt;author&gt;Norman Fairclough&lt;/author&gt;&lt;/authors&gt;&lt;secondary-authors&gt;&lt;author&gt;James Paul Gee&lt;/author&gt;&lt;author&gt;Michael Haniford&lt;/author&gt;&lt;/secondary-authors&gt;&lt;/contributors&gt;&lt;titles&gt;&lt;title&gt;Critical discourse analysis&lt;/title&gt;&lt;secondary-title&gt;The Routledge Handbook of Discourse Analysis&lt;/secondary-title&gt;&lt;/titles&gt;&lt;pages&gt;9-20&lt;/pages&gt;&lt;dates&gt;&lt;year&gt;2012&lt;/year&gt;&lt;/dates&gt;&lt;pub-location&gt;London&lt;/pub-location&gt;&lt;publisher&gt;Routledge&lt;/publisher&gt;&lt;urls&gt;&lt;/urls&gt;&lt;/record&gt;&lt;/Cite&gt;&lt;/EndNote&gt;</w:instrText>
      </w:r>
      <w:r w:rsidR="000A2EF9" w:rsidRPr="008A4013">
        <w:fldChar w:fldCharType="separate"/>
      </w:r>
      <w:r w:rsidR="000A2EF9" w:rsidRPr="008A4013">
        <w:rPr>
          <w:noProof/>
        </w:rPr>
        <w:t>(</w:t>
      </w:r>
      <w:hyperlink w:anchor="_ENREF_11" w:tooltip="Fairclough, 2012 #39" w:history="1">
        <w:r w:rsidR="00DE221F" w:rsidRPr="008A4013">
          <w:rPr>
            <w:noProof/>
          </w:rPr>
          <w:t>2012</w:t>
        </w:r>
      </w:hyperlink>
      <w:r w:rsidR="000A2EF9" w:rsidRPr="008A4013">
        <w:rPr>
          <w:noProof/>
        </w:rPr>
        <w:t>)</w:t>
      </w:r>
      <w:r w:rsidR="000A2EF9" w:rsidRPr="008A4013">
        <w:fldChar w:fldCharType="end"/>
      </w:r>
      <w:r w:rsidR="000A2EF9" w:rsidRPr="008A4013">
        <w:t xml:space="preserve"> </w:t>
      </w:r>
      <w:r w:rsidR="00807EC7" w:rsidRPr="008A4013">
        <w:t xml:space="preserve">critical discourse analysis (CDA) approach  for interpretation and analysis, namely to explore the ideological assumptions underlying the messages. </w:t>
      </w:r>
      <w:r w:rsidR="00E54CE9" w:rsidRPr="008A4013">
        <w:t xml:space="preserve">With Fairclough, I </w:t>
      </w:r>
      <w:r w:rsidR="00F724AD" w:rsidRPr="008A4013">
        <w:t>assert</w:t>
      </w:r>
      <w:r w:rsidR="00E54CE9" w:rsidRPr="008A4013">
        <w:t xml:space="preserve"> that critical and evaluative analysis, as opposed to purely descriptive</w:t>
      </w:r>
      <w:r w:rsidR="00AB446B" w:rsidRPr="008A4013">
        <w:t xml:space="preserve"> </w:t>
      </w:r>
      <w:r w:rsidR="003F7A7D" w:rsidRPr="008A4013">
        <w:t>appraisal, is</w:t>
      </w:r>
      <w:r w:rsidR="00E54CE9" w:rsidRPr="008A4013">
        <w:t xml:space="preserve"> necessary where the “aim is to change social </w:t>
      </w:r>
      <w:r w:rsidR="00AA0338" w:rsidRPr="008A4013">
        <w:t>realities</w:t>
      </w:r>
      <w:r w:rsidR="00E54CE9" w:rsidRPr="008A4013">
        <w:t xml:space="preserve"> for the better</w:t>
      </w:r>
      <w:r w:rsidR="00AA0338" w:rsidRPr="008A4013">
        <w:t>”</w:t>
      </w:r>
      <w:r w:rsidR="00E54CE9" w:rsidRPr="008A4013">
        <w:t xml:space="preserve"> </w:t>
      </w:r>
      <w:r w:rsidR="00E54C7E" w:rsidRPr="008A4013">
        <w:fldChar w:fldCharType="begin"/>
      </w:r>
      <w:r w:rsidR="00841C69" w:rsidRPr="008A4013">
        <w:instrText xml:space="preserve"> ADDIN EN.CITE &lt;EndNote&gt;&lt;Cite&gt;&lt;Author&gt;Fairclough&lt;/Author&gt;&lt;Year&gt;2012&lt;/Year&gt;&lt;RecNum&gt;39&lt;/RecNum&gt;&lt;Pages&gt;10&lt;/Pages&gt;&lt;DisplayText&gt;(Fairclough 2012: 10)&lt;/DisplayText&gt;&lt;record&gt;&lt;rec-number&gt;39&lt;/rec-number&gt;&lt;foreign-keys&gt;&lt;key app="EN" db-id="x0x2x9vw3vz5wretwfnpsavdxe0w5pfpzees"&gt;39&lt;/key&gt;&lt;/foreign-keys&gt;&lt;ref-type name="Book Section"&gt;5&lt;/ref-type&gt;&lt;contributors&gt;&lt;authors&gt;&lt;author&gt;Norman Fairclough&lt;/author&gt;&lt;/authors&gt;&lt;secondary-authors&gt;&lt;author&gt;James Paul Gee&lt;/author&gt;&lt;author&gt;Michael Haniford&lt;/author&gt;&lt;/secondary-authors&gt;&lt;/contributors&gt;&lt;titles&gt;&lt;title&gt;Critical discourse analysis&lt;/title&gt;&lt;secondary-title&gt;The Routledge Handbook of Discourse Analysis&lt;/secondary-title&gt;&lt;/titles&gt;&lt;pages&gt;9-20&lt;/pages&gt;&lt;dates&gt;&lt;year&gt;2012&lt;/year&gt;&lt;/dates&gt;&lt;pub-location&gt;London&lt;/pub-location&gt;&lt;publisher&gt;Routledge&lt;/publisher&gt;&lt;urls&gt;&lt;/urls&gt;&lt;/record&gt;&lt;/Cite&gt;&lt;/EndNote&gt;</w:instrText>
      </w:r>
      <w:r w:rsidR="00E54C7E" w:rsidRPr="008A4013">
        <w:fldChar w:fldCharType="separate"/>
      </w:r>
      <w:r w:rsidR="00E54C7E" w:rsidRPr="008A4013">
        <w:rPr>
          <w:noProof/>
        </w:rPr>
        <w:t>(</w:t>
      </w:r>
      <w:hyperlink w:anchor="_ENREF_11" w:tooltip="Fairclough, 2012 #39" w:history="1">
        <w:r w:rsidR="00DE221F" w:rsidRPr="008A4013">
          <w:rPr>
            <w:noProof/>
          </w:rPr>
          <w:t>Fairclough 2012: 10</w:t>
        </w:r>
      </w:hyperlink>
      <w:r w:rsidR="00E54C7E" w:rsidRPr="008A4013">
        <w:rPr>
          <w:noProof/>
        </w:rPr>
        <w:t>)</w:t>
      </w:r>
      <w:r w:rsidR="00E54C7E" w:rsidRPr="008A4013">
        <w:fldChar w:fldCharType="end"/>
      </w:r>
      <w:r w:rsidR="00E54CE9" w:rsidRPr="008A4013">
        <w:t xml:space="preserve">. </w:t>
      </w:r>
      <w:r w:rsidR="00807EC7" w:rsidRPr="008A4013">
        <w:t>In doing so I acknowledge that the analysis offered herein is one of multiple possible readings of the data set and is informed, perhaps fittingly, by my own concept of what might constitute a “better” social reality.</w:t>
      </w:r>
    </w:p>
    <w:p w14:paraId="377DD172" w14:textId="77777777" w:rsidR="000A785F" w:rsidRPr="008A4013" w:rsidRDefault="000A785F" w:rsidP="00C137CF">
      <w:pPr>
        <w:tabs>
          <w:tab w:val="left" w:pos="284"/>
        </w:tabs>
        <w:ind w:firstLine="0"/>
        <w:rPr>
          <w:b/>
        </w:rPr>
      </w:pPr>
    </w:p>
    <w:p w14:paraId="70D8DC7A" w14:textId="77777777" w:rsidR="00BF4F47" w:rsidRPr="008A4013" w:rsidRDefault="00483F76" w:rsidP="00C137CF">
      <w:pPr>
        <w:tabs>
          <w:tab w:val="left" w:pos="284"/>
        </w:tabs>
        <w:ind w:firstLine="0"/>
        <w:rPr>
          <w:b/>
        </w:rPr>
      </w:pPr>
      <w:r w:rsidRPr="008A4013">
        <w:rPr>
          <w:b/>
        </w:rPr>
        <w:t xml:space="preserve">3. </w:t>
      </w:r>
      <w:r w:rsidR="00BF4F47" w:rsidRPr="008A4013">
        <w:rPr>
          <w:b/>
        </w:rPr>
        <w:t>Initial findings</w:t>
      </w:r>
    </w:p>
    <w:p w14:paraId="4A8F265C" w14:textId="7B835354" w:rsidR="001A4E00" w:rsidRPr="008A4013" w:rsidRDefault="000A32B5" w:rsidP="00C137CF">
      <w:pPr>
        <w:tabs>
          <w:tab w:val="left" w:pos="284"/>
          <w:tab w:val="left" w:pos="709"/>
        </w:tabs>
        <w:ind w:firstLine="0"/>
        <w:rPr>
          <w:b/>
        </w:rPr>
      </w:pPr>
      <w:r w:rsidRPr="008A4013">
        <w:lastRenderedPageBreak/>
        <w:t>I</w:t>
      </w:r>
      <w:r w:rsidR="00EF14FB" w:rsidRPr="008A4013">
        <w:t xml:space="preserve"> use</w:t>
      </w:r>
      <w:r w:rsidR="004F789C" w:rsidRPr="008A4013">
        <w:t>d</w:t>
      </w:r>
      <w:r w:rsidRPr="008A4013">
        <w:t xml:space="preserve"> </w:t>
      </w:r>
      <w:r w:rsidR="009E3C25" w:rsidRPr="008A4013">
        <w:t xml:space="preserve">corpus analysis </w:t>
      </w:r>
      <w:r w:rsidRPr="008A4013">
        <w:t>for my initial survey, seeking to draw out</w:t>
      </w:r>
      <w:r w:rsidR="00F9422E" w:rsidRPr="008A4013">
        <w:t xml:space="preserve"> what was perceived or assumed to “get better”</w:t>
      </w:r>
      <w:r w:rsidR="00807EC7" w:rsidRPr="008A4013">
        <w:t xml:space="preserve"> by the speakers collectively</w:t>
      </w:r>
      <w:r w:rsidR="00F9422E" w:rsidRPr="008A4013">
        <w:t>, and if</w:t>
      </w:r>
      <w:r w:rsidR="009E3C25" w:rsidRPr="008A4013">
        <w:t xml:space="preserve"> </w:t>
      </w:r>
      <w:r w:rsidR="00F9422E" w:rsidRPr="008A4013">
        <w:t xml:space="preserve">and how this </w:t>
      </w:r>
      <w:r w:rsidR="00807EC7" w:rsidRPr="008A4013">
        <w:t xml:space="preserve">improvement </w:t>
      </w:r>
      <w:r w:rsidR="00F9422E" w:rsidRPr="008A4013">
        <w:t>might be related to faith.</w:t>
      </w:r>
      <w:r w:rsidR="00EF0900" w:rsidRPr="008A4013">
        <w:rPr>
          <w:b/>
        </w:rPr>
        <w:t xml:space="preserve"> </w:t>
      </w:r>
      <w:r w:rsidR="00AA0338" w:rsidRPr="008A4013">
        <w:t xml:space="preserve">The </w:t>
      </w:r>
      <w:r w:rsidR="001A7724" w:rsidRPr="008A4013">
        <w:t xml:space="preserve">first </w:t>
      </w:r>
      <w:r w:rsidR="00AA0338" w:rsidRPr="008A4013">
        <w:t xml:space="preserve">node word </w:t>
      </w:r>
      <w:r w:rsidR="001A7724" w:rsidRPr="008A4013">
        <w:t xml:space="preserve">searched was </w:t>
      </w:r>
      <w:r w:rsidR="00AA0338" w:rsidRPr="008A4013">
        <w:t>“better</w:t>
      </w:r>
      <w:r w:rsidR="00E54C7E" w:rsidRPr="008A4013">
        <w:t>.</w:t>
      </w:r>
      <w:r w:rsidR="00AA0338" w:rsidRPr="008A4013">
        <w:t xml:space="preserve">” </w:t>
      </w:r>
      <w:r w:rsidR="001A7724" w:rsidRPr="008A4013">
        <w:t xml:space="preserve">It </w:t>
      </w:r>
      <w:r w:rsidR="00AA0338" w:rsidRPr="008A4013">
        <w:t>was uttered on 113 occasions (</w:t>
      </w:r>
      <w:r w:rsidR="003F7A7D" w:rsidRPr="008A4013">
        <w:t xml:space="preserve">comprising </w:t>
      </w:r>
      <w:r w:rsidR="00AA0338" w:rsidRPr="008A4013">
        <w:t>0.7%</w:t>
      </w:r>
      <w:r w:rsidR="003F7A7D" w:rsidRPr="008A4013">
        <w:t xml:space="preserve"> of words in the data set</w:t>
      </w:r>
      <w:r w:rsidR="00AA0338" w:rsidRPr="008A4013">
        <w:t xml:space="preserve">). </w:t>
      </w:r>
      <w:r w:rsidR="00807EC7" w:rsidRPr="008A4013">
        <w:t xml:space="preserve">This is </w:t>
      </w:r>
      <w:r w:rsidR="00BE7CF0" w:rsidRPr="008A4013">
        <w:t xml:space="preserve">arguably </w:t>
      </w:r>
      <w:r w:rsidR="00807EC7" w:rsidRPr="008A4013">
        <w:t>unsurprising</w:t>
      </w:r>
      <w:r w:rsidR="00136293" w:rsidRPr="008A4013">
        <w:t>, considering that the word</w:t>
      </w:r>
      <w:r w:rsidR="00BE7CF0" w:rsidRPr="008A4013">
        <w:t xml:space="preserve"> features within the</w:t>
      </w:r>
      <w:r w:rsidR="00807EC7" w:rsidRPr="008A4013">
        <w:t xml:space="preserve"> project title</w:t>
      </w:r>
      <w:r w:rsidR="00BE7CF0" w:rsidRPr="008A4013">
        <w:t xml:space="preserve">, and that </w:t>
      </w:r>
      <w:r w:rsidR="00136293" w:rsidRPr="008A4013">
        <w:t>the</w:t>
      </w:r>
      <w:r w:rsidR="00BE7CF0" w:rsidRPr="008A4013">
        <w:t xml:space="preserve"> title acts</w:t>
      </w:r>
      <w:r w:rsidR="00807EC7" w:rsidRPr="008A4013">
        <w:t xml:space="preserve"> </w:t>
      </w:r>
      <w:r w:rsidR="00BE7CF0" w:rsidRPr="008A4013">
        <w:t xml:space="preserve">as </w:t>
      </w:r>
      <w:r w:rsidR="00807EC7" w:rsidRPr="008A4013">
        <w:t>t</w:t>
      </w:r>
      <w:r w:rsidR="00BE7CF0" w:rsidRPr="008A4013">
        <w:t>he framing device for all video uploads. Frequent repetition of the phrase does suggest, however, that speakers are invested in and feel comfortable reasserting the central tenet of “it gets better”</w:t>
      </w:r>
      <w:r w:rsidR="00136293" w:rsidRPr="008A4013">
        <w:t xml:space="preserve"> without clarifying </w:t>
      </w:r>
      <w:r w:rsidR="004D3C1F" w:rsidRPr="008A4013">
        <w:t>“its”</w:t>
      </w:r>
      <w:r w:rsidR="00136293" w:rsidRPr="008A4013">
        <w:t xml:space="preserve"> meaning</w:t>
      </w:r>
      <w:r w:rsidR="00807EC7" w:rsidRPr="008A4013">
        <w:t>.</w:t>
      </w:r>
      <w:r w:rsidR="00AA0338" w:rsidRPr="008A4013">
        <w:t xml:space="preserve"> </w:t>
      </w:r>
      <w:r w:rsidR="001A7724" w:rsidRPr="008A4013">
        <w:t xml:space="preserve">Variations </w:t>
      </w:r>
      <w:r w:rsidR="004D3C1F" w:rsidRPr="008A4013">
        <w:t xml:space="preserve">of the phrase </w:t>
      </w:r>
      <w:r w:rsidR="001A7724" w:rsidRPr="008A4013">
        <w:t>are</w:t>
      </w:r>
      <w:r w:rsidR="00BE7CF0" w:rsidRPr="008A4013">
        <w:t xml:space="preserve"> </w:t>
      </w:r>
      <w:r w:rsidR="001A7724" w:rsidRPr="008A4013">
        <w:t xml:space="preserve">therefore </w:t>
      </w:r>
      <w:r w:rsidR="00BE7CF0" w:rsidRPr="008A4013">
        <w:t>notable, as they</w:t>
      </w:r>
      <w:r w:rsidR="001A7724" w:rsidRPr="008A4013">
        <w:t xml:space="preserve"> reveal </w:t>
      </w:r>
      <w:r w:rsidR="004D3C1F" w:rsidRPr="008A4013">
        <w:t xml:space="preserve">how </w:t>
      </w:r>
      <w:r w:rsidR="001A7724" w:rsidRPr="008A4013">
        <w:t>speakers</w:t>
      </w:r>
      <w:r w:rsidR="00BE7CF0" w:rsidRPr="008A4013">
        <w:t xml:space="preserve"> </w:t>
      </w:r>
      <w:r w:rsidR="004D3C1F" w:rsidRPr="008A4013">
        <w:t xml:space="preserve">actively </w:t>
      </w:r>
      <w:r w:rsidR="009D15B4" w:rsidRPr="008A4013">
        <w:t>depart</w:t>
      </w:r>
      <w:r w:rsidR="00BE7CF0" w:rsidRPr="008A4013">
        <w:t xml:space="preserve"> from the official script</w:t>
      </w:r>
      <w:r w:rsidR="00AF0E5D" w:rsidRPr="008A4013">
        <w:t>.</w:t>
      </w:r>
      <w:r w:rsidR="008821B9" w:rsidRPr="008A4013">
        <w:t xml:space="preserve"> </w:t>
      </w:r>
      <w:r w:rsidR="00C76160" w:rsidRPr="008A4013">
        <w:t xml:space="preserve">A selection of </w:t>
      </w:r>
      <w:r w:rsidR="001A7724" w:rsidRPr="008A4013">
        <w:t>such</w:t>
      </w:r>
      <w:r w:rsidR="00BE7CF0" w:rsidRPr="008A4013">
        <w:t xml:space="preserve"> variations is presented the in</w:t>
      </w:r>
      <w:r w:rsidR="003F7A7D" w:rsidRPr="008A4013">
        <w:t xml:space="preserve"> concorda</w:t>
      </w:r>
      <w:r w:rsidR="00BE7CF0" w:rsidRPr="008A4013">
        <w:t>nce lines</w:t>
      </w:r>
      <w:r w:rsidR="00BB09C0" w:rsidRPr="008A4013">
        <w:t xml:space="preserve"> </w:t>
      </w:r>
      <w:r w:rsidR="00BE7CF0" w:rsidRPr="008A4013">
        <w:t>below</w:t>
      </w:r>
      <w:r w:rsidR="00BB09C0" w:rsidRPr="008A4013">
        <w:t>.</w:t>
      </w:r>
      <w:r w:rsidR="00AA0338" w:rsidRPr="008A4013">
        <w:t xml:space="preserve"> </w:t>
      </w:r>
    </w:p>
    <w:p w14:paraId="70BF82F1" w14:textId="77777777" w:rsidR="001A4E00" w:rsidRPr="008A4013" w:rsidRDefault="001A4E00" w:rsidP="00C137CF">
      <w:pPr>
        <w:tabs>
          <w:tab w:val="left" w:pos="284"/>
          <w:tab w:val="left" w:pos="709"/>
        </w:tabs>
        <w:ind w:firstLine="0"/>
        <w:outlineLvl w:val="0"/>
        <w:rPr>
          <w:i/>
        </w:rPr>
      </w:pPr>
      <w:r w:rsidRPr="008A4013">
        <w:rPr>
          <w:i/>
        </w:rPr>
        <w:t>Table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302"/>
        <w:gridCol w:w="829"/>
        <w:gridCol w:w="2610"/>
      </w:tblGrid>
      <w:tr w:rsidR="00F9422E" w:rsidRPr="008A4013" w14:paraId="0773BC41" w14:textId="77777777" w:rsidTr="001A4E00">
        <w:tc>
          <w:tcPr>
            <w:tcW w:w="817" w:type="dxa"/>
          </w:tcPr>
          <w:p w14:paraId="7E0F4A7D" w14:textId="77777777" w:rsidR="00F9422E" w:rsidRPr="008A4013" w:rsidRDefault="00F9422E" w:rsidP="00C137CF">
            <w:pPr>
              <w:tabs>
                <w:tab w:val="left" w:pos="284"/>
              </w:tabs>
              <w:spacing w:line="240" w:lineRule="auto"/>
              <w:ind w:firstLine="0"/>
              <w:jc w:val="right"/>
            </w:pPr>
            <w:r w:rsidRPr="008A4013">
              <w:t>01</w:t>
            </w:r>
          </w:p>
        </w:tc>
        <w:tc>
          <w:tcPr>
            <w:tcW w:w="4302" w:type="dxa"/>
          </w:tcPr>
          <w:p w14:paraId="2BA98FD4" w14:textId="77777777" w:rsidR="00F9422E" w:rsidRPr="008A4013" w:rsidRDefault="00F9422E" w:rsidP="00C137CF">
            <w:pPr>
              <w:tabs>
                <w:tab w:val="left" w:pos="284"/>
              </w:tabs>
              <w:spacing w:line="240" w:lineRule="auto"/>
              <w:ind w:firstLine="0"/>
              <w:jc w:val="right"/>
            </w:pPr>
            <w:r w:rsidRPr="008A4013">
              <w:t xml:space="preserve">I want you to know that it </w:t>
            </w:r>
            <w:r w:rsidR="00BB09C0" w:rsidRPr="008A4013">
              <w:t>will get</w:t>
            </w:r>
          </w:p>
        </w:tc>
        <w:tc>
          <w:tcPr>
            <w:tcW w:w="787" w:type="dxa"/>
          </w:tcPr>
          <w:p w14:paraId="22FF7994" w14:textId="77777777" w:rsidR="00F9422E" w:rsidRPr="008A4013" w:rsidRDefault="00F9422E" w:rsidP="00C137CF">
            <w:pPr>
              <w:tabs>
                <w:tab w:val="left" w:pos="284"/>
              </w:tabs>
              <w:spacing w:line="240" w:lineRule="auto"/>
              <w:ind w:firstLine="0"/>
              <w:rPr>
                <w:b/>
              </w:rPr>
            </w:pPr>
            <w:r w:rsidRPr="008A4013">
              <w:rPr>
                <w:b/>
              </w:rPr>
              <w:t>better</w:t>
            </w:r>
          </w:p>
        </w:tc>
        <w:tc>
          <w:tcPr>
            <w:tcW w:w="2610" w:type="dxa"/>
          </w:tcPr>
          <w:p w14:paraId="3DE7FA22" w14:textId="77777777" w:rsidR="00F9422E" w:rsidRPr="008A4013" w:rsidRDefault="00F9422E" w:rsidP="00C137CF">
            <w:pPr>
              <w:tabs>
                <w:tab w:val="left" w:pos="284"/>
              </w:tabs>
              <w:spacing w:line="240" w:lineRule="auto"/>
              <w:ind w:firstLine="0"/>
            </w:pPr>
          </w:p>
        </w:tc>
      </w:tr>
      <w:tr w:rsidR="00F9422E" w:rsidRPr="008A4013" w14:paraId="05D9482E" w14:textId="77777777" w:rsidTr="001A4E00">
        <w:tc>
          <w:tcPr>
            <w:tcW w:w="817" w:type="dxa"/>
          </w:tcPr>
          <w:p w14:paraId="7E09AB2D" w14:textId="77777777" w:rsidR="00F9422E" w:rsidRPr="008A4013" w:rsidRDefault="00F9422E" w:rsidP="00C137CF">
            <w:pPr>
              <w:tabs>
                <w:tab w:val="left" w:pos="284"/>
              </w:tabs>
              <w:spacing w:line="240" w:lineRule="auto"/>
              <w:ind w:firstLine="0"/>
              <w:jc w:val="right"/>
            </w:pPr>
            <w:r w:rsidRPr="008A4013">
              <w:t>02</w:t>
            </w:r>
          </w:p>
        </w:tc>
        <w:tc>
          <w:tcPr>
            <w:tcW w:w="4302" w:type="dxa"/>
          </w:tcPr>
          <w:p w14:paraId="53F8EBEF" w14:textId="77777777" w:rsidR="00F9422E" w:rsidRPr="008A4013" w:rsidRDefault="00F9422E" w:rsidP="00C137CF">
            <w:pPr>
              <w:tabs>
                <w:tab w:val="left" w:pos="284"/>
              </w:tabs>
              <w:spacing w:line="240" w:lineRule="auto"/>
              <w:ind w:firstLine="0"/>
              <w:jc w:val="right"/>
            </w:pPr>
            <w:r w:rsidRPr="008A4013">
              <w:t>I promise you, it gets</w:t>
            </w:r>
          </w:p>
        </w:tc>
        <w:tc>
          <w:tcPr>
            <w:tcW w:w="787" w:type="dxa"/>
          </w:tcPr>
          <w:p w14:paraId="0F802324" w14:textId="77777777" w:rsidR="00F9422E" w:rsidRPr="008A4013" w:rsidRDefault="00F9422E" w:rsidP="00C137CF">
            <w:pPr>
              <w:tabs>
                <w:tab w:val="left" w:pos="284"/>
              </w:tabs>
              <w:spacing w:line="240" w:lineRule="auto"/>
              <w:ind w:firstLine="0"/>
              <w:rPr>
                <w:b/>
              </w:rPr>
            </w:pPr>
            <w:r w:rsidRPr="008A4013">
              <w:rPr>
                <w:b/>
              </w:rPr>
              <w:t>better</w:t>
            </w:r>
          </w:p>
        </w:tc>
        <w:tc>
          <w:tcPr>
            <w:tcW w:w="2610" w:type="dxa"/>
          </w:tcPr>
          <w:p w14:paraId="41D0E476" w14:textId="77777777" w:rsidR="00F9422E" w:rsidRPr="008A4013" w:rsidRDefault="00F9422E" w:rsidP="00C137CF">
            <w:pPr>
              <w:tabs>
                <w:tab w:val="left" w:pos="284"/>
              </w:tabs>
              <w:spacing w:line="240" w:lineRule="auto"/>
              <w:ind w:firstLine="0"/>
            </w:pPr>
          </w:p>
        </w:tc>
      </w:tr>
      <w:tr w:rsidR="00F9422E" w:rsidRPr="008A4013" w14:paraId="50848219" w14:textId="77777777" w:rsidTr="001A4E00">
        <w:tc>
          <w:tcPr>
            <w:tcW w:w="817" w:type="dxa"/>
          </w:tcPr>
          <w:p w14:paraId="7BB2C0DC" w14:textId="77777777" w:rsidR="00F9422E" w:rsidRPr="008A4013" w:rsidRDefault="00F9422E" w:rsidP="00C137CF">
            <w:pPr>
              <w:tabs>
                <w:tab w:val="left" w:pos="284"/>
              </w:tabs>
              <w:spacing w:line="240" w:lineRule="auto"/>
              <w:ind w:firstLine="0"/>
              <w:jc w:val="right"/>
            </w:pPr>
            <w:r w:rsidRPr="008A4013">
              <w:t>03</w:t>
            </w:r>
          </w:p>
        </w:tc>
        <w:tc>
          <w:tcPr>
            <w:tcW w:w="4302" w:type="dxa"/>
          </w:tcPr>
          <w:p w14:paraId="139DA1F3" w14:textId="77777777" w:rsidR="00F9422E" w:rsidRPr="008A4013" w:rsidRDefault="00F9422E" w:rsidP="00C137CF">
            <w:pPr>
              <w:tabs>
                <w:tab w:val="left" w:pos="284"/>
              </w:tabs>
              <w:spacing w:line="240" w:lineRule="auto"/>
              <w:ind w:firstLine="0"/>
              <w:jc w:val="right"/>
            </w:pPr>
            <w:r w:rsidRPr="008A4013">
              <w:t>It does get</w:t>
            </w:r>
          </w:p>
        </w:tc>
        <w:tc>
          <w:tcPr>
            <w:tcW w:w="787" w:type="dxa"/>
          </w:tcPr>
          <w:p w14:paraId="215A9BA8" w14:textId="77777777" w:rsidR="00F9422E" w:rsidRPr="008A4013" w:rsidRDefault="00F9422E" w:rsidP="00C137CF">
            <w:pPr>
              <w:tabs>
                <w:tab w:val="left" w:pos="284"/>
              </w:tabs>
              <w:spacing w:line="240" w:lineRule="auto"/>
              <w:ind w:firstLine="0"/>
              <w:rPr>
                <w:b/>
              </w:rPr>
            </w:pPr>
            <w:r w:rsidRPr="008A4013">
              <w:rPr>
                <w:b/>
              </w:rPr>
              <w:t>better</w:t>
            </w:r>
          </w:p>
        </w:tc>
        <w:tc>
          <w:tcPr>
            <w:tcW w:w="2610" w:type="dxa"/>
          </w:tcPr>
          <w:p w14:paraId="2C122E3C" w14:textId="77777777" w:rsidR="00F9422E" w:rsidRPr="008A4013" w:rsidRDefault="00F9422E" w:rsidP="00C137CF">
            <w:pPr>
              <w:tabs>
                <w:tab w:val="left" w:pos="284"/>
              </w:tabs>
              <w:spacing w:line="240" w:lineRule="auto"/>
              <w:ind w:firstLine="0"/>
            </w:pPr>
          </w:p>
        </w:tc>
      </w:tr>
      <w:tr w:rsidR="00F9422E" w:rsidRPr="008A4013" w14:paraId="5A62490E" w14:textId="77777777" w:rsidTr="001A4E00">
        <w:tc>
          <w:tcPr>
            <w:tcW w:w="817" w:type="dxa"/>
          </w:tcPr>
          <w:p w14:paraId="067FCBCF" w14:textId="77777777" w:rsidR="00F9422E" w:rsidRPr="008A4013" w:rsidRDefault="00F9422E" w:rsidP="00C137CF">
            <w:pPr>
              <w:tabs>
                <w:tab w:val="left" w:pos="284"/>
              </w:tabs>
              <w:spacing w:line="240" w:lineRule="auto"/>
              <w:ind w:firstLine="0"/>
              <w:jc w:val="right"/>
            </w:pPr>
            <w:r w:rsidRPr="008A4013">
              <w:t>04</w:t>
            </w:r>
          </w:p>
        </w:tc>
        <w:tc>
          <w:tcPr>
            <w:tcW w:w="4302" w:type="dxa"/>
          </w:tcPr>
          <w:p w14:paraId="6FBA65B1" w14:textId="77777777" w:rsidR="00F9422E" w:rsidRPr="008A4013" w:rsidRDefault="00F9422E" w:rsidP="00C137CF">
            <w:pPr>
              <w:tabs>
                <w:tab w:val="left" w:pos="284"/>
              </w:tabs>
              <w:spacing w:line="240" w:lineRule="auto"/>
              <w:ind w:firstLine="0"/>
              <w:jc w:val="right"/>
            </w:pPr>
            <w:r w:rsidRPr="008A4013">
              <w:t>It is getting</w:t>
            </w:r>
          </w:p>
        </w:tc>
        <w:tc>
          <w:tcPr>
            <w:tcW w:w="787" w:type="dxa"/>
          </w:tcPr>
          <w:p w14:paraId="5CDC188E" w14:textId="77777777" w:rsidR="00F9422E" w:rsidRPr="008A4013" w:rsidRDefault="00F9422E" w:rsidP="00C137CF">
            <w:pPr>
              <w:tabs>
                <w:tab w:val="left" w:pos="284"/>
              </w:tabs>
              <w:spacing w:line="240" w:lineRule="auto"/>
              <w:ind w:firstLine="0"/>
              <w:rPr>
                <w:b/>
              </w:rPr>
            </w:pPr>
            <w:r w:rsidRPr="008A4013">
              <w:rPr>
                <w:b/>
              </w:rPr>
              <w:t>better</w:t>
            </w:r>
          </w:p>
        </w:tc>
        <w:tc>
          <w:tcPr>
            <w:tcW w:w="2610" w:type="dxa"/>
          </w:tcPr>
          <w:p w14:paraId="02A6F71A" w14:textId="77777777" w:rsidR="00F9422E" w:rsidRPr="008A4013" w:rsidRDefault="00F9422E" w:rsidP="00C137CF">
            <w:pPr>
              <w:tabs>
                <w:tab w:val="left" w:pos="284"/>
              </w:tabs>
              <w:spacing w:line="240" w:lineRule="auto"/>
              <w:ind w:firstLine="0"/>
            </w:pPr>
            <w:r w:rsidRPr="008A4013">
              <w:t>all the time</w:t>
            </w:r>
          </w:p>
        </w:tc>
      </w:tr>
      <w:tr w:rsidR="00F9422E" w:rsidRPr="008A4013" w14:paraId="29053F4E" w14:textId="77777777" w:rsidTr="001A4E00">
        <w:tc>
          <w:tcPr>
            <w:tcW w:w="817" w:type="dxa"/>
          </w:tcPr>
          <w:p w14:paraId="0799892A" w14:textId="77777777" w:rsidR="00F9422E" w:rsidRPr="008A4013" w:rsidRDefault="00F9422E" w:rsidP="00C137CF">
            <w:pPr>
              <w:tabs>
                <w:tab w:val="left" w:pos="284"/>
              </w:tabs>
              <w:spacing w:line="240" w:lineRule="auto"/>
              <w:ind w:firstLine="0"/>
              <w:jc w:val="right"/>
            </w:pPr>
            <w:r w:rsidRPr="008A4013">
              <w:t>05</w:t>
            </w:r>
          </w:p>
        </w:tc>
        <w:tc>
          <w:tcPr>
            <w:tcW w:w="4302" w:type="dxa"/>
          </w:tcPr>
          <w:p w14:paraId="282FCA08" w14:textId="77777777" w:rsidR="00F9422E" w:rsidRPr="008A4013" w:rsidRDefault="00F9422E" w:rsidP="00C137CF">
            <w:pPr>
              <w:tabs>
                <w:tab w:val="left" w:pos="284"/>
              </w:tabs>
              <w:spacing w:line="240" w:lineRule="auto"/>
              <w:ind w:firstLine="0"/>
              <w:jc w:val="right"/>
            </w:pPr>
            <w:r w:rsidRPr="008A4013">
              <w:t>It gets so much</w:t>
            </w:r>
          </w:p>
        </w:tc>
        <w:tc>
          <w:tcPr>
            <w:tcW w:w="787" w:type="dxa"/>
          </w:tcPr>
          <w:p w14:paraId="4C664A1B" w14:textId="77777777" w:rsidR="00F9422E" w:rsidRPr="008A4013" w:rsidRDefault="00F9422E" w:rsidP="00C137CF">
            <w:pPr>
              <w:tabs>
                <w:tab w:val="left" w:pos="284"/>
              </w:tabs>
              <w:spacing w:line="240" w:lineRule="auto"/>
              <w:ind w:firstLine="0"/>
              <w:rPr>
                <w:b/>
              </w:rPr>
            </w:pPr>
            <w:r w:rsidRPr="008A4013">
              <w:rPr>
                <w:b/>
              </w:rPr>
              <w:t>better</w:t>
            </w:r>
          </w:p>
        </w:tc>
        <w:tc>
          <w:tcPr>
            <w:tcW w:w="2610" w:type="dxa"/>
          </w:tcPr>
          <w:p w14:paraId="0B35C64D" w14:textId="77777777" w:rsidR="00F9422E" w:rsidRPr="008A4013" w:rsidRDefault="00F9422E" w:rsidP="00C137CF">
            <w:pPr>
              <w:tabs>
                <w:tab w:val="left" w:pos="284"/>
              </w:tabs>
              <w:spacing w:line="240" w:lineRule="auto"/>
              <w:ind w:firstLine="0"/>
            </w:pPr>
          </w:p>
        </w:tc>
      </w:tr>
      <w:tr w:rsidR="00F9422E" w:rsidRPr="008A4013" w14:paraId="5012E4AD" w14:textId="77777777" w:rsidTr="001A4E00">
        <w:tc>
          <w:tcPr>
            <w:tcW w:w="817" w:type="dxa"/>
          </w:tcPr>
          <w:p w14:paraId="495A6A2D" w14:textId="77777777" w:rsidR="00F9422E" w:rsidRPr="008A4013" w:rsidRDefault="00F9422E" w:rsidP="00C137CF">
            <w:pPr>
              <w:tabs>
                <w:tab w:val="left" w:pos="284"/>
              </w:tabs>
              <w:spacing w:line="240" w:lineRule="auto"/>
              <w:ind w:firstLine="0"/>
              <w:jc w:val="right"/>
            </w:pPr>
            <w:r w:rsidRPr="008A4013">
              <w:t>06</w:t>
            </w:r>
          </w:p>
        </w:tc>
        <w:tc>
          <w:tcPr>
            <w:tcW w:w="4302" w:type="dxa"/>
          </w:tcPr>
          <w:p w14:paraId="2CA82E32" w14:textId="77777777" w:rsidR="00F9422E" w:rsidRPr="008A4013" w:rsidRDefault="00F9422E" w:rsidP="00C137CF">
            <w:pPr>
              <w:tabs>
                <w:tab w:val="left" w:pos="284"/>
              </w:tabs>
              <w:spacing w:line="240" w:lineRule="auto"/>
              <w:ind w:firstLine="0"/>
              <w:jc w:val="right"/>
            </w:pPr>
            <w:r w:rsidRPr="008A4013">
              <w:t>I don’t think shit gets</w:t>
            </w:r>
          </w:p>
        </w:tc>
        <w:tc>
          <w:tcPr>
            <w:tcW w:w="787" w:type="dxa"/>
          </w:tcPr>
          <w:p w14:paraId="4B00F294" w14:textId="77777777" w:rsidR="00F9422E" w:rsidRPr="008A4013" w:rsidRDefault="00F9422E" w:rsidP="00C137CF">
            <w:pPr>
              <w:tabs>
                <w:tab w:val="left" w:pos="284"/>
              </w:tabs>
              <w:spacing w:line="240" w:lineRule="auto"/>
              <w:ind w:firstLine="0"/>
              <w:rPr>
                <w:b/>
              </w:rPr>
            </w:pPr>
            <w:r w:rsidRPr="008A4013">
              <w:rPr>
                <w:b/>
              </w:rPr>
              <w:t>better</w:t>
            </w:r>
          </w:p>
        </w:tc>
        <w:tc>
          <w:tcPr>
            <w:tcW w:w="2610" w:type="dxa"/>
          </w:tcPr>
          <w:p w14:paraId="7E66FD5D" w14:textId="77777777" w:rsidR="00F9422E" w:rsidRPr="008A4013" w:rsidRDefault="00F9422E" w:rsidP="00C137CF">
            <w:pPr>
              <w:tabs>
                <w:tab w:val="left" w:pos="284"/>
              </w:tabs>
              <w:spacing w:line="240" w:lineRule="auto"/>
              <w:ind w:firstLine="0"/>
            </w:pPr>
            <w:r w:rsidRPr="008A4013">
              <w:t>than this</w:t>
            </w:r>
          </w:p>
        </w:tc>
      </w:tr>
      <w:tr w:rsidR="00F9422E" w:rsidRPr="008A4013" w14:paraId="109D13C9" w14:textId="77777777" w:rsidTr="001A4E00">
        <w:tc>
          <w:tcPr>
            <w:tcW w:w="817" w:type="dxa"/>
          </w:tcPr>
          <w:p w14:paraId="7FDB9F7B" w14:textId="77777777" w:rsidR="00F9422E" w:rsidRPr="008A4013" w:rsidRDefault="00F9422E" w:rsidP="00C137CF">
            <w:pPr>
              <w:tabs>
                <w:tab w:val="left" w:pos="284"/>
              </w:tabs>
              <w:spacing w:line="240" w:lineRule="auto"/>
              <w:ind w:firstLine="0"/>
              <w:jc w:val="right"/>
            </w:pPr>
            <w:r w:rsidRPr="008A4013">
              <w:t>07</w:t>
            </w:r>
          </w:p>
        </w:tc>
        <w:tc>
          <w:tcPr>
            <w:tcW w:w="4302" w:type="dxa"/>
          </w:tcPr>
          <w:p w14:paraId="27821B56" w14:textId="77777777" w:rsidR="00F9422E" w:rsidRPr="008A4013" w:rsidRDefault="00F9422E" w:rsidP="00C137CF">
            <w:pPr>
              <w:tabs>
                <w:tab w:val="left" w:pos="284"/>
              </w:tabs>
              <w:spacing w:line="240" w:lineRule="auto"/>
              <w:ind w:firstLine="0"/>
              <w:jc w:val="right"/>
            </w:pPr>
            <w:r w:rsidRPr="008A4013">
              <w:t xml:space="preserve">Life will get </w:t>
            </w:r>
            <w:r w:rsidRPr="008A4013">
              <w:rPr>
                <w:b/>
              </w:rPr>
              <w:t xml:space="preserve">better </w:t>
            </w:r>
            <w:r w:rsidRPr="008A4013">
              <w:t>if we make it</w:t>
            </w:r>
          </w:p>
        </w:tc>
        <w:tc>
          <w:tcPr>
            <w:tcW w:w="787" w:type="dxa"/>
          </w:tcPr>
          <w:p w14:paraId="455F6A37" w14:textId="77777777" w:rsidR="00F9422E" w:rsidRPr="008A4013" w:rsidRDefault="00F9422E" w:rsidP="00C137CF">
            <w:pPr>
              <w:tabs>
                <w:tab w:val="left" w:pos="284"/>
              </w:tabs>
              <w:spacing w:line="240" w:lineRule="auto"/>
              <w:ind w:firstLine="0"/>
              <w:rPr>
                <w:b/>
              </w:rPr>
            </w:pPr>
            <w:r w:rsidRPr="008A4013">
              <w:rPr>
                <w:b/>
              </w:rPr>
              <w:t>better</w:t>
            </w:r>
          </w:p>
        </w:tc>
        <w:tc>
          <w:tcPr>
            <w:tcW w:w="2610" w:type="dxa"/>
          </w:tcPr>
          <w:p w14:paraId="787A8DC1" w14:textId="77777777" w:rsidR="00F9422E" w:rsidRPr="008A4013" w:rsidRDefault="00F9422E" w:rsidP="00C137CF">
            <w:pPr>
              <w:tabs>
                <w:tab w:val="left" w:pos="284"/>
              </w:tabs>
              <w:spacing w:line="240" w:lineRule="auto"/>
              <w:ind w:firstLine="0"/>
            </w:pPr>
          </w:p>
        </w:tc>
      </w:tr>
      <w:tr w:rsidR="00F9422E" w:rsidRPr="008A4013" w14:paraId="6D74AC41" w14:textId="77777777" w:rsidTr="001A4E00">
        <w:tc>
          <w:tcPr>
            <w:tcW w:w="817" w:type="dxa"/>
          </w:tcPr>
          <w:p w14:paraId="750CC46F" w14:textId="77777777" w:rsidR="00F9422E" w:rsidRPr="008A4013" w:rsidRDefault="00F9422E" w:rsidP="00C137CF">
            <w:pPr>
              <w:tabs>
                <w:tab w:val="left" w:pos="284"/>
              </w:tabs>
              <w:spacing w:line="240" w:lineRule="auto"/>
              <w:ind w:firstLine="0"/>
              <w:jc w:val="right"/>
            </w:pPr>
            <w:r w:rsidRPr="008A4013">
              <w:t>08</w:t>
            </w:r>
          </w:p>
        </w:tc>
        <w:tc>
          <w:tcPr>
            <w:tcW w:w="4302" w:type="dxa"/>
          </w:tcPr>
          <w:p w14:paraId="05D8BBEE" w14:textId="77777777" w:rsidR="00F9422E" w:rsidRPr="008A4013" w:rsidRDefault="00F9422E" w:rsidP="00C137CF">
            <w:pPr>
              <w:tabs>
                <w:tab w:val="left" w:pos="284"/>
              </w:tabs>
              <w:spacing w:line="240" w:lineRule="auto"/>
              <w:ind w:firstLine="0"/>
              <w:jc w:val="right"/>
            </w:pPr>
            <w:r w:rsidRPr="008A4013">
              <w:t>…making it</w:t>
            </w:r>
          </w:p>
        </w:tc>
        <w:tc>
          <w:tcPr>
            <w:tcW w:w="787" w:type="dxa"/>
          </w:tcPr>
          <w:p w14:paraId="66AE58A0" w14:textId="77777777" w:rsidR="00F9422E" w:rsidRPr="008A4013" w:rsidRDefault="00F9422E" w:rsidP="00C137CF">
            <w:pPr>
              <w:tabs>
                <w:tab w:val="left" w:pos="284"/>
              </w:tabs>
              <w:spacing w:line="240" w:lineRule="auto"/>
              <w:ind w:firstLine="0"/>
              <w:rPr>
                <w:b/>
              </w:rPr>
            </w:pPr>
            <w:r w:rsidRPr="008A4013">
              <w:rPr>
                <w:b/>
              </w:rPr>
              <w:t>better</w:t>
            </w:r>
          </w:p>
        </w:tc>
        <w:tc>
          <w:tcPr>
            <w:tcW w:w="2610" w:type="dxa"/>
          </w:tcPr>
          <w:p w14:paraId="498AD0AF" w14:textId="77777777" w:rsidR="00F9422E" w:rsidRPr="008A4013" w:rsidRDefault="00F9422E" w:rsidP="00C137CF">
            <w:pPr>
              <w:tabs>
                <w:tab w:val="left" w:pos="284"/>
              </w:tabs>
              <w:spacing w:line="240" w:lineRule="auto"/>
              <w:ind w:firstLine="0"/>
            </w:pPr>
            <w:r w:rsidRPr="008A4013">
              <w:t>for everyone</w:t>
            </w:r>
          </w:p>
        </w:tc>
      </w:tr>
      <w:tr w:rsidR="00F9422E" w:rsidRPr="008A4013" w14:paraId="3587ED19" w14:textId="77777777" w:rsidTr="001A4E00">
        <w:tc>
          <w:tcPr>
            <w:tcW w:w="817" w:type="dxa"/>
          </w:tcPr>
          <w:p w14:paraId="30011BEC" w14:textId="77777777" w:rsidR="00F9422E" w:rsidRPr="008A4013" w:rsidRDefault="00F9422E" w:rsidP="00C137CF">
            <w:pPr>
              <w:tabs>
                <w:tab w:val="left" w:pos="284"/>
              </w:tabs>
              <w:spacing w:line="240" w:lineRule="auto"/>
              <w:ind w:firstLine="0"/>
              <w:jc w:val="right"/>
            </w:pPr>
            <w:r w:rsidRPr="008A4013">
              <w:t>09</w:t>
            </w:r>
          </w:p>
        </w:tc>
        <w:tc>
          <w:tcPr>
            <w:tcW w:w="4302" w:type="dxa"/>
          </w:tcPr>
          <w:p w14:paraId="3598EC33" w14:textId="77777777" w:rsidR="00F9422E" w:rsidRPr="008A4013" w:rsidRDefault="00F9422E" w:rsidP="00C137CF">
            <w:pPr>
              <w:tabs>
                <w:tab w:val="left" w:pos="284"/>
              </w:tabs>
              <w:spacing w:line="240" w:lineRule="auto"/>
              <w:ind w:firstLine="0"/>
              <w:jc w:val="right"/>
            </w:pPr>
            <w:r w:rsidRPr="008A4013">
              <w:t>…sometimes, before it gets</w:t>
            </w:r>
          </w:p>
        </w:tc>
        <w:tc>
          <w:tcPr>
            <w:tcW w:w="787" w:type="dxa"/>
          </w:tcPr>
          <w:p w14:paraId="46AA3499" w14:textId="77777777" w:rsidR="00F9422E" w:rsidRPr="008A4013" w:rsidRDefault="00F9422E" w:rsidP="00C137CF">
            <w:pPr>
              <w:tabs>
                <w:tab w:val="left" w:pos="284"/>
              </w:tabs>
              <w:spacing w:line="240" w:lineRule="auto"/>
              <w:ind w:firstLine="0"/>
              <w:rPr>
                <w:b/>
              </w:rPr>
            </w:pPr>
            <w:r w:rsidRPr="008A4013">
              <w:rPr>
                <w:b/>
              </w:rPr>
              <w:t>better</w:t>
            </w:r>
          </w:p>
        </w:tc>
        <w:tc>
          <w:tcPr>
            <w:tcW w:w="2610" w:type="dxa"/>
          </w:tcPr>
          <w:p w14:paraId="0AB0A3C8" w14:textId="77777777" w:rsidR="00F9422E" w:rsidRPr="008A4013" w:rsidRDefault="00F9422E" w:rsidP="00C137CF">
            <w:pPr>
              <w:tabs>
                <w:tab w:val="left" w:pos="284"/>
              </w:tabs>
              <w:spacing w:line="240" w:lineRule="auto"/>
              <w:ind w:firstLine="0"/>
            </w:pPr>
            <w:r w:rsidRPr="008A4013">
              <w:t>it gets worse</w:t>
            </w:r>
          </w:p>
        </w:tc>
      </w:tr>
      <w:tr w:rsidR="00F9422E" w:rsidRPr="008A4013" w14:paraId="5732F609" w14:textId="77777777" w:rsidTr="001A4E00">
        <w:tc>
          <w:tcPr>
            <w:tcW w:w="817" w:type="dxa"/>
          </w:tcPr>
          <w:p w14:paraId="3A9FAFD3" w14:textId="77777777" w:rsidR="00F9422E" w:rsidRPr="008A4013" w:rsidRDefault="00F9422E" w:rsidP="00C137CF">
            <w:pPr>
              <w:tabs>
                <w:tab w:val="left" w:pos="284"/>
              </w:tabs>
              <w:spacing w:line="240" w:lineRule="auto"/>
              <w:ind w:firstLine="0"/>
              <w:jc w:val="right"/>
            </w:pPr>
            <w:r w:rsidRPr="008A4013">
              <w:t>10</w:t>
            </w:r>
          </w:p>
        </w:tc>
        <w:tc>
          <w:tcPr>
            <w:tcW w:w="4302" w:type="dxa"/>
          </w:tcPr>
          <w:p w14:paraId="1B290008" w14:textId="77777777" w:rsidR="00F9422E" w:rsidRPr="008A4013" w:rsidRDefault="00F9422E" w:rsidP="00C137CF">
            <w:pPr>
              <w:tabs>
                <w:tab w:val="left" w:pos="284"/>
              </w:tabs>
              <w:spacing w:line="240" w:lineRule="auto"/>
              <w:ind w:firstLine="0"/>
              <w:jc w:val="right"/>
            </w:pPr>
            <w:r w:rsidRPr="008A4013">
              <w:t xml:space="preserve">…hard work has made things </w:t>
            </w:r>
          </w:p>
        </w:tc>
        <w:tc>
          <w:tcPr>
            <w:tcW w:w="787" w:type="dxa"/>
          </w:tcPr>
          <w:p w14:paraId="0EF2E63C" w14:textId="77777777" w:rsidR="00F9422E" w:rsidRPr="008A4013" w:rsidRDefault="00F9422E" w:rsidP="00C137CF">
            <w:pPr>
              <w:tabs>
                <w:tab w:val="left" w:pos="284"/>
              </w:tabs>
              <w:spacing w:line="240" w:lineRule="auto"/>
              <w:ind w:firstLine="0"/>
              <w:rPr>
                <w:b/>
              </w:rPr>
            </w:pPr>
            <w:r w:rsidRPr="008A4013">
              <w:rPr>
                <w:b/>
              </w:rPr>
              <w:t>better</w:t>
            </w:r>
          </w:p>
        </w:tc>
        <w:tc>
          <w:tcPr>
            <w:tcW w:w="2610" w:type="dxa"/>
          </w:tcPr>
          <w:p w14:paraId="17774F89" w14:textId="77777777" w:rsidR="00F9422E" w:rsidRPr="008A4013" w:rsidRDefault="00F9422E" w:rsidP="00C137CF">
            <w:pPr>
              <w:tabs>
                <w:tab w:val="left" w:pos="284"/>
              </w:tabs>
              <w:spacing w:line="240" w:lineRule="auto"/>
              <w:ind w:firstLine="0"/>
            </w:pPr>
            <w:r w:rsidRPr="008A4013">
              <w:t>for them</w:t>
            </w:r>
          </w:p>
        </w:tc>
      </w:tr>
    </w:tbl>
    <w:p w14:paraId="5915AB1C" w14:textId="77777777" w:rsidR="00480638" w:rsidRPr="008A4013" w:rsidRDefault="00480638" w:rsidP="00C137CF">
      <w:pPr>
        <w:tabs>
          <w:tab w:val="left" w:pos="284"/>
          <w:tab w:val="left" w:pos="709"/>
        </w:tabs>
        <w:spacing w:line="240" w:lineRule="auto"/>
        <w:ind w:firstLine="0"/>
        <w:rPr>
          <w:highlight w:val="yellow"/>
        </w:rPr>
      </w:pPr>
    </w:p>
    <w:p w14:paraId="2F5223F8" w14:textId="77777777" w:rsidR="00BB09C0" w:rsidRPr="008A4013" w:rsidRDefault="00BB09C0" w:rsidP="00C137CF">
      <w:pPr>
        <w:tabs>
          <w:tab w:val="left" w:pos="284"/>
          <w:tab w:val="left" w:pos="709"/>
        </w:tabs>
        <w:spacing w:line="240" w:lineRule="auto"/>
        <w:ind w:firstLine="0"/>
      </w:pPr>
    </w:p>
    <w:p w14:paraId="7D3AAFEA" w14:textId="50B4AF4C" w:rsidR="00BB09C0" w:rsidRPr="008A4013" w:rsidRDefault="00EF0900" w:rsidP="00C137CF">
      <w:pPr>
        <w:tabs>
          <w:tab w:val="left" w:pos="284"/>
          <w:tab w:val="left" w:pos="709"/>
        </w:tabs>
        <w:ind w:firstLine="0"/>
      </w:pPr>
      <w:r w:rsidRPr="008A4013">
        <w:t xml:space="preserve">In </w:t>
      </w:r>
      <w:r w:rsidRPr="008A4013">
        <w:rPr>
          <w:i/>
        </w:rPr>
        <w:t>Table One</w:t>
      </w:r>
      <w:r w:rsidRPr="008A4013">
        <w:t xml:space="preserve">, </w:t>
      </w:r>
      <w:r w:rsidR="00BB09C0" w:rsidRPr="008A4013">
        <w:t xml:space="preserve">Lines 01, 02, 03, are examples of assertive variants of the </w:t>
      </w:r>
      <w:r w:rsidR="00244CB9" w:rsidRPr="008A4013">
        <w:t>IGBP</w:t>
      </w:r>
      <w:r w:rsidR="00BB09C0" w:rsidRPr="008A4013">
        <w:t xml:space="preserve"> core message. These are common, with “I promise” and “I can tell you” making particularly frequent appearance. In such cases, despite the apparent certainty of the speaker, the passive voice and the future-orientated</w:t>
      </w:r>
      <w:r w:rsidR="003F7A7D" w:rsidRPr="008A4013">
        <w:t xml:space="preserve"> </w:t>
      </w:r>
      <w:r w:rsidR="00BB09C0" w:rsidRPr="008A4013">
        <w:t xml:space="preserve">verb tense remain. Present or present continuous verb forms, conversely, make only rare appearance in </w:t>
      </w:r>
      <w:r w:rsidRPr="008A4013">
        <w:t>variations</w:t>
      </w:r>
      <w:r w:rsidR="00BB09C0" w:rsidRPr="008A4013">
        <w:t xml:space="preserve"> of </w:t>
      </w:r>
      <w:r w:rsidRPr="008A4013">
        <w:t xml:space="preserve">the phrase </w:t>
      </w:r>
      <w:r w:rsidR="00E54C7E" w:rsidRPr="008A4013">
        <w:t>“it gets better.”</w:t>
      </w:r>
      <w:r w:rsidR="00BB09C0" w:rsidRPr="008A4013">
        <w:t xml:space="preserve"> Examples of these formations are fo</w:t>
      </w:r>
      <w:r w:rsidR="003F7A7D" w:rsidRPr="008A4013">
        <w:t>und in lines 04, 07 and 08. L</w:t>
      </w:r>
      <w:r w:rsidR="00BB09C0" w:rsidRPr="008A4013">
        <w:t>ines 07 and 08</w:t>
      </w:r>
      <w:r w:rsidR="003F7A7D" w:rsidRPr="008A4013">
        <w:t xml:space="preserve"> are spoken in the</w:t>
      </w:r>
      <w:r w:rsidR="00BB09C0" w:rsidRPr="008A4013">
        <w:t xml:space="preserve"> active voice</w:t>
      </w:r>
      <w:r w:rsidR="003F7A7D" w:rsidRPr="008A4013">
        <w:t>,</w:t>
      </w:r>
      <w:r w:rsidR="00BB09C0" w:rsidRPr="008A4013">
        <w:t xml:space="preserve"> another </w:t>
      </w:r>
      <w:r w:rsidR="003F7A7D" w:rsidRPr="008A4013">
        <w:t>infrequent</w:t>
      </w:r>
      <w:r w:rsidR="00BB09C0" w:rsidRPr="008A4013">
        <w:t xml:space="preserve"> occurrence.</w:t>
      </w:r>
      <w:r w:rsidR="001A7724" w:rsidRPr="008A4013">
        <w:t xml:space="preserve"> The caveat of “if” in Line 07, and the caution of Line 09 are strikingly different </w:t>
      </w:r>
      <w:r w:rsidR="00AF0E5D" w:rsidRPr="008A4013">
        <w:t>from the</w:t>
      </w:r>
      <w:r w:rsidR="00136293" w:rsidRPr="008A4013">
        <w:t xml:space="preserve"> </w:t>
      </w:r>
      <w:r w:rsidR="00AF0E5D" w:rsidRPr="008A4013">
        <w:t>norm of unaltered restatement of the phrase</w:t>
      </w:r>
      <w:r w:rsidR="001A7724" w:rsidRPr="008A4013">
        <w:t>.</w:t>
      </w:r>
      <w:r w:rsidR="008821B9" w:rsidRPr="008A4013">
        <w:rPr>
          <w:b/>
        </w:rPr>
        <w:t xml:space="preserve"> </w:t>
      </w:r>
    </w:p>
    <w:p w14:paraId="4F7BA782" w14:textId="625A9969" w:rsidR="001A7724" w:rsidRPr="008A4013" w:rsidRDefault="00BB09C0" w:rsidP="00C137CF">
      <w:pPr>
        <w:tabs>
          <w:tab w:val="left" w:pos="284"/>
          <w:tab w:val="left" w:pos="709"/>
        </w:tabs>
        <w:ind w:firstLine="0"/>
      </w:pPr>
      <w:r w:rsidRPr="008A4013">
        <w:lastRenderedPageBreak/>
        <w:tab/>
      </w:r>
      <w:r w:rsidR="00370B91" w:rsidRPr="008A4013">
        <w:tab/>
      </w:r>
      <w:r w:rsidRPr="008A4013">
        <w:t>A searc</w:t>
      </w:r>
      <w:r w:rsidR="00E54C7E" w:rsidRPr="008A4013">
        <w:t>h for a second node word, “God,”</w:t>
      </w:r>
      <w:r w:rsidRPr="008A4013">
        <w:t xml:space="preserve"> returned just 62 instances of use (0.4%)</w:t>
      </w:r>
      <w:r w:rsidR="003F7A7D" w:rsidRPr="008A4013">
        <w:t>.</w:t>
      </w:r>
      <w:r w:rsidR="00C76160" w:rsidRPr="008A4013">
        <w:t xml:space="preserve"> </w:t>
      </w:r>
      <w:r w:rsidR="00A552DF" w:rsidRPr="008A4013">
        <w:t>Considering the category title, the</w:t>
      </w:r>
      <w:r w:rsidR="00E54C7E" w:rsidRPr="008A4013">
        <w:t xml:space="preserve"> infrequent appearance of “God,”</w:t>
      </w:r>
      <w:r w:rsidR="00A552DF" w:rsidRPr="008A4013">
        <w:t xml:space="preserve"> and </w:t>
      </w:r>
      <w:r w:rsidR="001F196E" w:rsidRPr="008A4013">
        <w:t xml:space="preserve">another </w:t>
      </w:r>
      <w:r w:rsidR="00A552DF" w:rsidRPr="008A4013">
        <w:t>node word</w:t>
      </w:r>
      <w:r w:rsidR="001F196E" w:rsidRPr="008A4013">
        <w:t>,</w:t>
      </w:r>
      <w:r w:rsidR="00A552DF" w:rsidRPr="008A4013">
        <w:t xml:space="preserve"> “faith” (which was used just twelve times), is surprising. Of utterances of the word “God</w:t>
      </w:r>
      <w:r w:rsidR="00E54C7E" w:rsidRPr="008A4013">
        <w:t>,”</w:t>
      </w:r>
      <w:r w:rsidR="00A552DF" w:rsidRPr="008A4013">
        <w:t xml:space="preserve"> a</w:t>
      </w:r>
      <w:r w:rsidR="00C76160" w:rsidRPr="008A4013">
        <w:t xml:space="preserve"> third were </w:t>
      </w:r>
      <w:r w:rsidR="003F7A7D" w:rsidRPr="008A4013">
        <w:t xml:space="preserve">made </w:t>
      </w:r>
      <w:r w:rsidR="00C76160" w:rsidRPr="008A4013">
        <w:t>within the concordance line: “God loves yo</w:t>
      </w:r>
      <w:r w:rsidR="00E54C7E" w:rsidRPr="008A4013">
        <w:t>u.”</w:t>
      </w:r>
      <w:r w:rsidR="00C76160" w:rsidRPr="008A4013">
        <w:t xml:space="preserve"> </w:t>
      </w:r>
    </w:p>
    <w:p w14:paraId="55D5F7AC" w14:textId="77777777" w:rsidR="00C76160" w:rsidRPr="008A4013" w:rsidRDefault="00EF0900" w:rsidP="00C137CF">
      <w:pPr>
        <w:tabs>
          <w:tab w:val="left" w:pos="284"/>
          <w:tab w:val="left" w:pos="709"/>
        </w:tabs>
        <w:spacing w:line="240" w:lineRule="auto"/>
        <w:ind w:firstLine="0"/>
      </w:pPr>
      <w:r w:rsidRPr="008A4013">
        <w:rPr>
          <w:i/>
        </w:rPr>
        <w:t>Table Two</w:t>
      </w:r>
      <w:r w:rsidR="00480638" w:rsidRPr="008A4013">
        <w:t xml:space="preserve"> </w:t>
      </w:r>
    </w:p>
    <w:p w14:paraId="0C8B6C56" w14:textId="77777777" w:rsidR="00AD3F7F" w:rsidRPr="008A4013" w:rsidRDefault="00AD3F7F" w:rsidP="00C137CF">
      <w:pPr>
        <w:tabs>
          <w:tab w:val="left" w:pos="284"/>
          <w:tab w:val="left" w:pos="709"/>
        </w:tabs>
        <w:spacing w:line="240" w:lineRule="auto"/>
        <w:ind w:firstLine="0"/>
      </w:pPr>
    </w:p>
    <w:tbl>
      <w:tblPr>
        <w:tblStyle w:val="TableGrid"/>
        <w:tblW w:w="893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3793"/>
        <w:gridCol w:w="657"/>
        <w:gridCol w:w="3663"/>
      </w:tblGrid>
      <w:tr w:rsidR="00C76160" w:rsidRPr="008A4013" w14:paraId="2987C89C" w14:textId="77777777" w:rsidTr="00A552DF">
        <w:tc>
          <w:tcPr>
            <w:tcW w:w="817" w:type="dxa"/>
          </w:tcPr>
          <w:p w14:paraId="5BC7D377" w14:textId="77777777" w:rsidR="00C76160" w:rsidRPr="008A4013" w:rsidRDefault="00F07504" w:rsidP="00C137CF">
            <w:pPr>
              <w:tabs>
                <w:tab w:val="left" w:pos="284"/>
                <w:tab w:val="left" w:pos="709"/>
              </w:tabs>
              <w:spacing w:line="240" w:lineRule="auto"/>
              <w:ind w:firstLine="0"/>
            </w:pPr>
            <w:r w:rsidRPr="008A4013">
              <w:t>1</w:t>
            </w:r>
            <w:r w:rsidR="00C76160" w:rsidRPr="008A4013">
              <w:t>1</w:t>
            </w:r>
          </w:p>
        </w:tc>
        <w:tc>
          <w:tcPr>
            <w:tcW w:w="3793" w:type="dxa"/>
          </w:tcPr>
          <w:p w14:paraId="1C086D3A" w14:textId="77777777" w:rsidR="00C76160" w:rsidRPr="008A4013" w:rsidRDefault="00C76160" w:rsidP="00C137CF">
            <w:pPr>
              <w:tabs>
                <w:tab w:val="left" w:pos="284"/>
                <w:tab w:val="left" w:pos="709"/>
              </w:tabs>
              <w:spacing w:line="240" w:lineRule="auto"/>
              <w:ind w:firstLine="0"/>
              <w:jc w:val="right"/>
            </w:pPr>
          </w:p>
        </w:tc>
        <w:tc>
          <w:tcPr>
            <w:tcW w:w="657" w:type="dxa"/>
          </w:tcPr>
          <w:p w14:paraId="0A52FA41" w14:textId="77777777" w:rsidR="00C76160" w:rsidRPr="008A4013" w:rsidRDefault="00C76160" w:rsidP="00C137CF">
            <w:pPr>
              <w:tabs>
                <w:tab w:val="left" w:pos="284"/>
                <w:tab w:val="left" w:pos="709"/>
              </w:tabs>
              <w:spacing w:line="240" w:lineRule="auto"/>
              <w:ind w:firstLine="0"/>
              <w:rPr>
                <w:b/>
              </w:rPr>
            </w:pPr>
            <w:r w:rsidRPr="008A4013">
              <w:rPr>
                <w:b/>
              </w:rPr>
              <w:t xml:space="preserve">God </w:t>
            </w:r>
          </w:p>
        </w:tc>
        <w:tc>
          <w:tcPr>
            <w:tcW w:w="3663" w:type="dxa"/>
          </w:tcPr>
          <w:p w14:paraId="2C573B39" w14:textId="77777777" w:rsidR="00C76160" w:rsidRPr="008A4013" w:rsidRDefault="00C76160" w:rsidP="00C137CF">
            <w:pPr>
              <w:tabs>
                <w:tab w:val="left" w:pos="284"/>
                <w:tab w:val="left" w:pos="709"/>
              </w:tabs>
              <w:spacing w:line="240" w:lineRule="auto"/>
              <w:ind w:firstLine="0"/>
            </w:pPr>
            <w:r w:rsidRPr="008A4013">
              <w:t>loves you</w:t>
            </w:r>
          </w:p>
        </w:tc>
      </w:tr>
      <w:tr w:rsidR="00C76160" w:rsidRPr="008A4013" w14:paraId="1A4B7547" w14:textId="77777777" w:rsidTr="00A552DF">
        <w:tc>
          <w:tcPr>
            <w:tcW w:w="817" w:type="dxa"/>
          </w:tcPr>
          <w:p w14:paraId="5927C669" w14:textId="77777777" w:rsidR="00C76160" w:rsidRPr="008A4013" w:rsidRDefault="00F07504" w:rsidP="00C137CF">
            <w:pPr>
              <w:tabs>
                <w:tab w:val="left" w:pos="284"/>
                <w:tab w:val="left" w:pos="709"/>
              </w:tabs>
              <w:spacing w:line="240" w:lineRule="auto"/>
              <w:ind w:firstLine="0"/>
            </w:pPr>
            <w:r w:rsidRPr="008A4013">
              <w:t>1</w:t>
            </w:r>
            <w:r w:rsidR="00C76160" w:rsidRPr="008A4013">
              <w:t>2</w:t>
            </w:r>
          </w:p>
        </w:tc>
        <w:tc>
          <w:tcPr>
            <w:tcW w:w="3793" w:type="dxa"/>
          </w:tcPr>
          <w:p w14:paraId="65F39DC2" w14:textId="77777777" w:rsidR="00C76160" w:rsidRPr="008A4013" w:rsidRDefault="00C76160" w:rsidP="00C137CF">
            <w:pPr>
              <w:tabs>
                <w:tab w:val="left" w:pos="284"/>
                <w:tab w:val="left" w:pos="709"/>
              </w:tabs>
              <w:spacing w:line="240" w:lineRule="auto"/>
              <w:ind w:firstLine="0"/>
              <w:jc w:val="right"/>
            </w:pPr>
          </w:p>
        </w:tc>
        <w:tc>
          <w:tcPr>
            <w:tcW w:w="657" w:type="dxa"/>
          </w:tcPr>
          <w:p w14:paraId="4DF7FFBB" w14:textId="77777777" w:rsidR="00C76160" w:rsidRPr="008A4013" w:rsidRDefault="00C76160" w:rsidP="00C137CF">
            <w:pPr>
              <w:tabs>
                <w:tab w:val="left" w:pos="284"/>
                <w:tab w:val="left" w:pos="709"/>
              </w:tabs>
              <w:spacing w:line="240" w:lineRule="auto"/>
              <w:ind w:firstLine="0"/>
              <w:rPr>
                <w:b/>
              </w:rPr>
            </w:pPr>
            <w:r w:rsidRPr="008A4013">
              <w:rPr>
                <w:b/>
              </w:rPr>
              <w:t>God</w:t>
            </w:r>
          </w:p>
        </w:tc>
        <w:tc>
          <w:tcPr>
            <w:tcW w:w="3663" w:type="dxa"/>
          </w:tcPr>
          <w:p w14:paraId="3E1A841F" w14:textId="77777777" w:rsidR="00C76160" w:rsidRPr="008A4013" w:rsidRDefault="00C76160" w:rsidP="00C137CF">
            <w:pPr>
              <w:tabs>
                <w:tab w:val="left" w:pos="284"/>
                <w:tab w:val="left" w:pos="709"/>
              </w:tabs>
              <w:spacing w:line="240" w:lineRule="auto"/>
              <w:ind w:firstLine="0"/>
            </w:pPr>
            <w:r w:rsidRPr="008A4013">
              <w:t>created you</w:t>
            </w:r>
          </w:p>
        </w:tc>
      </w:tr>
      <w:tr w:rsidR="00C76160" w:rsidRPr="008A4013" w14:paraId="26FE305D" w14:textId="77777777" w:rsidTr="00A552DF">
        <w:tc>
          <w:tcPr>
            <w:tcW w:w="817" w:type="dxa"/>
          </w:tcPr>
          <w:p w14:paraId="5BDEDA5E" w14:textId="77777777" w:rsidR="00C76160" w:rsidRPr="008A4013" w:rsidRDefault="00F07504" w:rsidP="00C137CF">
            <w:pPr>
              <w:tabs>
                <w:tab w:val="left" w:pos="284"/>
                <w:tab w:val="left" w:pos="709"/>
              </w:tabs>
              <w:spacing w:line="240" w:lineRule="auto"/>
              <w:ind w:firstLine="0"/>
            </w:pPr>
            <w:r w:rsidRPr="008A4013">
              <w:t>1</w:t>
            </w:r>
            <w:r w:rsidR="00C76160" w:rsidRPr="008A4013">
              <w:t>3</w:t>
            </w:r>
          </w:p>
        </w:tc>
        <w:tc>
          <w:tcPr>
            <w:tcW w:w="3793" w:type="dxa"/>
          </w:tcPr>
          <w:p w14:paraId="0F6C1D1F" w14:textId="77777777" w:rsidR="00C76160" w:rsidRPr="008A4013" w:rsidRDefault="00C76160" w:rsidP="00C137CF">
            <w:pPr>
              <w:tabs>
                <w:tab w:val="left" w:pos="284"/>
                <w:tab w:val="left" w:pos="709"/>
              </w:tabs>
              <w:spacing w:line="240" w:lineRule="auto"/>
              <w:ind w:firstLine="0"/>
              <w:jc w:val="right"/>
            </w:pPr>
          </w:p>
        </w:tc>
        <w:tc>
          <w:tcPr>
            <w:tcW w:w="657" w:type="dxa"/>
          </w:tcPr>
          <w:p w14:paraId="41A5E0FD" w14:textId="77777777" w:rsidR="00C76160" w:rsidRPr="008A4013" w:rsidRDefault="00C76160" w:rsidP="00C137CF">
            <w:pPr>
              <w:tabs>
                <w:tab w:val="left" w:pos="284"/>
                <w:tab w:val="left" w:pos="709"/>
              </w:tabs>
              <w:spacing w:line="240" w:lineRule="auto"/>
              <w:ind w:firstLine="0"/>
              <w:rPr>
                <w:b/>
              </w:rPr>
            </w:pPr>
            <w:r w:rsidRPr="008A4013">
              <w:rPr>
                <w:b/>
              </w:rPr>
              <w:t>God</w:t>
            </w:r>
          </w:p>
        </w:tc>
        <w:tc>
          <w:tcPr>
            <w:tcW w:w="3663" w:type="dxa"/>
          </w:tcPr>
          <w:p w14:paraId="13B522A1" w14:textId="77777777" w:rsidR="00C76160" w:rsidRPr="008A4013" w:rsidRDefault="00A552DF" w:rsidP="00C137CF">
            <w:pPr>
              <w:tabs>
                <w:tab w:val="left" w:pos="284"/>
                <w:tab w:val="left" w:pos="709"/>
              </w:tabs>
              <w:spacing w:line="240" w:lineRule="auto"/>
              <w:ind w:firstLine="0"/>
            </w:pPr>
            <w:r w:rsidRPr="008A4013">
              <w:t>doesn’</w:t>
            </w:r>
            <w:r w:rsidR="00C76160" w:rsidRPr="008A4013">
              <w:t>t make mistakes</w:t>
            </w:r>
          </w:p>
        </w:tc>
      </w:tr>
      <w:tr w:rsidR="00C76160" w:rsidRPr="008A4013" w14:paraId="23D168D6" w14:textId="77777777" w:rsidTr="00A552DF">
        <w:tc>
          <w:tcPr>
            <w:tcW w:w="817" w:type="dxa"/>
          </w:tcPr>
          <w:p w14:paraId="00922A45" w14:textId="77777777" w:rsidR="00C76160" w:rsidRPr="008A4013" w:rsidRDefault="00F07504" w:rsidP="00C137CF">
            <w:pPr>
              <w:tabs>
                <w:tab w:val="left" w:pos="284"/>
                <w:tab w:val="left" w:pos="709"/>
              </w:tabs>
              <w:spacing w:line="240" w:lineRule="auto"/>
              <w:ind w:firstLine="0"/>
            </w:pPr>
            <w:r w:rsidRPr="008A4013">
              <w:t>1</w:t>
            </w:r>
            <w:r w:rsidR="00C76160" w:rsidRPr="008A4013">
              <w:t>4</w:t>
            </w:r>
          </w:p>
        </w:tc>
        <w:tc>
          <w:tcPr>
            <w:tcW w:w="3793" w:type="dxa"/>
          </w:tcPr>
          <w:p w14:paraId="026C3B50" w14:textId="77777777" w:rsidR="00C76160" w:rsidRPr="008A4013" w:rsidRDefault="00C76160" w:rsidP="00C137CF">
            <w:pPr>
              <w:tabs>
                <w:tab w:val="left" w:pos="284"/>
                <w:tab w:val="left" w:pos="709"/>
              </w:tabs>
              <w:spacing w:line="240" w:lineRule="auto"/>
              <w:ind w:firstLine="0"/>
              <w:jc w:val="right"/>
            </w:pPr>
            <w:r w:rsidRPr="008A4013">
              <w:t>You’re the way you are, the way</w:t>
            </w:r>
          </w:p>
        </w:tc>
        <w:tc>
          <w:tcPr>
            <w:tcW w:w="657" w:type="dxa"/>
          </w:tcPr>
          <w:p w14:paraId="0D2C1FEB" w14:textId="77777777" w:rsidR="00C76160" w:rsidRPr="008A4013" w:rsidRDefault="00C76160" w:rsidP="00C137CF">
            <w:pPr>
              <w:tabs>
                <w:tab w:val="left" w:pos="284"/>
                <w:tab w:val="left" w:pos="709"/>
              </w:tabs>
              <w:spacing w:line="240" w:lineRule="auto"/>
              <w:ind w:firstLine="0"/>
              <w:rPr>
                <w:b/>
              </w:rPr>
            </w:pPr>
            <w:r w:rsidRPr="008A4013">
              <w:rPr>
                <w:b/>
              </w:rPr>
              <w:t>God</w:t>
            </w:r>
          </w:p>
        </w:tc>
        <w:tc>
          <w:tcPr>
            <w:tcW w:w="3663" w:type="dxa"/>
          </w:tcPr>
          <w:p w14:paraId="70D12DA8" w14:textId="77777777" w:rsidR="00C76160" w:rsidRPr="008A4013" w:rsidRDefault="00C76160" w:rsidP="00C137CF">
            <w:pPr>
              <w:tabs>
                <w:tab w:val="left" w:pos="284"/>
                <w:tab w:val="left" w:pos="709"/>
              </w:tabs>
              <w:spacing w:line="240" w:lineRule="auto"/>
              <w:ind w:firstLine="0"/>
            </w:pPr>
            <w:r w:rsidRPr="008A4013">
              <w:t>made you</w:t>
            </w:r>
          </w:p>
        </w:tc>
      </w:tr>
      <w:tr w:rsidR="00C76160" w:rsidRPr="008A4013" w14:paraId="3264F1E7" w14:textId="77777777" w:rsidTr="00A552DF">
        <w:tc>
          <w:tcPr>
            <w:tcW w:w="817" w:type="dxa"/>
          </w:tcPr>
          <w:p w14:paraId="33AF9C5B" w14:textId="77777777" w:rsidR="00C76160" w:rsidRPr="008A4013" w:rsidRDefault="00F07504" w:rsidP="00C137CF">
            <w:pPr>
              <w:tabs>
                <w:tab w:val="left" w:pos="284"/>
                <w:tab w:val="left" w:pos="709"/>
              </w:tabs>
              <w:spacing w:line="240" w:lineRule="auto"/>
              <w:ind w:firstLine="0"/>
            </w:pPr>
            <w:r w:rsidRPr="008A4013">
              <w:t>1</w:t>
            </w:r>
            <w:r w:rsidR="00C76160" w:rsidRPr="008A4013">
              <w:t>5</w:t>
            </w:r>
          </w:p>
        </w:tc>
        <w:tc>
          <w:tcPr>
            <w:tcW w:w="3793" w:type="dxa"/>
          </w:tcPr>
          <w:p w14:paraId="730E14E4" w14:textId="77777777" w:rsidR="00C76160" w:rsidRPr="008A4013" w:rsidRDefault="00C76160" w:rsidP="00C137CF">
            <w:pPr>
              <w:tabs>
                <w:tab w:val="left" w:pos="284"/>
                <w:tab w:val="left" w:pos="709"/>
              </w:tabs>
              <w:spacing w:line="240" w:lineRule="auto"/>
              <w:ind w:firstLine="0"/>
              <w:jc w:val="right"/>
            </w:pPr>
            <w:r w:rsidRPr="008A4013">
              <w:t>May</w:t>
            </w:r>
          </w:p>
        </w:tc>
        <w:tc>
          <w:tcPr>
            <w:tcW w:w="657" w:type="dxa"/>
          </w:tcPr>
          <w:p w14:paraId="7E4453C1" w14:textId="77777777" w:rsidR="00C76160" w:rsidRPr="008A4013" w:rsidRDefault="00C76160" w:rsidP="00C137CF">
            <w:pPr>
              <w:tabs>
                <w:tab w:val="left" w:pos="284"/>
                <w:tab w:val="left" w:pos="709"/>
              </w:tabs>
              <w:spacing w:line="240" w:lineRule="auto"/>
              <w:ind w:firstLine="0"/>
              <w:rPr>
                <w:b/>
              </w:rPr>
            </w:pPr>
            <w:r w:rsidRPr="008A4013">
              <w:rPr>
                <w:b/>
              </w:rPr>
              <w:t>God</w:t>
            </w:r>
          </w:p>
        </w:tc>
        <w:tc>
          <w:tcPr>
            <w:tcW w:w="3663" w:type="dxa"/>
          </w:tcPr>
          <w:p w14:paraId="1E4E06BB" w14:textId="77777777" w:rsidR="00C76160" w:rsidRPr="008A4013" w:rsidRDefault="00C76160" w:rsidP="00C137CF">
            <w:pPr>
              <w:tabs>
                <w:tab w:val="left" w:pos="284"/>
                <w:tab w:val="left" w:pos="709"/>
              </w:tabs>
              <w:spacing w:line="240" w:lineRule="auto"/>
              <w:ind w:firstLine="0"/>
            </w:pPr>
            <w:r w:rsidRPr="008A4013">
              <w:t>bless you all</w:t>
            </w:r>
          </w:p>
        </w:tc>
      </w:tr>
    </w:tbl>
    <w:p w14:paraId="65A0E6B5" w14:textId="77777777" w:rsidR="00480638" w:rsidRPr="008A4013" w:rsidRDefault="00480638" w:rsidP="00C137CF">
      <w:pPr>
        <w:tabs>
          <w:tab w:val="left" w:pos="284"/>
          <w:tab w:val="left" w:pos="709"/>
        </w:tabs>
        <w:spacing w:line="240" w:lineRule="auto"/>
        <w:ind w:firstLine="0"/>
        <w:rPr>
          <w:highlight w:val="yellow"/>
        </w:rPr>
      </w:pPr>
    </w:p>
    <w:p w14:paraId="68BFAC02" w14:textId="77777777" w:rsidR="001A7724" w:rsidRPr="008A4013" w:rsidRDefault="001A7724" w:rsidP="00C137CF">
      <w:pPr>
        <w:tabs>
          <w:tab w:val="left" w:pos="284"/>
          <w:tab w:val="left" w:pos="709"/>
        </w:tabs>
        <w:spacing w:line="240" w:lineRule="auto"/>
        <w:ind w:firstLine="0"/>
      </w:pPr>
    </w:p>
    <w:p w14:paraId="1C36A50A" w14:textId="5D7610CB" w:rsidR="006D0E09" w:rsidRPr="008A4013" w:rsidRDefault="00A552DF" w:rsidP="00C137CF">
      <w:pPr>
        <w:tabs>
          <w:tab w:val="left" w:pos="284"/>
          <w:tab w:val="left" w:pos="709"/>
        </w:tabs>
        <w:ind w:firstLine="0"/>
      </w:pPr>
      <w:r w:rsidRPr="008A4013">
        <w:t xml:space="preserve">The use of the present tense here is noteworthy, as it contrasts temporally with the other salient message within the data set, the future progressive proposition: </w:t>
      </w:r>
      <w:r w:rsidR="00292DD0" w:rsidRPr="008A4013">
        <w:t>“it gets better</w:t>
      </w:r>
      <w:r w:rsidR="00E54C7E" w:rsidRPr="008A4013">
        <w:t>.</w:t>
      </w:r>
      <w:r w:rsidR="00292DD0" w:rsidRPr="008A4013">
        <w:t>”</w:t>
      </w:r>
      <w:r w:rsidR="00292DD0" w:rsidRPr="008A4013">
        <w:rPr>
          <w:b/>
        </w:rPr>
        <w:t xml:space="preserve"> </w:t>
      </w:r>
      <w:r w:rsidR="00292DD0" w:rsidRPr="008A4013">
        <w:t>That the guarantee of god</w:t>
      </w:r>
      <w:r w:rsidR="008821B9" w:rsidRPr="008A4013">
        <w:t>’</w:t>
      </w:r>
      <w:r w:rsidR="00292DD0" w:rsidRPr="008A4013">
        <w:t xml:space="preserve">s love might be unconnected, or ineffectual with respect to “it </w:t>
      </w:r>
      <w:proofErr w:type="gramStart"/>
      <w:r w:rsidR="00292DD0" w:rsidRPr="008A4013">
        <w:t>getting</w:t>
      </w:r>
      <w:proofErr w:type="gramEnd"/>
      <w:r w:rsidR="00292DD0" w:rsidRPr="008A4013">
        <w:t xml:space="preserve"> better</w:t>
      </w:r>
      <w:r w:rsidR="00E54C7E" w:rsidRPr="008A4013">
        <w:t>,</w:t>
      </w:r>
      <w:r w:rsidR="00292DD0" w:rsidRPr="008A4013">
        <w:t xml:space="preserve">” is an unexpected finding in a category of IGBP films entitled Faith. In fact, upon closer examination, I found that those using the term “God” as in the concordance lines in </w:t>
      </w:r>
      <w:r w:rsidR="00292DD0" w:rsidRPr="008A4013">
        <w:rPr>
          <w:i/>
        </w:rPr>
        <w:t>Table Two</w:t>
      </w:r>
      <w:r w:rsidR="00292DD0" w:rsidRPr="008A4013">
        <w:t xml:space="preserve"> were also far more likely to add caution or caveats </w:t>
      </w:r>
      <w:r w:rsidR="00B96A18" w:rsidRPr="008A4013">
        <w:t xml:space="preserve">to their “it gets better” statement. Moreover, </w:t>
      </w:r>
      <w:r w:rsidR="006D0E09" w:rsidRPr="008A4013">
        <w:t xml:space="preserve">many </w:t>
      </w:r>
      <w:r w:rsidR="00B96A18" w:rsidRPr="008A4013">
        <w:t>of the speakers do not use the term “God”</w:t>
      </w:r>
      <w:r w:rsidR="006D0E09" w:rsidRPr="008A4013">
        <w:t xml:space="preserve"> at all, </w:t>
      </w:r>
      <w:r w:rsidR="00B96A18" w:rsidRPr="008A4013">
        <w:t xml:space="preserve">whereas </w:t>
      </w:r>
      <w:r w:rsidR="006D0E09" w:rsidRPr="008A4013">
        <w:t>others litter their messages with them: Gene Robinson, for example, says “God” eleven times over the course of 391 words (4%).</w:t>
      </w:r>
    </w:p>
    <w:p w14:paraId="77664214" w14:textId="0F0042AB" w:rsidR="00585ECF" w:rsidRPr="008A4013" w:rsidRDefault="00370B91" w:rsidP="00C137CF">
      <w:pPr>
        <w:tabs>
          <w:tab w:val="left" w:pos="284"/>
          <w:tab w:val="left" w:pos="709"/>
        </w:tabs>
        <w:ind w:firstLine="0"/>
      </w:pPr>
      <w:r w:rsidRPr="008A4013">
        <w:tab/>
      </w:r>
      <w:r w:rsidR="000416EB" w:rsidRPr="008A4013">
        <w:tab/>
      </w:r>
      <w:r w:rsidR="004A5CB0" w:rsidRPr="008A4013">
        <w:t xml:space="preserve">This </w:t>
      </w:r>
      <w:r w:rsidR="00136293" w:rsidRPr="008A4013">
        <w:t xml:space="preserve">quite stark </w:t>
      </w:r>
      <w:r w:rsidR="00B96A18" w:rsidRPr="008A4013">
        <w:t>variation prompted</w:t>
      </w:r>
      <w:r w:rsidR="00AF0E5D" w:rsidRPr="008A4013">
        <w:t xml:space="preserve"> </w:t>
      </w:r>
      <w:r w:rsidR="00B96A18" w:rsidRPr="008A4013">
        <w:t xml:space="preserve">consideration of </w:t>
      </w:r>
      <w:r w:rsidR="008821B9" w:rsidRPr="008A4013">
        <w:t xml:space="preserve">the </w:t>
      </w:r>
      <w:r w:rsidR="00B96A18" w:rsidRPr="008A4013">
        <w:t>individual</w:t>
      </w:r>
      <w:r w:rsidR="004A5CB0" w:rsidRPr="008A4013">
        <w:t xml:space="preserve"> speaker’s identity, established</w:t>
      </w:r>
      <w:r w:rsidR="000416EB" w:rsidRPr="008A4013">
        <w:t xml:space="preserve"> </w:t>
      </w:r>
      <w:r w:rsidR="004A5CB0" w:rsidRPr="008A4013">
        <w:t xml:space="preserve">by the self-descriptions provided </w:t>
      </w:r>
      <w:r w:rsidR="000416EB" w:rsidRPr="008A4013">
        <w:t xml:space="preserve">in </w:t>
      </w:r>
      <w:r w:rsidR="003E46D3" w:rsidRPr="008A4013">
        <w:t>their</w:t>
      </w:r>
      <w:r w:rsidR="000416EB" w:rsidRPr="008A4013">
        <w:t xml:space="preserve"> video or </w:t>
      </w:r>
      <w:r w:rsidR="004A5CB0" w:rsidRPr="008A4013">
        <w:t>short companion text.</w:t>
      </w:r>
      <w:r w:rsidR="000416EB" w:rsidRPr="008A4013">
        <w:t xml:space="preserve"> </w:t>
      </w:r>
      <w:r w:rsidR="00B96A18" w:rsidRPr="008A4013">
        <w:t xml:space="preserve">Leaving the </w:t>
      </w:r>
      <w:r w:rsidR="00136293" w:rsidRPr="008A4013">
        <w:t xml:space="preserve">compiled </w:t>
      </w:r>
      <w:r w:rsidR="00B96A18" w:rsidRPr="008A4013">
        <w:t xml:space="preserve">transcripts aside and referring to these self-descriptions alone, </w:t>
      </w:r>
      <w:r w:rsidR="000743D9" w:rsidRPr="008A4013">
        <w:t xml:space="preserve">I </w:t>
      </w:r>
      <w:r w:rsidR="000416EB" w:rsidRPr="008A4013">
        <w:t xml:space="preserve">identified two sets of speakers: </w:t>
      </w:r>
      <w:r w:rsidR="000743D9" w:rsidRPr="008A4013">
        <w:rPr>
          <w:i/>
        </w:rPr>
        <w:t>spokespeople</w:t>
      </w:r>
      <w:r w:rsidR="000416EB" w:rsidRPr="008A4013">
        <w:t>—</w:t>
      </w:r>
      <w:r w:rsidR="004A5CB0" w:rsidRPr="008A4013">
        <w:t>who hold</w:t>
      </w:r>
      <w:r w:rsidR="000743D9" w:rsidRPr="008A4013">
        <w:t xml:space="preserve"> some official position with</w:t>
      </w:r>
      <w:r w:rsidR="000416EB" w:rsidRPr="008A4013">
        <w:t>in</w:t>
      </w:r>
      <w:r w:rsidR="000743D9" w:rsidRPr="008A4013">
        <w:t xml:space="preserve"> a faith-based </w:t>
      </w:r>
      <w:r w:rsidR="008F1A59" w:rsidRPr="008A4013">
        <w:t>organization</w:t>
      </w:r>
      <w:r w:rsidR="000416EB" w:rsidRPr="008A4013">
        <w:t xml:space="preserve">, </w:t>
      </w:r>
      <w:r w:rsidR="000743D9" w:rsidRPr="008A4013">
        <w:t xml:space="preserve">and </w:t>
      </w:r>
      <w:r w:rsidR="000743D9" w:rsidRPr="008A4013">
        <w:rPr>
          <w:i/>
        </w:rPr>
        <w:t>laypeople</w:t>
      </w:r>
      <w:r w:rsidR="000743D9" w:rsidRPr="008A4013">
        <w:t xml:space="preserve">—who, </w:t>
      </w:r>
      <w:r w:rsidR="000416EB" w:rsidRPr="008A4013">
        <w:t>while potentially referencing</w:t>
      </w:r>
      <w:r w:rsidR="000743D9" w:rsidRPr="008A4013">
        <w:t xml:space="preserve"> </w:t>
      </w:r>
      <w:r w:rsidR="000416EB" w:rsidRPr="008A4013">
        <w:t>membership to a congregation</w:t>
      </w:r>
      <w:r w:rsidR="000743D9" w:rsidRPr="008A4013">
        <w:t>,</w:t>
      </w:r>
      <w:r w:rsidR="00486EFE" w:rsidRPr="008A4013">
        <w:t xml:space="preserve"> did not hold official positions within them</w:t>
      </w:r>
      <w:r w:rsidR="000743D9" w:rsidRPr="008A4013">
        <w:t xml:space="preserve">. </w:t>
      </w:r>
      <w:r w:rsidR="003E46D3" w:rsidRPr="008A4013">
        <w:t>Separating the groups</w:t>
      </w:r>
      <w:r w:rsidR="00B96A18" w:rsidRPr="008A4013">
        <w:t xml:space="preserve"> and linking names to transcripts</w:t>
      </w:r>
      <w:r w:rsidR="003E46D3" w:rsidRPr="008A4013">
        <w:t xml:space="preserve">, I saw that spokespeople, who do indeed use the word “God” more often, </w:t>
      </w:r>
      <w:r w:rsidR="003E46D3" w:rsidRPr="008A4013">
        <w:lastRenderedPageBreak/>
        <w:t xml:space="preserve">also </w:t>
      </w:r>
      <w:r w:rsidR="009D15B4" w:rsidRPr="008A4013">
        <w:t xml:space="preserve">seemed </w:t>
      </w:r>
      <w:r w:rsidR="003E46D3" w:rsidRPr="008A4013">
        <w:t>more likely to regard “it gets better” as action-dependent and open to possibility, ra</w:t>
      </w:r>
      <w:r w:rsidR="009719DD" w:rsidRPr="008A4013">
        <w:t xml:space="preserve">ther than as given. For example, it is </w:t>
      </w:r>
      <w:r w:rsidR="00907B95" w:rsidRPr="008A4013">
        <w:t xml:space="preserve">a </w:t>
      </w:r>
      <w:r w:rsidR="009719DD" w:rsidRPr="008A4013">
        <w:t>Revere</w:t>
      </w:r>
      <w:r w:rsidR="007803F1" w:rsidRPr="008A4013">
        <w:t>n</w:t>
      </w:r>
      <w:r w:rsidR="009719DD" w:rsidRPr="008A4013">
        <w:t>d</w:t>
      </w:r>
      <w:r w:rsidR="00907B95" w:rsidRPr="008A4013">
        <w:t>,</w:t>
      </w:r>
      <w:r w:rsidR="003E46D3" w:rsidRPr="008A4013">
        <w:t xml:space="preserve"> </w:t>
      </w:r>
      <w:r w:rsidR="009719DD" w:rsidRPr="008A4013">
        <w:t xml:space="preserve">Meg Riley </w:t>
      </w:r>
      <w:r w:rsidR="00907B95" w:rsidRPr="008A4013">
        <w:t xml:space="preserve">of the Unitarian Universalist Church, </w:t>
      </w:r>
      <w:r w:rsidR="009719DD" w:rsidRPr="008A4013">
        <w:t xml:space="preserve">who states: </w:t>
      </w:r>
      <w:r w:rsidR="003E46D3" w:rsidRPr="008A4013">
        <w:t>“</w:t>
      </w:r>
      <w:r w:rsidR="00F07504" w:rsidRPr="008A4013">
        <w:t xml:space="preserve">life will </w:t>
      </w:r>
      <w:r w:rsidR="003E46D3" w:rsidRPr="008A4013">
        <w:t xml:space="preserve">get better </w:t>
      </w:r>
      <w:r w:rsidR="003E46D3" w:rsidRPr="008A4013">
        <w:rPr>
          <w:i/>
        </w:rPr>
        <w:t>if</w:t>
      </w:r>
      <w:r w:rsidR="00B96A18" w:rsidRPr="008A4013">
        <w:t xml:space="preserve"> we</w:t>
      </w:r>
      <w:r w:rsidR="00E54C7E" w:rsidRPr="008A4013">
        <w:t xml:space="preserve"> make it better,”</w:t>
      </w:r>
      <w:r w:rsidR="00B96A18" w:rsidRPr="008A4013">
        <w:t xml:space="preserve"> as in Line 07 above</w:t>
      </w:r>
      <w:r w:rsidR="00F07504" w:rsidRPr="008A4013">
        <w:t>.</w:t>
      </w:r>
    </w:p>
    <w:p w14:paraId="2901E41D" w14:textId="7F833BB4" w:rsidR="00907B95" w:rsidRPr="008A4013" w:rsidRDefault="00545204" w:rsidP="00C137CF">
      <w:pPr>
        <w:tabs>
          <w:tab w:val="left" w:pos="284"/>
          <w:tab w:val="left" w:pos="709"/>
        </w:tabs>
        <w:ind w:firstLine="0"/>
      </w:pPr>
      <w:r w:rsidRPr="008A4013">
        <w:tab/>
      </w:r>
      <w:r w:rsidR="00370B91" w:rsidRPr="008A4013">
        <w:tab/>
      </w:r>
      <w:r w:rsidRPr="008A4013">
        <w:t>Baker argues that corpus analysis can provide stronger evidence of a</w:t>
      </w:r>
      <w:r w:rsidR="001C51EB">
        <w:t>n</w:t>
      </w:r>
      <w:r w:rsidRPr="008A4013">
        <w:t xml:space="preserve"> </w:t>
      </w:r>
      <w:r w:rsidR="001C51EB">
        <w:t>ideological discourse</w:t>
      </w:r>
      <w:r w:rsidR="001C51EB" w:rsidRPr="008A4013">
        <w:t xml:space="preserve"> </w:t>
      </w:r>
      <w:r w:rsidRPr="008A4013">
        <w:t xml:space="preserve">than </w:t>
      </w:r>
      <w:r w:rsidR="001C51EB">
        <w:t>analysis of a</w:t>
      </w:r>
      <w:r w:rsidRPr="008A4013">
        <w:t xml:space="preserve"> </w:t>
      </w:r>
      <w:r w:rsidR="001C51EB">
        <w:t xml:space="preserve">single </w:t>
      </w:r>
      <w:r w:rsidRPr="008A4013">
        <w:t>word</w:t>
      </w:r>
      <w:r w:rsidR="001C51EB">
        <w:t xml:space="preserve">, </w:t>
      </w:r>
      <w:r w:rsidRPr="008A4013">
        <w:t xml:space="preserve">or phrase </w:t>
      </w:r>
      <w:r w:rsidR="0073696C">
        <w:t>might provide</w:t>
      </w:r>
      <w:r w:rsidR="00486EFE" w:rsidRPr="008A4013">
        <w:t xml:space="preserve"> </w:t>
      </w:r>
      <w:r w:rsidR="000A2EF9" w:rsidRPr="008A4013">
        <w:fldChar w:fldCharType="begin"/>
      </w:r>
      <w:r w:rsidR="00841C69" w:rsidRPr="008A4013">
        <w:instrText xml:space="preserve"> ADDIN EN.CITE &lt;EndNote&gt;&lt;Cite ExcludeAuth="1"&gt;&lt;Author&gt;Baker&lt;/Author&gt;&lt;Year&gt;2008&lt;/Year&gt;&lt;RecNum&gt;45&lt;/RecNum&gt;&lt;Pages&gt;76&lt;/Pages&gt;&lt;DisplayText&gt;(2008: 76)&lt;/DisplayText&gt;&lt;record&gt;&lt;rec-number&gt;45&lt;/rec-number&gt;&lt;foreign-keys&gt;&lt;key app="EN" db-id="x0x2x9vw3vz5wretwfnpsavdxe0w5pfpzees"&gt;45&lt;/key&gt;&lt;/foreign-keys&gt;&lt;ref-type name="Book Section"&gt;5&lt;/ref-type&gt;&lt;contributors&gt;&lt;authors&gt;&lt;author&gt;Paul Baker&lt;/author&gt;&lt;/authors&gt;&lt;secondary-authors&gt;&lt;author&gt;Kate Harrington&lt;/author&gt;&lt;author&gt;Lia Litosseliti&lt;/author&gt;&lt;author&gt;Helen Sauntson&lt;/author&gt;&lt;author&gt;Jane Sunderland&lt;/author&gt;&lt;/secondary-authors&gt;&lt;/contributors&gt;&lt;titles&gt;&lt;title&gt;“Eligible” bachelors and “frustrated’ spinsters: Corpus linguistics, gender and language&lt;/title&gt;&lt;secondary-title&gt;Gender and Language Research Methodologies&lt;/secondary-title&gt;&lt;/titles&gt;&lt;pages&gt;73-87&lt;/pages&gt;&lt;dates&gt;&lt;year&gt;2008&lt;/year&gt;&lt;/dates&gt;&lt;pub-location&gt;London&lt;/pub-location&gt;&lt;publisher&gt;Palgrave&lt;/publisher&gt;&lt;urls&gt;&lt;/urls&gt;&lt;/record&gt;&lt;/Cite&gt;&lt;/EndNote&gt;</w:instrText>
      </w:r>
      <w:r w:rsidR="000A2EF9" w:rsidRPr="008A4013">
        <w:fldChar w:fldCharType="separate"/>
      </w:r>
      <w:r w:rsidR="000A2EF9" w:rsidRPr="008A4013">
        <w:rPr>
          <w:noProof/>
        </w:rPr>
        <w:t>(</w:t>
      </w:r>
      <w:hyperlink w:anchor="_ENREF_3" w:tooltip="Baker, 2008 #45" w:history="1">
        <w:r w:rsidR="00DE221F" w:rsidRPr="008A4013">
          <w:rPr>
            <w:noProof/>
          </w:rPr>
          <w:t>2008: 76</w:t>
        </w:r>
      </w:hyperlink>
      <w:r w:rsidR="000A2EF9" w:rsidRPr="008A4013">
        <w:rPr>
          <w:noProof/>
        </w:rPr>
        <w:t>)</w:t>
      </w:r>
      <w:r w:rsidR="000A2EF9" w:rsidRPr="008A4013">
        <w:fldChar w:fldCharType="end"/>
      </w:r>
      <w:r w:rsidRPr="008A4013">
        <w:t>. Indeed</w:t>
      </w:r>
      <w:r w:rsidR="00565517" w:rsidRPr="008A4013">
        <w:t>,</w:t>
      </w:r>
      <w:r w:rsidRPr="008A4013">
        <w:t xml:space="preserve"> by encoding passages with demographic information about the speaker, I</w:t>
      </w:r>
      <w:r w:rsidR="00486EFE" w:rsidRPr="008A4013">
        <w:t xml:space="preserve"> was</w:t>
      </w:r>
      <w:r w:rsidRPr="008A4013">
        <w:t xml:space="preserve"> able to identify tw</w:t>
      </w:r>
      <w:r w:rsidR="00486EFE" w:rsidRPr="008A4013">
        <w:t xml:space="preserve">o </w:t>
      </w:r>
      <w:r w:rsidR="00907B95" w:rsidRPr="008A4013">
        <w:t>sets of speakers promoting</w:t>
      </w:r>
      <w:r w:rsidR="00907B95" w:rsidRPr="008A4013">
        <w:rPr>
          <w:b/>
        </w:rPr>
        <w:t xml:space="preserve"> </w:t>
      </w:r>
      <w:r w:rsidR="00486EFE" w:rsidRPr="008A4013">
        <w:t>different types of messages via a</w:t>
      </w:r>
      <w:r w:rsidRPr="008A4013">
        <w:t xml:space="preserve"> </w:t>
      </w:r>
      <w:r w:rsidR="008F1A59" w:rsidRPr="008A4013">
        <w:t>categorization</w:t>
      </w:r>
      <w:r w:rsidRPr="008A4013">
        <w:t xml:space="preserve"> that was not </w:t>
      </w:r>
      <w:r w:rsidR="00486EFE" w:rsidRPr="008A4013">
        <w:t xml:space="preserve">otherwise </w:t>
      </w:r>
      <w:r w:rsidRPr="008A4013">
        <w:t xml:space="preserve">immediately apparent. </w:t>
      </w:r>
      <w:r w:rsidR="009D15B4" w:rsidRPr="008A4013">
        <w:t>This</w:t>
      </w:r>
      <w:r w:rsidR="00907B95" w:rsidRPr="008A4013">
        <w:t xml:space="preserve"> comparative approach is </w:t>
      </w:r>
      <w:r w:rsidR="009D15B4" w:rsidRPr="008A4013">
        <w:t xml:space="preserve">of course possible using </w:t>
      </w:r>
      <w:r w:rsidR="00907B95" w:rsidRPr="008A4013">
        <w:t>other categorizations, for example</w:t>
      </w:r>
      <w:r w:rsidR="009D15B4" w:rsidRPr="008A4013">
        <w:t xml:space="preserve"> one could fruitfully examine how</w:t>
      </w:r>
      <w:r w:rsidR="00907B95" w:rsidRPr="008A4013">
        <w:t xml:space="preserve"> gender, age, or geographical location may </w:t>
      </w:r>
      <w:r w:rsidR="00370B91" w:rsidRPr="008A4013">
        <w:t xml:space="preserve">each </w:t>
      </w:r>
      <w:r w:rsidR="00907B95" w:rsidRPr="008A4013">
        <w:t>inform speakers’ word choice</w:t>
      </w:r>
      <w:r w:rsidR="009D15B4" w:rsidRPr="008A4013">
        <w:t xml:space="preserve"> and message</w:t>
      </w:r>
      <w:r w:rsidR="00907B95" w:rsidRPr="008A4013">
        <w:t xml:space="preserve">. This study is </w:t>
      </w:r>
      <w:r w:rsidR="009D15B4" w:rsidRPr="008A4013">
        <w:t xml:space="preserve">however </w:t>
      </w:r>
      <w:r w:rsidR="00907B95" w:rsidRPr="008A4013">
        <w:t>limited to a comparison of laypeople’s and spokespeople’s messages</w:t>
      </w:r>
      <w:r w:rsidR="00370B91" w:rsidRPr="008A4013">
        <w:t>, and hig</w:t>
      </w:r>
      <w:r w:rsidR="009D15B4" w:rsidRPr="008A4013">
        <w:t>hlights just one struggle over meaning among many likely</w:t>
      </w:r>
      <w:r w:rsidR="00370B91" w:rsidRPr="008A4013">
        <w:t xml:space="preserve"> evident within the body of IGBP films.</w:t>
      </w:r>
    </w:p>
    <w:p w14:paraId="48990746" w14:textId="211B5B35" w:rsidR="00585ECF" w:rsidRPr="008A4013" w:rsidRDefault="00370B91" w:rsidP="00C137CF">
      <w:pPr>
        <w:tabs>
          <w:tab w:val="left" w:pos="284"/>
          <w:tab w:val="left" w:pos="709"/>
        </w:tabs>
        <w:ind w:firstLine="0"/>
      </w:pPr>
      <w:r w:rsidRPr="008A4013">
        <w:tab/>
      </w:r>
      <w:r w:rsidRPr="008A4013">
        <w:tab/>
      </w:r>
      <w:r w:rsidR="009D15B4" w:rsidRPr="008A4013">
        <w:t xml:space="preserve">While further node word searches are possible, </w:t>
      </w:r>
      <w:r w:rsidR="00D94861" w:rsidRPr="008A4013">
        <w:t xml:space="preserve">I do not rely solely on a corpus approach, </w:t>
      </w:r>
      <w:r w:rsidR="009D15B4" w:rsidRPr="008A4013">
        <w:t>and agree</w:t>
      </w:r>
      <w:r w:rsidR="00D94861" w:rsidRPr="008A4013">
        <w:t xml:space="preserve"> with Baker’s obvious but necessary caveat</w:t>
      </w:r>
      <w:r w:rsidR="00D94861" w:rsidRPr="008A4013">
        <w:rPr>
          <w:b/>
        </w:rPr>
        <w:t xml:space="preserve"> </w:t>
      </w:r>
      <w:r w:rsidR="00D94861" w:rsidRPr="008A4013">
        <w:t xml:space="preserve">that: “computers can only take researchers so far” </w:t>
      </w:r>
      <w:r w:rsidR="000A2EF9" w:rsidRPr="008A4013">
        <w:fldChar w:fldCharType="begin"/>
      </w:r>
      <w:r w:rsidR="00841C69" w:rsidRPr="008A4013">
        <w:instrText xml:space="preserve"> ADDIN EN.CITE &lt;EndNote&gt;&lt;Cite&gt;&lt;Author&gt;Baker&lt;/Author&gt;&lt;Year&gt;2008&lt;/Year&gt;&lt;RecNum&gt;45&lt;/RecNum&gt;&lt;Pages&gt;83&lt;/Pages&gt;&lt;DisplayText&gt;(Baker 2008: 83)&lt;/DisplayText&gt;&lt;record&gt;&lt;rec-number&gt;45&lt;/rec-number&gt;&lt;foreign-keys&gt;&lt;key app="EN" db-id="x0x2x9vw3vz5wretwfnpsavdxe0w5pfpzees"&gt;45&lt;/key&gt;&lt;/foreign-keys&gt;&lt;ref-type name="Book Section"&gt;5&lt;/ref-type&gt;&lt;contributors&gt;&lt;authors&gt;&lt;author&gt;Paul Baker&lt;/author&gt;&lt;/authors&gt;&lt;secondary-authors&gt;&lt;author&gt;Kate Harrington&lt;/author&gt;&lt;author&gt;Lia Litosseliti&lt;/author&gt;&lt;author&gt;Helen Sauntson&lt;/author&gt;&lt;author&gt;Jane Sunderland&lt;/author&gt;&lt;/secondary-authors&gt;&lt;/contributors&gt;&lt;titles&gt;&lt;title&gt;“Eligible” bachelors and “frustrated’ spinsters: Corpus linguistics, gender and language&lt;/title&gt;&lt;secondary-title&gt;Gender and Language Research Methodologies&lt;/secondary-title&gt;&lt;/titles&gt;&lt;pages&gt;73-87&lt;/pages&gt;&lt;dates&gt;&lt;year&gt;2008&lt;/year&gt;&lt;/dates&gt;&lt;pub-location&gt;London&lt;/pub-location&gt;&lt;publisher&gt;Palgrave&lt;/publisher&gt;&lt;urls&gt;&lt;/urls&gt;&lt;/record&gt;&lt;/Cite&gt;&lt;/EndNote&gt;</w:instrText>
      </w:r>
      <w:r w:rsidR="000A2EF9" w:rsidRPr="008A4013">
        <w:fldChar w:fldCharType="separate"/>
      </w:r>
      <w:r w:rsidR="000A2EF9" w:rsidRPr="008A4013">
        <w:rPr>
          <w:noProof/>
        </w:rPr>
        <w:t>(</w:t>
      </w:r>
      <w:hyperlink w:anchor="_ENREF_3" w:tooltip="Baker, 2008 #45" w:history="1">
        <w:r w:rsidR="00DE221F" w:rsidRPr="008A4013">
          <w:rPr>
            <w:noProof/>
          </w:rPr>
          <w:t>Baker 2008: 83</w:t>
        </w:r>
      </w:hyperlink>
      <w:r w:rsidR="000A2EF9" w:rsidRPr="008A4013">
        <w:rPr>
          <w:noProof/>
        </w:rPr>
        <w:t>)</w:t>
      </w:r>
      <w:r w:rsidR="000A2EF9" w:rsidRPr="008A4013">
        <w:fldChar w:fldCharType="end"/>
      </w:r>
      <w:r w:rsidR="00D94861" w:rsidRPr="008A4013">
        <w:t>.</w:t>
      </w:r>
      <w:r w:rsidR="00545204" w:rsidRPr="008A4013">
        <w:t xml:space="preserve"> </w:t>
      </w:r>
      <w:r w:rsidR="009719DD" w:rsidRPr="008A4013">
        <w:t>I believe that</w:t>
      </w:r>
      <w:r w:rsidR="009719DD" w:rsidRPr="008A4013">
        <w:rPr>
          <w:b/>
        </w:rPr>
        <w:t xml:space="preserve"> </w:t>
      </w:r>
      <w:r w:rsidR="00957D6D" w:rsidRPr="008A4013">
        <w:t xml:space="preserve">there is pressing work to do beyond identifying and </w:t>
      </w:r>
      <w:r w:rsidR="008F1A59" w:rsidRPr="008A4013">
        <w:t>categorizing</w:t>
      </w:r>
      <w:r w:rsidR="00957D6D" w:rsidRPr="008A4013">
        <w:t xml:space="preserve"> difference</w:t>
      </w:r>
      <w:r w:rsidR="00486EFE" w:rsidRPr="008A4013">
        <w:t>. More</w:t>
      </w:r>
      <w:r w:rsidR="00957D6D" w:rsidRPr="008A4013">
        <w:t xml:space="preserve"> </w:t>
      </w:r>
      <w:r w:rsidR="00545204" w:rsidRPr="008A4013">
        <w:t xml:space="preserve">nuanced </w:t>
      </w:r>
      <w:r w:rsidR="00D94861" w:rsidRPr="008A4013">
        <w:t xml:space="preserve">and indeed intuitive </w:t>
      </w:r>
      <w:r w:rsidR="00545204" w:rsidRPr="008A4013">
        <w:t xml:space="preserve">linguistic </w:t>
      </w:r>
      <w:r w:rsidR="00486EFE" w:rsidRPr="008A4013">
        <w:t>analysis</w:t>
      </w:r>
      <w:r w:rsidR="00545204" w:rsidRPr="008A4013">
        <w:t xml:space="preserve"> </w:t>
      </w:r>
      <w:r w:rsidR="00486EFE" w:rsidRPr="008A4013">
        <w:t>is needed to examine how the</w:t>
      </w:r>
      <w:r w:rsidR="00957D6D" w:rsidRPr="008A4013">
        <w:t>s</w:t>
      </w:r>
      <w:r w:rsidR="00486EFE" w:rsidRPr="008A4013">
        <w:t>e different</w:t>
      </w:r>
      <w:r w:rsidR="00957D6D" w:rsidRPr="008A4013">
        <w:t xml:space="preserve"> </w:t>
      </w:r>
      <w:r w:rsidR="00486EFE" w:rsidRPr="008A4013">
        <w:t>speakers might</w:t>
      </w:r>
      <w:r w:rsidR="00957D6D" w:rsidRPr="008A4013">
        <w:t xml:space="preserve"> </w:t>
      </w:r>
      <w:r w:rsidR="00486EFE" w:rsidRPr="008A4013">
        <w:t>variously contest</w:t>
      </w:r>
      <w:r w:rsidR="00957D6D" w:rsidRPr="008A4013">
        <w:t xml:space="preserve"> </w:t>
      </w:r>
      <w:r w:rsidR="00486EFE" w:rsidRPr="008A4013">
        <w:t xml:space="preserve">the </w:t>
      </w:r>
      <w:r w:rsidR="00957D6D" w:rsidRPr="008A4013">
        <w:t xml:space="preserve">homophobic </w:t>
      </w:r>
      <w:r w:rsidR="009719DD" w:rsidRPr="008A4013">
        <w:t>discourses</w:t>
      </w:r>
      <w:r w:rsidR="00486EFE" w:rsidRPr="008A4013">
        <w:t xml:space="preserve"> of the religious right</w:t>
      </w:r>
      <w:r w:rsidR="007939D3" w:rsidRPr="008A4013">
        <w:t>,</w:t>
      </w:r>
      <w:r w:rsidR="009719DD" w:rsidRPr="008A4013">
        <w:t xml:space="preserve"> and potentially create space for a more just and accepting U.S. society</w:t>
      </w:r>
      <w:r w:rsidR="00957D6D" w:rsidRPr="008A4013">
        <w:t>.</w:t>
      </w:r>
      <w:r w:rsidR="009719DD" w:rsidRPr="008A4013">
        <w:t xml:space="preserve"> </w:t>
      </w:r>
    </w:p>
    <w:p w14:paraId="31B8E0FF" w14:textId="23E436C5" w:rsidR="00731992" w:rsidRPr="008A4013" w:rsidRDefault="007939D3" w:rsidP="00C137CF">
      <w:pPr>
        <w:tabs>
          <w:tab w:val="left" w:pos="709"/>
        </w:tabs>
        <w:ind w:firstLine="0"/>
      </w:pPr>
      <w:r w:rsidRPr="008A4013">
        <w:tab/>
        <w:t xml:space="preserve">I </w:t>
      </w:r>
      <w:r w:rsidR="00C14CEF" w:rsidRPr="008A4013">
        <w:t>follow Fairclough</w:t>
      </w:r>
      <w:r w:rsidRPr="008A4013">
        <w:t xml:space="preserve"> </w:t>
      </w:r>
      <w:r w:rsidR="00C14CEF" w:rsidRPr="008A4013">
        <w:t xml:space="preserve">in viewing “social reality as ‘conceptually mediated,’ such that the ‘objects’ of critical social analysis are simultaneously material and semiotic in character” </w:t>
      </w:r>
      <w:r w:rsidR="008248C7" w:rsidRPr="008A4013">
        <w:fldChar w:fldCharType="begin"/>
      </w:r>
      <w:r w:rsidR="00841C69" w:rsidRPr="008A4013">
        <w:instrText xml:space="preserve"> ADDIN EN.CITE &lt;EndNote&gt;&lt;Cite&gt;&lt;Author&gt;Fairclough&lt;/Author&gt;&lt;Year&gt;2012&lt;/Year&gt;&lt;RecNum&gt;39&lt;/RecNum&gt;&lt;Pages&gt;10&lt;/Pages&gt;&lt;DisplayText&gt;(Fairclough 2012: 10)&lt;/DisplayText&gt;&lt;record&gt;&lt;rec-number&gt;39&lt;/rec-number&gt;&lt;foreign-keys&gt;&lt;key app="EN" db-id="x0x2x9vw3vz5wretwfnpsavdxe0w5pfpzees"&gt;39&lt;/key&gt;&lt;/foreign-keys&gt;&lt;ref-type name="Book Section"&gt;5&lt;/ref-type&gt;&lt;contributors&gt;&lt;authors&gt;&lt;author&gt;Norman Fairclough&lt;/author&gt;&lt;/authors&gt;&lt;secondary-authors&gt;&lt;author&gt;James Paul Gee&lt;/author&gt;&lt;author&gt;Michael Haniford&lt;/author&gt;&lt;/secondary-authors&gt;&lt;/contributors&gt;&lt;titles&gt;&lt;title&gt;Critical discourse analysis&lt;/title&gt;&lt;secondary-title&gt;The Routledge Handbook of Discourse Analysis&lt;/secondary-title&gt;&lt;/titles&gt;&lt;pages&gt;9-20&lt;/pages&gt;&lt;dates&gt;&lt;year&gt;2012&lt;/year&gt;&lt;/dates&gt;&lt;pub-location&gt;London&lt;/pub-location&gt;&lt;publisher&gt;Routledge&lt;/publisher&gt;&lt;urls&gt;&lt;/urls&gt;&lt;/record&gt;&lt;/Cite&gt;&lt;/EndNote&gt;</w:instrText>
      </w:r>
      <w:r w:rsidR="008248C7" w:rsidRPr="008A4013">
        <w:fldChar w:fldCharType="separate"/>
      </w:r>
      <w:r w:rsidR="00C14CEF" w:rsidRPr="008A4013">
        <w:rPr>
          <w:noProof/>
        </w:rPr>
        <w:t>(</w:t>
      </w:r>
      <w:hyperlink w:anchor="_ENREF_11" w:tooltip="Fairclough, 2012 #39" w:history="1">
        <w:r w:rsidR="00DE221F" w:rsidRPr="008A4013">
          <w:rPr>
            <w:noProof/>
          </w:rPr>
          <w:t>Fairclough 2012: 10</w:t>
        </w:r>
      </w:hyperlink>
      <w:r w:rsidR="00C14CEF" w:rsidRPr="008A4013">
        <w:rPr>
          <w:noProof/>
        </w:rPr>
        <w:t>)</w:t>
      </w:r>
      <w:r w:rsidR="008248C7" w:rsidRPr="008A4013">
        <w:fldChar w:fldCharType="end"/>
      </w:r>
      <w:r w:rsidR="00615C54" w:rsidRPr="008A4013">
        <w:t>. I use</w:t>
      </w:r>
      <w:r w:rsidR="003D317F" w:rsidRPr="008A4013">
        <w:t xml:space="preserve"> </w:t>
      </w:r>
      <w:r w:rsidR="001A348D" w:rsidRPr="008A4013">
        <w:t>C</w:t>
      </w:r>
      <w:r w:rsidR="00C836FA" w:rsidRPr="008A4013">
        <w:t>DA</w:t>
      </w:r>
      <w:r w:rsidR="001A348D" w:rsidRPr="008A4013">
        <w:t xml:space="preserve"> </w:t>
      </w:r>
      <w:r w:rsidR="00C836FA" w:rsidRPr="008A4013">
        <w:t>to ask</w:t>
      </w:r>
      <w:r w:rsidR="001A348D" w:rsidRPr="008A4013">
        <w:t xml:space="preserve"> </w:t>
      </w:r>
      <w:r w:rsidR="00C836FA" w:rsidRPr="008A4013">
        <w:t xml:space="preserve">searching and evaluative </w:t>
      </w:r>
      <w:r w:rsidR="00486EFE" w:rsidRPr="008A4013">
        <w:t>questions</w:t>
      </w:r>
      <w:r w:rsidR="009E3C25" w:rsidRPr="008A4013">
        <w:t xml:space="preserve"> </w:t>
      </w:r>
      <w:r w:rsidR="00615C54" w:rsidRPr="008A4013">
        <w:t>of IGBP tex</w:t>
      </w:r>
      <w:r w:rsidR="006D1F68" w:rsidRPr="008A4013">
        <w:t xml:space="preserve">ts because they assert a claim—that </w:t>
      </w:r>
      <w:r w:rsidR="00615C54" w:rsidRPr="008A4013">
        <w:t>“it</w:t>
      </w:r>
      <w:r w:rsidR="006D1F68" w:rsidRPr="008A4013">
        <w:t xml:space="preserve"> gets better”—</w:t>
      </w:r>
      <w:r w:rsidR="009F7C69" w:rsidRPr="008A4013">
        <w:t xml:space="preserve">that </w:t>
      </w:r>
      <w:r w:rsidR="00615C54" w:rsidRPr="008A4013">
        <w:t>is open to normative critique</w:t>
      </w:r>
      <w:r w:rsidR="006D1F68" w:rsidRPr="008A4013">
        <w:t xml:space="preserve"> as potentially false</w:t>
      </w:r>
      <w:r w:rsidR="009F7C69" w:rsidRPr="008A4013">
        <w:t xml:space="preserve">. It is also open </w:t>
      </w:r>
      <w:r w:rsidR="00615C54" w:rsidRPr="008A4013">
        <w:t>to ideological critique</w:t>
      </w:r>
      <w:r w:rsidR="009F7C69" w:rsidRPr="008A4013">
        <w:t>.</w:t>
      </w:r>
      <w:r w:rsidR="00615C54" w:rsidRPr="008A4013">
        <w:t xml:space="preserve"> because</w:t>
      </w:r>
      <w:r w:rsidR="006D1F68" w:rsidRPr="008A4013">
        <w:t xml:space="preserve"> </w:t>
      </w:r>
      <w:r w:rsidR="009F7C69" w:rsidRPr="008A4013">
        <w:t xml:space="preserve">this reassuring promise, in </w:t>
      </w:r>
      <w:r w:rsidR="006D1F68" w:rsidRPr="008A4013">
        <w:t>obscuring</w:t>
      </w:r>
      <w:r w:rsidR="00615C54" w:rsidRPr="008A4013">
        <w:t xml:space="preserve"> why, how and for whom it may not “get better” </w:t>
      </w:r>
      <w:r w:rsidR="006D1F68" w:rsidRPr="008A4013">
        <w:t xml:space="preserve">for some people </w:t>
      </w:r>
      <w:r w:rsidR="00615C54" w:rsidRPr="008A4013">
        <w:t>at all</w:t>
      </w:r>
      <w:r w:rsidR="006D1F68" w:rsidRPr="008A4013">
        <w:t xml:space="preserve">, may help </w:t>
      </w:r>
      <w:r w:rsidR="006D1F68" w:rsidRPr="008A4013">
        <w:lastRenderedPageBreak/>
        <w:t>sustain an unjust and inequitable social order</w:t>
      </w:r>
      <w:r w:rsidR="00615C54" w:rsidRPr="008A4013">
        <w:t>.</w:t>
      </w:r>
      <w:r w:rsidR="006D1F68" w:rsidRPr="008A4013">
        <w:t xml:space="preserve"> </w:t>
      </w:r>
      <w:r w:rsidR="002F3D43" w:rsidRPr="008A4013">
        <w:t xml:space="preserve">In sum, I do not take for granted that the homophilic discourses of IGBP will be diametrically opposed to homophobic ones found in broader U.S. society. </w:t>
      </w:r>
      <w:r w:rsidR="006D1F68" w:rsidRPr="008A4013">
        <w:t xml:space="preserve">In adopting and delineating this outlook, I acknowledge my own ideological position and willingness to present a subjective reading of IGBP, rather than an ostensibly objective or purely linguistic analysis. </w:t>
      </w:r>
    </w:p>
    <w:p w14:paraId="1C9C64F0" w14:textId="5CAE4A67" w:rsidR="00BF20BC" w:rsidRPr="008A4013" w:rsidRDefault="002F3D43" w:rsidP="00C137CF">
      <w:pPr>
        <w:tabs>
          <w:tab w:val="left" w:pos="709"/>
        </w:tabs>
        <w:ind w:firstLine="0"/>
        <w:rPr>
          <w:b/>
        </w:rPr>
      </w:pPr>
      <w:r w:rsidRPr="008A4013">
        <w:tab/>
      </w:r>
      <w:r w:rsidR="000A32B5" w:rsidRPr="008A4013">
        <w:t>I</w:t>
      </w:r>
      <w:r w:rsidR="00265B72" w:rsidRPr="008A4013">
        <w:t xml:space="preserve">n order to </w:t>
      </w:r>
      <w:r w:rsidR="00731992" w:rsidRPr="008A4013">
        <w:t xml:space="preserve">parse out and </w:t>
      </w:r>
      <w:r w:rsidR="00265B72" w:rsidRPr="008A4013">
        <w:t>interrogate</w:t>
      </w:r>
      <w:r w:rsidR="000A32B5" w:rsidRPr="008A4013">
        <w:t xml:space="preserve"> </w:t>
      </w:r>
      <w:r w:rsidR="00EF14FB" w:rsidRPr="008A4013">
        <w:t xml:space="preserve">the </w:t>
      </w:r>
      <w:r w:rsidR="00731992" w:rsidRPr="008A4013">
        <w:t xml:space="preserve">multiple </w:t>
      </w:r>
      <w:r w:rsidR="00EF14FB" w:rsidRPr="008A4013">
        <w:t>tacit</w:t>
      </w:r>
      <w:r w:rsidR="000A32B5" w:rsidRPr="008A4013">
        <w:t xml:space="preserve"> assumption</w:t>
      </w:r>
      <w:r w:rsidR="00EF14FB" w:rsidRPr="008A4013">
        <w:t>s</w:t>
      </w:r>
      <w:r w:rsidR="000A32B5" w:rsidRPr="008A4013">
        <w:t xml:space="preserve"> </w:t>
      </w:r>
      <w:r w:rsidR="00EF14FB" w:rsidRPr="008A4013">
        <w:t>underpinning</w:t>
      </w:r>
      <w:r w:rsidR="00265B72" w:rsidRPr="008A4013">
        <w:t xml:space="preserve"> </w:t>
      </w:r>
      <w:r w:rsidR="00244CB9" w:rsidRPr="008A4013">
        <w:t>IGBP</w:t>
      </w:r>
      <w:r w:rsidR="00265B72" w:rsidRPr="008A4013">
        <w:t>—asking</w:t>
      </w:r>
      <w:r w:rsidR="000A32B5" w:rsidRPr="008A4013">
        <w:t xml:space="preserve"> exactly what</w:t>
      </w:r>
      <w:r w:rsidRPr="008A4013">
        <w:t xml:space="preserve"> gets better, </w:t>
      </w:r>
      <w:r w:rsidR="000A32B5" w:rsidRPr="008A4013">
        <w:t>how</w:t>
      </w:r>
      <w:r w:rsidRPr="008A4013">
        <w:t xml:space="preserve">, and for </w:t>
      </w:r>
      <w:proofErr w:type="gramStart"/>
      <w:r w:rsidRPr="008A4013">
        <w:t>whom</w:t>
      </w:r>
      <w:r w:rsidR="000A32B5" w:rsidRPr="008A4013">
        <w:t>?</w:t>
      </w:r>
      <w:r w:rsidR="00265B72" w:rsidRPr="008A4013">
        <w:t>—</w:t>
      </w:r>
      <w:proofErr w:type="gramEnd"/>
      <w:r w:rsidR="00265B72" w:rsidRPr="008A4013">
        <w:t xml:space="preserve">I focus on the differences, or </w:t>
      </w:r>
      <w:r w:rsidRPr="008A4013">
        <w:t xml:space="preserve">the </w:t>
      </w:r>
      <w:r w:rsidR="00265B72" w:rsidRPr="008A4013">
        <w:t xml:space="preserve">struggles over meaning </w:t>
      </w:r>
      <w:r w:rsidRPr="008A4013">
        <w:t xml:space="preserve">evident </w:t>
      </w:r>
      <w:r w:rsidR="00265B72" w:rsidRPr="008A4013">
        <w:t xml:space="preserve">between spokespeople’s and laypeople’s </w:t>
      </w:r>
      <w:r w:rsidR="00F43E0B" w:rsidRPr="008A4013">
        <w:t>messages</w:t>
      </w:r>
      <w:r w:rsidR="00265B72" w:rsidRPr="008A4013">
        <w:t xml:space="preserve">. For each, I </w:t>
      </w:r>
      <w:r w:rsidR="00F43E0B" w:rsidRPr="008A4013">
        <w:t>question</w:t>
      </w:r>
      <w:r w:rsidR="00265B72" w:rsidRPr="008A4013">
        <w:t xml:space="preserve"> the ideological assumptions being set forth</w:t>
      </w:r>
      <w:r w:rsidRPr="008A4013">
        <w:t xml:space="preserve"> in their IGBP videos</w:t>
      </w:r>
      <w:r w:rsidR="00265B72" w:rsidRPr="008A4013">
        <w:t xml:space="preserve">. Finally, I </w:t>
      </w:r>
      <w:r w:rsidR="00F43E0B" w:rsidRPr="008A4013">
        <w:t>consider</w:t>
      </w:r>
      <w:r w:rsidR="00265B72" w:rsidRPr="008A4013">
        <w:t xml:space="preserve"> </w:t>
      </w:r>
      <w:r w:rsidR="00F43E0B" w:rsidRPr="008A4013">
        <w:t>s</w:t>
      </w:r>
      <w:r w:rsidR="00265B72" w:rsidRPr="008A4013">
        <w:t>peakers</w:t>
      </w:r>
      <w:r w:rsidR="00963ED1" w:rsidRPr="008A4013">
        <w:t>’</w:t>
      </w:r>
      <w:r w:rsidR="00265B72" w:rsidRPr="008A4013">
        <w:t xml:space="preserve"> </w:t>
      </w:r>
      <w:r w:rsidR="00F43E0B" w:rsidRPr="008A4013">
        <w:t xml:space="preserve">understanding and </w:t>
      </w:r>
      <w:r w:rsidRPr="008A4013">
        <w:t>“</w:t>
      </w:r>
      <w:r w:rsidR="00F43E0B" w:rsidRPr="008A4013">
        <w:t>commitment to truth</w:t>
      </w:r>
      <w:r w:rsidRPr="008A4013">
        <w:t xml:space="preserve">” </w:t>
      </w:r>
      <w:r w:rsidR="008248C7" w:rsidRPr="008A4013">
        <w:fldChar w:fldCharType="begin"/>
      </w:r>
      <w:r w:rsidRPr="008A4013">
        <w:instrText xml:space="preserve"> ADDIN EN.CITE &lt;EndNote&gt;&lt;Cite&gt;&lt;Author&gt;Fairclough&lt;/Author&gt;&lt;Year&gt;2003&lt;/Year&gt;&lt;RecNum&gt;57&lt;/RecNum&gt;&lt;Pages&gt;204&lt;/Pages&gt;&lt;DisplayText&gt;(Fairclough 2003: 204)&lt;/DisplayText&gt;&lt;record&gt;&lt;rec-number&gt;57&lt;/rec-number&gt;&lt;foreign-keys&gt;&lt;key app="EN" db-id="x0x2x9vw3vz5wretwfnpsavdxe0w5pfpzees"&gt;57&lt;/key&gt;&lt;/foreign-keys&gt;&lt;ref-type name="Book"&gt;6&lt;/ref-type&gt;&lt;contributors&gt;&lt;authors&gt;&lt;author&gt;Norman Fairclough&lt;/author&gt;&lt;/authors&gt;&lt;/contributors&gt;&lt;titles&gt;&lt;title&gt;Analysing Discourse: Textual analysis for social research&lt;/title&gt;&lt;/titles&gt;&lt;dates&gt;&lt;year&gt;2003&lt;/year&gt;&lt;/dates&gt;&lt;pub-location&gt;London and New York&lt;/pub-location&gt;&lt;publisher&gt;Routledge&lt;/publisher&gt;&lt;urls&gt;&lt;/urls&gt;&lt;/record&gt;&lt;/Cite&gt;&lt;/EndNote&gt;</w:instrText>
      </w:r>
      <w:r w:rsidR="008248C7" w:rsidRPr="008A4013">
        <w:fldChar w:fldCharType="separate"/>
      </w:r>
      <w:r w:rsidRPr="008A4013">
        <w:rPr>
          <w:noProof/>
        </w:rPr>
        <w:t>(</w:t>
      </w:r>
      <w:hyperlink w:anchor="_ENREF_10" w:tooltip="Fairclough, 2003 #57" w:history="1">
        <w:r w:rsidR="00DE221F" w:rsidRPr="008A4013">
          <w:rPr>
            <w:noProof/>
          </w:rPr>
          <w:t>Fairclough 2003: 204</w:t>
        </w:r>
      </w:hyperlink>
      <w:r w:rsidRPr="008A4013">
        <w:rPr>
          <w:noProof/>
        </w:rPr>
        <w:t>)</w:t>
      </w:r>
      <w:r w:rsidR="008248C7" w:rsidRPr="008A4013">
        <w:fldChar w:fldCharType="end"/>
      </w:r>
      <w:r w:rsidR="00F43E0B" w:rsidRPr="008A4013">
        <w:t>, taking into account use of the epistemic modalities</w:t>
      </w:r>
      <w:r w:rsidRPr="008A4013">
        <w:t xml:space="preserve"> </w:t>
      </w:r>
      <w:r w:rsidR="00F43E0B" w:rsidRPr="008A4013">
        <w:t xml:space="preserve">where </w:t>
      </w:r>
      <w:r w:rsidR="00244CB9" w:rsidRPr="008A4013">
        <w:t>IGBP</w:t>
      </w:r>
      <w:r w:rsidR="00F43E0B" w:rsidRPr="008A4013">
        <w:t xml:space="preserve"> is asserted, but not explained.</w:t>
      </w:r>
      <w:r w:rsidR="00C836FA" w:rsidRPr="008A4013">
        <w:t xml:space="preserve"> These three issues are addressed through the following consideration of </w:t>
      </w:r>
      <w:r w:rsidR="000743D9" w:rsidRPr="008A4013">
        <w:t>deixis,</w:t>
      </w:r>
      <w:r w:rsidR="00756164" w:rsidRPr="008A4013">
        <w:t xml:space="preserve"> </w:t>
      </w:r>
      <w:r w:rsidR="00C836FA" w:rsidRPr="008A4013">
        <w:t>agency,</w:t>
      </w:r>
      <w:r w:rsidR="000743D9" w:rsidRPr="008A4013">
        <w:t xml:space="preserve"> </w:t>
      </w:r>
      <w:r w:rsidR="00756164" w:rsidRPr="008A4013">
        <w:t xml:space="preserve">time and </w:t>
      </w:r>
      <w:r w:rsidR="000743D9" w:rsidRPr="008A4013">
        <w:t>space as linguistic markers of ideological assumption</w:t>
      </w:r>
      <w:r w:rsidR="00C836FA" w:rsidRPr="008A4013">
        <w:t>s</w:t>
      </w:r>
      <w:r w:rsidR="000743D9" w:rsidRPr="008A4013">
        <w:t>.</w:t>
      </w:r>
      <w:r w:rsidR="00C836FA" w:rsidRPr="008A4013">
        <w:rPr>
          <w:b/>
        </w:rPr>
        <w:t xml:space="preserve"> </w:t>
      </w:r>
    </w:p>
    <w:p w14:paraId="36D91DE9" w14:textId="77777777" w:rsidR="00F304E8" w:rsidRPr="008A4013" w:rsidRDefault="00F304E8" w:rsidP="00C137CF">
      <w:pPr>
        <w:tabs>
          <w:tab w:val="left" w:pos="709"/>
        </w:tabs>
        <w:ind w:firstLine="0"/>
        <w:rPr>
          <w:b/>
        </w:rPr>
      </w:pPr>
    </w:p>
    <w:p w14:paraId="425D3B80" w14:textId="77777777" w:rsidR="009B513C" w:rsidRPr="008A4013" w:rsidRDefault="003E0038" w:rsidP="00C137CF">
      <w:pPr>
        <w:tabs>
          <w:tab w:val="left" w:pos="709"/>
        </w:tabs>
        <w:spacing w:line="240" w:lineRule="auto"/>
        <w:ind w:firstLine="0"/>
        <w:rPr>
          <w:b/>
        </w:rPr>
      </w:pPr>
      <w:r w:rsidRPr="008A4013">
        <w:rPr>
          <w:b/>
        </w:rPr>
        <w:t xml:space="preserve">4. </w:t>
      </w:r>
      <w:r w:rsidR="00DE1BCA" w:rsidRPr="008A4013">
        <w:rPr>
          <w:b/>
        </w:rPr>
        <w:t>Anti-bullying videos as i</w:t>
      </w:r>
      <w:r w:rsidR="00D82ACD" w:rsidRPr="008A4013">
        <w:rPr>
          <w:b/>
        </w:rPr>
        <w:t>deolog</w:t>
      </w:r>
      <w:r w:rsidR="00DE1BCA" w:rsidRPr="008A4013">
        <w:rPr>
          <w:b/>
        </w:rPr>
        <w:t>ical texts</w:t>
      </w:r>
    </w:p>
    <w:p w14:paraId="0DC07EC3" w14:textId="77777777" w:rsidR="009B513C" w:rsidRPr="008A4013" w:rsidRDefault="009B513C" w:rsidP="00C137CF">
      <w:pPr>
        <w:tabs>
          <w:tab w:val="left" w:pos="709"/>
        </w:tabs>
        <w:spacing w:line="240" w:lineRule="auto"/>
        <w:ind w:firstLine="0"/>
      </w:pPr>
    </w:p>
    <w:p w14:paraId="2CCBA97A" w14:textId="730C13F1" w:rsidR="003A77AE" w:rsidRPr="008A4013" w:rsidRDefault="003A77AE" w:rsidP="00C137CF">
      <w:pPr>
        <w:pStyle w:val="Quote"/>
        <w:spacing w:after="0"/>
      </w:pPr>
      <w:r w:rsidRPr="008A4013">
        <w:t>Ideology represents the imaginary relationship of individuals to their real co</w:t>
      </w:r>
      <w:r w:rsidR="007C2D01" w:rsidRPr="008A4013">
        <w:t>nditions of existence</w:t>
      </w:r>
      <w:r w:rsidR="002E6145" w:rsidRPr="008A4013">
        <w:t>.</w:t>
      </w:r>
      <w:r w:rsidR="007C2D01" w:rsidRPr="008A4013">
        <w:t xml:space="preserve"> </w:t>
      </w:r>
      <w:r w:rsidR="008248C7" w:rsidRPr="008A4013">
        <w:fldChar w:fldCharType="begin"/>
      </w:r>
      <w:r w:rsidR="00841C69" w:rsidRPr="008A4013">
        <w:instrText xml:space="preserve"> ADDIN EN.CITE &lt;EndNote&gt;&lt;Cite&gt;&lt;Author&gt;Althusser&lt;/Author&gt;&lt;Year&gt;1971&lt;/Year&gt;&lt;RecNum&gt;40&lt;/RecNum&gt;&lt;Pages&gt;162&lt;/Pages&gt;&lt;DisplayText&gt;(Althusser 1971: 162)&lt;/DisplayText&gt;&lt;record&gt;&lt;rec-number&gt;40&lt;/rec-number&gt;&lt;foreign-keys&gt;&lt;key app="EN" db-id="x0x2x9vw3vz5wretwfnpsavdxe0w5pfpzees"&gt;40&lt;/key&gt;&lt;/foreign-keys&gt;&lt;ref-type name="Book Section"&gt;5&lt;/ref-type&gt;&lt;contributors&gt;&lt;authors&gt;&lt;author&gt;Louis Althusser&lt;/author&gt;&lt;/authors&gt;&lt;/contributors&gt;&lt;titles&gt;&lt;title&gt;Ideology and ideological state apparatus (notes toward an investigation)&lt;/title&gt;&lt;secondary-title&gt;Lenin and Philosophy and Other Essays&lt;/secondary-title&gt;&lt;/titles&gt;&lt;pages&gt;127-186&lt;/pages&gt;&lt;dates&gt;&lt;year&gt;1971&lt;/year&gt;&lt;/dates&gt;&lt;pub-location&gt;New York&lt;/pub-location&gt;&lt;publisher&gt;Monthly Review Press&lt;/publisher&gt;&lt;urls&gt;&lt;/urls&gt;&lt;/record&gt;&lt;/Cite&gt;&lt;/EndNote&gt;</w:instrText>
      </w:r>
      <w:r w:rsidR="008248C7" w:rsidRPr="008A4013">
        <w:fldChar w:fldCharType="separate"/>
      </w:r>
      <w:r w:rsidR="00A52215" w:rsidRPr="008A4013">
        <w:rPr>
          <w:noProof/>
        </w:rPr>
        <w:t>(</w:t>
      </w:r>
      <w:hyperlink w:anchor="_ENREF_2" w:tooltip="Althusser, 1971 #40" w:history="1">
        <w:r w:rsidR="00DE221F" w:rsidRPr="008A4013">
          <w:rPr>
            <w:noProof/>
          </w:rPr>
          <w:t>Althusser 1971: 162</w:t>
        </w:r>
      </w:hyperlink>
      <w:r w:rsidR="00A52215" w:rsidRPr="008A4013">
        <w:rPr>
          <w:noProof/>
        </w:rPr>
        <w:t>)</w:t>
      </w:r>
      <w:r w:rsidR="008248C7" w:rsidRPr="008A4013">
        <w:fldChar w:fldCharType="end"/>
      </w:r>
    </w:p>
    <w:p w14:paraId="4F7A26E2" w14:textId="77777777" w:rsidR="00FC40B3" w:rsidRPr="008A4013" w:rsidRDefault="00FC40B3" w:rsidP="00C137CF">
      <w:pPr>
        <w:tabs>
          <w:tab w:val="left" w:pos="709"/>
        </w:tabs>
        <w:ind w:firstLine="0"/>
      </w:pPr>
    </w:p>
    <w:p w14:paraId="1C316E5C" w14:textId="4A2A319B" w:rsidR="003A77AE" w:rsidRPr="008A4013" w:rsidRDefault="009B513C" w:rsidP="00C137CF">
      <w:pPr>
        <w:tabs>
          <w:tab w:val="left" w:pos="709"/>
        </w:tabs>
        <w:ind w:firstLine="0"/>
      </w:pPr>
      <w:r w:rsidRPr="008A4013">
        <w:t>Following</w:t>
      </w:r>
      <w:r w:rsidR="003A77AE" w:rsidRPr="008A4013">
        <w:t xml:space="preserve"> </w:t>
      </w:r>
      <w:r w:rsidR="00B640E0" w:rsidRPr="008A4013">
        <w:t>Louis Althusser</w:t>
      </w:r>
      <w:r w:rsidR="00930BF5" w:rsidRPr="008A4013">
        <w:t>,</w:t>
      </w:r>
      <w:r w:rsidR="00B640E0" w:rsidRPr="008A4013">
        <w:t xml:space="preserve"> </w:t>
      </w:r>
      <w:r w:rsidRPr="008A4013">
        <w:t xml:space="preserve">I regard </w:t>
      </w:r>
      <w:r w:rsidR="00B640E0" w:rsidRPr="008A4013">
        <w:t>ideolog</w:t>
      </w:r>
      <w:r w:rsidR="00B640E0" w:rsidRPr="008A4013">
        <w:rPr>
          <w:i/>
        </w:rPr>
        <w:t>y</w:t>
      </w:r>
      <w:r w:rsidR="00B640E0" w:rsidRPr="008A4013">
        <w:t xml:space="preserve"> </w:t>
      </w:r>
      <w:r w:rsidR="006D0144" w:rsidRPr="008A4013">
        <w:t xml:space="preserve">in general </w:t>
      </w:r>
      <w:r w:rsidRPr="008A4013">
        <w:t>a</w:t>
      </w:r>
      <w:r w:rsidR="003A77AE" w:rsidRPr="008A4013">
        <w:t>s the eternal motivator of all action, informing all beliefs, conceptions of duty, and practices</w:t>
      </w:r>
      <w:r w:rsidR="006D0144" w:rsidRPr="008A4013">
        <w:t>. A</w:t>
      </w:r>
      <w:r w:rsidR="003A77AE" w:rsidRPr="008A4013">
        <w:t xml:space="preserve">s such, </w:t>
      </w:r>
      <w:r w:rsidR="006D0144" w:rsidRPr="008A4013">
        <w:t xml:space="preserve">it is </w:t>
      </w:r>
      <w:r w:rsidR="003A77AE" w:rsidRPr="008A4013">
        <w:t xml:space="preserve">almost impossible properly </w:t>
      </w:r>
      <w:r w:rsidR="00963ED1" w:rsidRPr="008A4013">
        <w:t xml:space="preserve">to </w:t>
      </w:r>
      <w:r w:rsidR="008F1A59" w:rsidRPr="008A4013">
        <w:t>recognize</w:t>
      </w:r>
      <w:r w:rsidR="006D0144" w:rsidRPr="008A4013">
        <w:t xml:space="preserve"> or measure the effects</w:t>
      </w:r>
      <w:r w:rsidR="003A77AE" w:rsidRPr="008A4013">
        <w:t xml:space="preserve"> </w:t>
      </w:r>
      <w:r w:rsidR="006D0144" w:rsidRPr="008A4013">
        <w:t>of ideology</w:t>
      </w:r>
      <w:r w:rsidR="000A2EF9" w:rsidRPr="008A4013">
        <w:t xml:space="preserve"> </w:t>
      </w:r>
      <w:r w:rsidR="000A2EF9" w:rsidRPr="008A4013">
        <w:fldChar w:fldCharType="begin"/>
      </w:r>
      <w:r w:rsidR="00841C69" w:rsidRPr="008A4013">
        <w:instrText xml:space="preserve"> ADDIN EN.CITE &lt;EndNote&gt;&lt;Cite&gt;&lt;Author&gt;Althusser&lt;/Author&gt;&lt;Year&gt;1971&lt;/Year&gt;&lt;RecNum&gt;40&lt;/RecNum&gt;&lt;Pages&gt;159&lt;/Pages&gt;&lt;DisplayText&gt;(Althusser 1971: 159)&lt;/DisplayText&gt;&lt;record&gt;&lt;rec-number&gt;40&lt;/rec-number&gt;&lt;foreign-keys&gt;&lt;key app="EN" db-id="x0x2x9vw3vz5wretwfnpsavdxe0w5pfpzees"&gt;40&lt;/key&gt;&lt;/foreign-keys&gt;&lt;ref-type name="Book Section"&gt;5&lt;/ref-type&gt;&lt;contributors&gt;&lt;authors&gt;&lt;author&gt;Louis Althusser&lt;/author&gt;&lt;/authors&gt;&lt;/contributors&gt;&lt;titles&gt;&lt;title&gt;Ideology and ideological state apparatus (notes toward an investigation)&lt;/title&gt;&lt;secondary-title&gt;Lenin and Philosophy and Other Essays&lt;/secondary-title&gt;&lt;/titles&gt;&lt;pages&gt;127-186&lt;/pages&gt;&lt;dates&gt;&lt;year&gt;1971&lt;/year&gt;&lt;/dates&gt;&lt;pub-location&gt;New York&lt;/pub-location&gt;&lt;publisher&gt;Monthly Review Press&lt;/publisher&gt;&lt;urls&gt;&lt;/urls&gt;&lt;/record&gt;&lt;/Cite&gt;&lt;/EndNote&gt;</w:instrText>
      </w:r>
      <w:r w:rsidR="000A2EF9" w:rsidRPr="008A4013">
        <w:fldChar w:fldCharType="separate"/>
      </w:r>
      <w:r w:rsidR="000A2EF9" w:rsidRPr="008A4013">
        <w:rPr>
          <w:noProof/>
        </w:rPr>
        <w:t>(</w:t>
      </w:r>
      <w:hyperlink w:anchor="_ENREF_2" w:tooltip="Althusser, 1971 #40" w:history="1">
        <w:r w:rsidR="00DE221F" w:rsidRPr="008A4013">
          <w:rPr>
            <w:noProof/>
          </w:rPr>
          <w:t>Althusser 1971: 159</w:t>
        </w:r>
      </w:hyperlink>
      <w:r w:rsidR="000A2EF9" w:rsidRPr="008A4013">
        <w:rPr>
          <w:noProof/>
        </w:rPr>
        <w:t>)</w:t>
      </w:r>
      <w:r w:rsidR="000A2EF9" w:rsidRPr="008A4013">
        <w:fldChar w:fldCharType="end"/>
      </w:r>
      <w:r w:rsidR="003A77AE" w:rsidRPr="008A4013">
        <w:t xml:space="preserve">. </w:t>
      </w:r>
      <w:r w:rsidRPr="008A4013">
        <w:t>Or, a</w:t>
      </w:r>
      <w:r w:rsidR="00491570" w:rsidRPr="008A4013">
        <w:t xml:space="preserve">s Irvine and Gall put it: </w:t>
      </w:r>
      <w:r w:rsidRPr="008A4013">
        <w:t>“there is no ‘view from nowhere’</w:t>
      </w:r>
      <w:r w:rsidR="00491570" w:rsidRPr="008A4013">
        <w:t xml:space="preserve">, no gaze that is not pointed” </w:t>
      </w:r>
      <w:r w:rsidR="008248C7" w:rsidRPr="008A4013">
        <w:fldChar w:fldCharType="begin"/>
      </w:r>
      <w:r w:rsidR="00A52215" w:rsidRPr="008A4013">
        <w:instrText xml:space="preserve"> ADDIN EN.CITE &lt;EndNote&gt;&lt;Cite&gt;&lt;Author&gt;Ahearn&lt;/Author&gt;&lt;Year&gt;2012&lt;/Year&gt;&lt;RecNum&gt;51&lt;/RecNum&gt;&lt;Prefix&gt;quoted in &lt;/Prefix&gt;&lt;Pages&gt;274&lt;/Pages&gt;&lt;DisplayText&gt;(quoted in Ahearn 2012: 274)&lt;/DisplayText&gt;&lt;record&gt;&lt;rec-number&gt;51&lt;/rec-number&gt;&lt;foreign-keys&gt;&lt;key app="EN" db-id="x0x2x9vw3vz5wretwfnpsavdxe0w5pfpzees"&gt;51&lt;/key&gt;&lt;/foreign-keys&gt;&lt;ref-type name="Book"&gt;6&lt;/ref-type&gt;&lt;contributors&gt;&lt;authors&gt;&lt;author&gt;Laura Ahearn&lt;/author&gt;&lt;/authors&gt;&lt;/contributors&gt;&lt;titles&gt;&lt;title&gt;Living Language: An Introduction to Linguistic Anthropology&lt;/title&gt;&lt;/titles&gt;&lt;pages&gt;109-137&lt;/pages&gt;&lt;dates&gt;&lt;year&gt;2012&lt;/year&gt;&lt;/dates&gt;&lt;pub-location&gt;Malden MA&lt;/pub-location&gt;&lt;publisher&gt;Blackwell&lt;/publisher&gt;&lt;urls&gt;&lt;/urls&gt;&lt;/record&gt;&lt;/Cite&gt;&lt;/EndNote&gt;</w:instrText>
      </w:r>
      <w:r w:rsidR="008248C7" w:rsidRPr="008A4013">
        <w:fldChar w:fldCharType="separate"/>
      </w:r>
      <w:r w:rsidR="00A52215" w:rsidRPr="008A4013">
        <w:rPr>
          <w:noProof/>
        </w:rPr>
        <w:t>(</w:t>
      </w:r>
      <w:hyperlink w:anchor="_ENREF_1" w:tooltip="Ahearn, 2012 #51" w:history="1">
        <w:r w:rsidR="00DE221F" w:rsidRPr="008A4013">
          <w:rPr>
            <w:noProof/>
          </w:rPr>
          <w:t>quoted in Ahearn 2012: 274</w:t>
        </w:r>
      </w:hyperlink>
      <w:r w:rsidR="00A52215" w:rsidRPr="008A4013">
        <w:rPr>
          <w:noProof/>
        </w:rPr>
        <w:t>)</w:t>
      </w:r>
      <w:r w:rsidR="008248C7" w:rsidRPr="008A4013">
        <w:fldChar w:fldCharType="end"/>
      </w:r>
      <w:r w:rsidR="00491570" w:rsidRPr="008A4013">
        <w:t xml:space="preserve">. This occurs because even </w:t>
      </w:r>
      <w:r w:rsidR="006D0144" w:rsidRPr="008A4013">
        <w:t>recognition of ourselves as subjects relies on the ideological assumption that we existed, a</w:t>
      </w:r>
      <w:r w:rsidR="00963ED1" w:rsidRPr="008A4013">
        <w:t xml:space="preserve"> </w:t>
      </w:r>
      <w:r w:rsidR="006D0144" w:rsidRPr="008A4013">
        <w:t>priori</w:t>
      </w:r>
      <w:r w:rsidR="00645712" w:rsidRPr="008A4013">
        <w:t>,</w:t>
      </w:r>
      <w:r w:rsidR="006D0144" w:rsidRPr="008A4013">
        <w:t xml:space="preserve"> as subjects: the mere naming of “I” and “you” must be understood as acts of ideological recognition.</w:t>
      </w:r>
    </w:p>
    <w:p w14:paraId="2F638C60" w14:textId="0515DADE" w:rsidR="006D0144" w:rsidRPr="008A4013" w:rsidRDefault="006D0144" w:rsidP="00C137CF">
      <w:pPr>
        <w:tabs>
          <w:tab w:val="left" w:pos="709"/>
        </w:tabs>
        <w:ind w:firstLine="0"/>
        <w:rPr>
          <w:u w:val="single"/>
        </w:rPr>
      </w:pPr>
      <w:r w:rsidRPr="008A4013">
        <w:lastRenderedPageBreak/>
        <w:tab/>
        <w:t xml:space="preserve"> Ideolog</w:t>
      </w:r>
      <w:r w:rsidRPr="008A4013">
        <w:rPr>
          <w:i/>
        </w:rPr>
        <w:t>ies</w:t>
      </w:r>
      <w:r w:rsidRPr="008A4013">
        <w:t xml:space="preserve">, however, and the particular practices they engender can be </w:t>
      </w:r>
      <w:r w:rsidR="008F1A59" w:rsidRPr="008A4013">
        <w:t>historicized</w:t>
      </w:r>
      <w:r w:rsidRPr="008A4013">
        <w:t xml:space="preserve">, </w:t>
      </w:r>
      <w:r w:rsidR="008F1A59" w:rsidRPr="008A4013">
        <w:t>analyzed</w:t>
      </w:r>
      <w:r w:rsidRPr="008A4013">
        <w:t xml:space="preserve"> and critiqued (albeit and necessarily through an ideologically informed lens). This is as true, though perhaps not as easy, with regards to dominant as well as competing ideologies, as </w:t>
      </w:r>
      <w:r w:rsidR="00645712" w:rsidRPr="008A4013">
        <w:t>none are</w:t>
      </w:r>
      <w:r w:rsidR="007C2D01" w:rsidRPr="008A4013">
        <w:t xml:space="preserve"> instantaneously installed, but rather develop over time and space </w:t>
      </w:r>
      <w:r w:rsidR="000A2EF9" w:rsidRPr="008A4013">
        <w:fldChar w:fldCharType="begin"/>
      </w:r>
      <w:r w:rsidR="00841C69" w:rsidRPr="008A4013">
        <w:instrText xml:space="preserve"> ADDIN EN.CITE &lt;EndNote&gt;&lt;Cite&gt;&lt;Author&gt;Althusser&lt;/Author&gt;&lt;Year&gt;1971&lt;/Year&gt;&lt;RecNum&gt;40&lt;/RecNum&gt;&lt;Pages&gt;185&lt;/Pages&gt;&lt;DisplayText&gt;(Althusser 1971: 185)&lt;/DisplayText&gt;&lt;record&gt;&lt;rec-number&gt;40&lt;/rec-number&gt;&lt;foreign-keys&gt;&lt;key app="EN" db-id="x0x2x9vw3vz5wretwfnpsavdxe0w5pfpzees"&gt;40&lt;/key&gt;&lt;/foreign-keys&gt;&lt;ref-type name="Book Section"&gt;5&lt;/ref-type&gt;&lt;contributors&gt;&lt;authors&gt;&lt;author&gt;Louis Althusser&lt;/author&gt;&lt;/authors&gt;&lt;/contributors&gt;&lt;titles&gt;&lt;title&gt;Ideology and ideological state apparatus (notes toward an investigation)&lt;/title&gt;&lt;secondary-title&gt;Lenin and Philosophy and Other Essays&lt;/secondary-title&gt;&lt;/titles&gt;&lt;pages&gt;127-186&lt;/pages&gt;&lt;dates&gt;&lt;year&gt;1971&lt;/year&gt;&lt;/dates&gt;&lt;pub-location&gt;New York&lt;/pub-location&gt;&lt;publisher&gt;Monthly Review Press&lt;/publisher&gt;&lt;urls&gt;&lt;/urls&gt;&lt;/record&gt;&lt;/Cite&gt;&lt;/EndNote&gt;</w:instrText>
      </w:r>
      <w:r w:rsidR="000A2EF9" w:rsidRPr="008A4013">
        <w:fldChar w:fldCharType="separate"/>
      </w:r>
      <w:r w:rsidR="000A2EF9" w:rsidRPr="008A4013">
        <w:rPr>
          <w:noProof/>
        </w:rPr>
        <w:t>(</w:t>
      </w:r>
      <w:hyperlink w:anchor="_ENREF_2" w:tooltip="Althusser, 1971 #40" w:history="1">
        <w:r w:rsidR="00DE221F" w:rsidRPr="008A4013">
          <w:rPr>
            <w:noProof/>
          </w:rPr>
          <w:t>Althusser 1971: 185</w:t>
        </w:r>
      </w:hyperlink>
      <w:r w:rsidR="000A2EF9" w:rsidRPr="008A4013">
        <w:rPr>
          <w:noProof/>
        </w:rPr>
        <w:t>)</w:t>
      </w:r>
      <w:r w:rsidR="000A2EF9" w:rsidRPr="008A4013">
        <w:fldChar w:fldCharType="end"/>
      </w:r>
      <w:r w:rsidR="003A44B9" w:rsidRPr="008A4013">
        <w:t xml:space="preserve">. The task at hand, for Althusser and </w:t>
      </w:r>
      <w:r w:rsidR="007C2D01" w:rsidRPr="008A4013">
        <w:t>in this analysis</w:t>
      </w:r>
      <w:r w:rsidR="003A44B9" w:rsidRPr="008A4013">
        <w:t>, is the recognition of elite ideological positions where they have become, or maybe in the process of becoming</w:t>
      </w:r>
      <w:r w:rsidR="00963ED1" w:rsidRPr="008A4013">
        <w:t>,</w:t>
      </w:r>
      <w:r w:rsidR="003A44B9" w:rsidRPr="008A4013">
        <w:t xml:space="preserve"> dominant: their common-sens</w:t>
      </w:r>
      <w:r w:rsidR="00963ED1" w:rsidRPr="008A4013">
        <w:t>e</w:t>
      </w:r>
      <w:r w:rsidR="003A44B9" w:rsidRPr="008A4013">
        <w:t xml:space="preserve"> and taken-for-granted positions of course serving the interests of the ruling class. I argue that </w:t>
      </w:r>
      <w:r w:rsidR="00244CB9" w:rsidRPr="008A4013">
        <w:t>IGBP</w:t>
      </w:r>
      <w:r w:rsidR="003A44B9" w:rsidRPr="008A4013">
        <w:t xml:space="preserve"> </w:t>
      </w:r>
      <w:r w:rsidR="00F304E8" w:rsidRPr="008A4013">
        <w:t xml:space="preserve">Faith </w:t>
      </w:r>
      <w:r w:rsidR="003A44B9" w:rsidRPr="008A4013">
        <w:t>videos</w:t>
      </w:r>
      <w:r w:rsidR="00645712" w:rsidRPr="008A4013">
        <w:t>, while invariably asserting an anti-homophobic</w:t>
      </w:r>
      <w:r w:rsidR="003A44B9" w:rsidRPr="008A4013">
        <w:t xml:space="preserve"> </w:t>
      </w:r>
      <w:r w:rsidR="00645712" w:rsidRPr="008A4013">
        <w:t xml:space="preserve">discourse, </w:t>
      </w:r>
      <w:r w:rsidR="003A44B9" w:rsidRPr="008A4013">
        <w:t xml:space="preserve">variously </w:t>
      </w:r>
      <w:r w:rsidR="007C2D01" w:rsidRPr="008A4013">
        <w:t>demonstrate markers of both a dominant</w:t>
      </w:r>
      <w:r w:rsidR="003A44B9" w:rsidRPr="008A4013">
        <w:t xml:space="preserve"> neoliberal ideology and </w:t>
      </w:r>
      <w:r w:rsidR="007C2D01" w:rsidRPr="008A4013">
        <w:t xml:space="preserve">possible </w:t>
      </w:r>
      <w:r w:rsidR="003A44B9" w:rsidRPr="008A4013">
        <w:t>contestations of it.</w:t>
      </w:r>
    </w:p>
    <w:p w14:paraId="190D0742" w14:textId="397DD404" w:rsidR="00C70AE2" w:rsidRPr="008A4013" w:rsidRDefault="00930BF5" w:rsidP="00C137CF">
      <w:pPr>
        <w:tabs>
          <w:tab w:val="left" w:pos="709"/>
        </w:tabs>
        <w:ind w:firstLine="0"/>
      </w:pPr>
      <w:r w:rsidRPr="008A4013">
        <w:tab/>
      </w:r>
      <w:r w:rsidR="00C70AE2" w:rsidRPr="008A4013">
        <w:tab/>
      </w:r>
      <w:r w:rsidR="007514C4" w:rsidRPr="008A4013">
        <w:t>N</w:t>
      </w:r>
      <w:r w:rsidR="00C70AE2" w:rsidRPr="008A4013">
        <w:t>eoliberalism</w:t>
      </w:r>
      <w:r w:rsidR="007514C4" w:rsidRPr="008A4013">
        <w:t xml:space="preserve"> </w:t>
      </w:r>
      <w:r w:rsidR="007C2D01" w:rsidRPr="008A4013">
        <w:t>as</w:t>
      </w:r>
      <w:r w:rsidR="00E87922" w:rsidRPr="008A4013">
        <w:t xml:space="preserve"> </w:t>
      </w:r>
      <w:r w:rsidR="001D51A4" w:rsidRPr="008A4013">
        <w:t>political ideology</w:t>
      </w:r>
      <w:r w:rsidR="007C2D01" w:rsidRPr="008A4013">
        <w:t xml:space="preserve"> </w:t>
      </w:r>
      <w:r w:rsidR="00645712" w:rsidRPr="008A4013">
        <w:t xml:space="preserve">derives from </w:t>
      </w:r>
      <w:r w:rsidR="00E87922" w:rsidRPr="008A4013">
        <w:t>neoclassical</w:t>
      </w:r>
      <w:r w:rsidR="001D51A4" w:rsidRPr="008A4013">
        <w:t xml:space="preserve"> </w:t>
      </w:r>
      <w:r w:rsidR="00E87922" w:rsidRPr="008A4013">
        <w:t>economic</w:t>
      </w:r>
      <w:r w:rsidR="003A44B9" w:rsidRPr="008A4013">
        <w:t xml:space="preserve"> theories which argue for the free hand of the market as</w:t>
      </w:r>
      <w:r w:rsidR="00B63C42" w:rsidRPr="008A4013">
        <w:t xml:space="preserve"> the best guarantor of </w:t>
      </w:r>
      <w:r w:rsidR="003A44B9" w:rsidRPr="008A4013">
        <w:t xml:space="preserve">growth, </w:t>
      </w:r>
      <w:r w:rsidR="00B63C42" w:rsidRPr="008A4013">
        <w:t>wealth</w:t>
      </w:r>
      <w:r w:rsidR="003A44B9" w:rsidRPr="008A4013">
        <w:t xml:space="preserve"> accumulation</w:t>
      </w:r>
      <w:r w:rsidR="007C2D01" w:rsidRPr="008A4013">
        <w:t xml:space="preserve"> and prosperity for all </w:t>
      </w:r>
      <w:r w:rsidR="008248C7" w:rsidRPr="008A4013">
        <w:fldChar w:fldCharType="begin"/>
      </w:r>
      <w:r w:rsidR="00A52215" w:rsidRPr="008A4013">
        <w:instrText xml:space="preserve"> ADDIN EN.CITE &lt;EndNote&gt;&lt;Cite&gt;&lt;Author&gt;Harvey&lt;/Author&gt;&lt;Year&gt;2005&lt;/Year&gt;&lt;RecNum&gt;58&lt;/RecNum&gt;&lt;Pages&gt;19&lt;/Pages&gt;&lt;DisplayText&gt;(Harvey 2005: 19)&lt;/DisplayText&gt;&lt;record&gt;&lt;rec-number&gt;58&lt;/rec-number&gt;&lt;foreign-keys&gt;&lt;key app="EN" db-id="x0x2x9vw3vz5wretwfnpsavdxe0w5pfpzees"&gt;58&lt;/key&gt;&lt;/foreign-keys&gt;&lt;ref-type name="Book"&gt;6&lt;/ref-type&gt;&lt;contributors&gt;&lt;authors&gt;&lt;author&gt;David Harvey&lt;/author&gt;&lt;/authors&gt;&lt;/contributors&gt;&lt;titles&gt;&lt;title&gt;A Brief History of Neoliberalism&lt;/title&gt;&lt;/titles&gt;&lt;dates&gt;&lt;year&gt;2005&lt;/year&gt;&lt;/dates&gt;&lt;pub-location&gt;New York&lt;/pub-location&gt;&lt;publisher&gt;Oxford University Press&lt;/publisher&gt;&lt;urls&gt;&lt;/urls&gt;&lt;/record&gt;&lt;/Cite&gt;&lt;/EndNote&gt;</w:instrText>
      </w:r>
      <w:r w:rsidR="008248C7" w:rsidRPr="008A4013">
        <w:fldChar w:fldCharType="separate"/>
      </w:r>
      <w:r w:rsidR="00A52215" w:rsidRPr="008A4013">
        <w:rPr>
          <w:noProof/>
        </w:rPr>
        <w:t>(</w:t>
      </w:r>
      <w:hyperlink w:anchor="_ENREF_18" w:tooltip="Harvey, 2005 #58" w:history="1">
        <w:r w:rsidR="00DE221F" w:rsidRPr="008A4013">
          <w:rPr>
            <w:noProof/>
          </w:rPr>
          <w:t>Harvey 2005: 19</w:t>
        </w:r>
      </w:hyperlink>
      <w:r w:rsidR="00A52215" w:rsidRPr="008A4013">
        <w:rPr>
          <w:noProof/>
        </w:rPr>
        <w:t>)</w:t>
      </w:r>
      <w:r w:rsidR="008248C7" w:rsidRPr="008A4013">
        <w:fldChar w:fldCharType="end"/>
      </w:r>
      <w:r w:rsidR="001D51A4" w:rsidRPr="008A4013">
        <w:t>.</w:t>
      </w:r>
      <w:r w:rsidR="00E87922" w:rsidRPr="008A4013">
        <w:t xml:space="preserve"> </w:t>
      </w:r>
      <w:r w:rsidR="008F1A59" w:rsidRPr="008A4013">
        <w:t>Popularized</w:t>
      </w:r>
      <w:r w:rsidR="00E87922" w:rsidRPr="008A4013">
        <w:t xml:space="preserve"> </w:t>
      </w:r>
      <w:r w:rsidR="001D51A4" w:rsidRPr="008A4013">
        <w:t xml:space="preserve">in the 1970s and 1980s </w:t>
      </w:r>
      <w:r w:rsidR="00E87922" w:rsidRPr="008A4013">
        <w:t>by Margaret That</w:t>
      </w:r>
      <w:r w:rsidR="001D51A4" w:rsidRPr="008A4013">
        <w:t>c</w:t>
      </w:r>
      <w:r w:rsidR="00E87922" w:rsidRPr="008A4013">
        <w:t>her</w:t>
      </w:r>
      <w:r w:rsidR="001D51A4" w:rsidRPr="008A4013">
        <w:t>,</w:t>
      </w:r>
      <w:r w:rsidR="00E87922" w:rsidRPr="008A4013">
        <w:t xml:space="preserve"> Ronald Re</w:t>
      </w:r>
      <w:r w:rsidR="00963ED1" w:rsidRPr="008A4013">
        <w:t>a</w:t>
      </w:r>
      <w:r w:rsidR="00E87922" w:rsidRPr="008A4013">
        <w:t>gan</w:t>
      </w:r>
      <w:r w:rsidR="001D51A4" w:rsidRPr="008A4013">
        <w:t>, and embraced by the World Bank and the International Monetary Fund</w:t>
      </w:r>
      <w:r w:rsidR="008441CA" w:rsidRPr="008A4013">
        <w:t xml:space="preserve"> as the catch-all solution to e</w:t>
      </w:r>
      <w:r w:rsidR="007C2D01" w:rsidRPr="008A4013">
        <w:t xml:space="preserve">conomic woes of poor countries </w:t>
      </w:r>
      <w:r w:rsidR="008248C7" w:rsidRPr="008A4013">
        <w:fldChar w:fldCharType="begin"/>
      </w:r>
      <w:r w:rsidR="00841C69" w:rsidRPr="008A4013">
        <w:instrText xml:space="preserve"> ADDIN EN.CITE &lt;EndNote&gt;&lt;Cite&gt;&lt;Author&gt;Graeber&lt;/Author&gt;&lt;Year&gt;2009&lt;/Year&gt;&lt;RecNum&gt;41&lt;/RecNum&gt;&lt;Pages&gt;84&lt;/Pages&gt;&lt;DisplayText&gt;(Graeber 2009: 84)&lt;/DisplayText&gt;&lt;record&gt;&lt;rec-number&gt;41&lt;/rec-number&gt;&lt;foreign-keys&gt;&lt;key app="EN" db-id="x0x2x9vw3vz5wretwfnpsavdxe0w5pfpzees"&gt;41&lt;/key&gt;&lt;/foreign-keys&gt;&lt;ref-type name="Book Section"&gt;5&lt;/ref-type&gt;&lt;contributors&gt;&lt;authors&gt;&lt;author&gt;David Graeber&lt;/author&gt;&lt;/authors&gt;&lt;secondary-authors&gt;&lt;author&gt;Hugh Gusterson&lt;/author&gt;&lt;author&gt;Catherine Besteman&lt;/author&gt;&lt;/secondary-authors&gt;&lt;/contributors&gt;&lt;titles&gt;&lt;title&gt;Neoliberalism, or the bureaucratization of the world&lt;/title&gt;&lt;secondary-title&gt;The Insecure American: How We Got Here and What We Should Do About It&lt;/secondary-title&gt;&lt;/titles&gt;&lt;pages&gt;79-96&lt;/pages&gt;&lt;dates&gt;&lt;year&gt;2009&lt;/year&gt;&lt;/dates&gt;&lt;pub-location&gt;Berkeley&lt;/pub-location&gt;&lt;publisher&gt;University of California Press&lt;/publisher&gt;&lt;urls&gt;&lt;/urls&gt;&lt;/record&gt;&lt;/Cite&gt;&lt;/EndNote&gt;</w:instrText>
      </w:r>
      <w:r w:rsidR="008248C7" w:rsidRPr="008A4013">
        <w:fldChar w:fldCharType="separate"/>
      </w:r>
      <w:r w:rsidR="00A52215" w:rsidRPr="008A4013">
        <w:rPr>
          <w:noProof/>
        </w:rPr>
        <w:t>(</w:t>
      </w:r>
      <w:hyperlink w:anchor="_ENREF_14" w:tooltip="Graeber, 2009 #41" w:history="1">
        <w:r w:rsidR="00DE221F" w:rsidRPr="008A4013">
          <w:rPr>
            <w:noProof/>
          </w:rPr>
          <w:t>Graeber 2009: 84</w:t>
        </w:r>
      </w:hyperlink>
      <w:r w:rsidR="00A52215" w:rsidRPr="008A4013">
        <w:rPr>
          <w:noProof/>
        </w:rPr>
        <w:t>)</w:t>
      </w:r>
      <w:r w:rsidR="008248C7" w:rsidRPr="008A4013">
        <w:fldChar w:fldCharType="end"/>
      </w:r>
      <w:r w:rsidR="001D51A4" w:rsidRPr="008A4013">
        <w:t>,</w:t>
      </w:r>
      <w:r w:rsidR="00E87922" w:rsidRPr="008A4013">
        <w:t xml:space="preserve"> neoliberal policy </w:t>
      </w:r>
      <w:r w:rsidR="008F1A59" w:rsidRPr="008A4013">
        <w:t>favors</w:t>
      </w:r>
      <w:r w:rsidR="00C70AE2" w:rsidRPr="008A4013">
        <w:t xml:space="preserve"> </w:t>
      </w:r>
      <w:r w:rsidR="00F978A8" w:rsidRPr="008A4013">
        <w:t xml:space="preserve">small governance, market </w:t>
      </w:r>
      <w:r w:rsidR="001D51A4" w:rsidRPr="008A4013">
        <w:t>deregulation</w:t>
      </w:r>
      <w:r w:rsidR="00F978A8" w:rsidRPr="008A4013">
        <w:t xml:space="preserve"> and </w:t>
      </w:r>
      <w:r w:rsidR="001D51A4" w:rsidRPr="008A4013">
        <w:t xml:space="preserve">the </w:t>
      </w:r>
      <w:r w:rsidR="008F1A59" w:rsidRPr="008A4013">
        <w:t>privatization</w:t>
      </w:r>
      <w:r w:rsidR="00F978A8" w:rsidRPr="008A4013">
        <w:t xml:space="preserve"> of</w:t>
      </w:r>
      <w:r w:rsidR="00E87922" w:rsidRPr="008A4013">
        <w:t xml:space="preserve"> industrial, agricultural and</w:t>
      </w:r>
      <w:r w:rsidR="00F978A8" w:rsidRPr="008A4013">
        <w:t xml:space="preserve"> public services</w:t>
      </w:r>
      <w:r w:rsidR="007C2D01" w:rsidRPr="008A4013">
        <w:t xml:space="preserve"> </w:t>
      </w:r>
      <w:r w:rsidR="008248C7" w:rsidRPr="008A4013">
        <w:fldChar w:fldCharType="begin"/>
      </w:r>
      <w:r w:rsidR="00841C69" w:rsidRPr="008A4013">
        <w:instrText xml:space="preserve"> ADDIN EN.CITE &lt;EndNote&gt;&lt;Cite&gt;&lt;Author&gt;Leitner&lt;/Author&gt;&lt;Year&gt;2003&lt;/Year&gt;&lt;RecNum&gt;43&lt;/RecNum&gt;&lt;Pages&gt;1&lt;/Pages&gt;&lt;DisplayText&gt;(Leitner&lt;style face="italic"&gt; et al.&lt;/style&gt; 2003: 1)&lt;/DisplayText&gt;&lt;record&gt;&lt;rec-number&gt;43&lt;/rec-number&gt;&lt;foreign-keys&gt;&lt;key app="EN" db-id="x0x2x9vw3vz5wretwfnpsavdxe0w5pfpzees"&gt;43&lt;/key&gt;&lt;/foreign-keys&gt;&lt;ref-type name="Book Section"&gt;5&lt;/ref-type&gt;&lt;contributors&gt;&lt;authors&gt;&lt;author&gt;Leitner, Helga&lt;/author&gt;&lt;author&gt;Sheppard, Eric&lt;/author&gt;&lt;author&gt;Sziarto, Kristen&lt;/author&gt;&lt;author&gt;Mariganti, Anant&lt;/author&gt;&lt;/authors&gt;&lt;secondary-authors&gt;&lt;author&gt;Helga Leitner, Jamie Peck and Eric Sheppard&lt;/author&gt;&lt;/secondary-authors&gt;&lt;/contributors&gt;&lt;titles&gt;&lt;title&gt;Contesting urban futures: Decentering neoliberalism&lt;/title&gt;&lt;secondary-title&gt;Contesting Neoliberalism: Urban Frontiers&lt;/secondary-title&gt;&lt;/titles&gt;&lt;pages&gt;1-25&lt;/pages&gt;&lt;dates&gt;&lt;year&gt;2003&lt;/year&gt;&lt;/dates&gt;&lt;pub-location&gt;New York&lt;/pub-location&gt;&lt;publisher&gt;Guilford Press&lt;/publisher&gt;&lt;urls&gt;&lt;/urls&gt;&lt;/record&gt;&lt;/Cite&gt;&lt;/EndNote&gt;</w:instrText>
      </w:r>
      <w:r w:rsidR="008248C7" w:rsidRPr="008A4013">
        <w:fldChar w:fldCharType="separate"/>
      </w:r>
      <w:r w:rsidR="004E1812" w:rsidRPr="008A4013">
        <w:rPr>
          <w:noProof/>
        </w:rPr>
        <w:t>(</w:t>
      </w:r>
      <w:hyperlink w:anchor="_ENREF_24" w:tooltip="Leitner, 2003 #43" w:history="1">
        <w:r w:rsidR="00DE221F" w:rsidRPr="008A4013">
          <w:rPr>
            <w:noProof/>
          </w:rPr>
          <w:t>Leitner</w:t>
        </w:r>
        <w:r w:rsidR="00DE221F" w:rsidRPr="008A4013">
          <w:rPr>
            <w:i/>
            <w:noProof/>
          </w:rPr>
          <w:t xml:space="preserve"> et al.</w:t>
        </w:r>
        <w:r w:rsidR="00DE221F" w:rsidRPr="008A4013">
          <w:rPr>
            <w:noProof/>
          </w:rPr>
          <w:t xml:space="preserve"> 2003: 1</w:t>
        </w:r>
      </w:hyperlink>
      <w:r w:rsidR="004E1812" w:rsidRPr="008A4013">
        <w:rPr>
          <w:noProof/>
        </w:rPr>
        <w:t>)</w:t>
      </w:r>
      <w:r w:rsidR="008248C7" w:rsidRPr="008A4013">
        <w:fldChar w:fldCharType="end"/>
      </w:r>
      <w:r w:rsidR="00F978A8" w:rsidRPr="008A4013">
        <w:t>.</w:t>
      </w:r>
      <w:r w:rsidR="003A44B9" w:rsidRPr="008A4013">
        <w:t xml:space="preserve"> Its critic</w:t>
      </w:r>
      <w:r w:rsidR="00963ED1" w:rsidRPr="008A4013">
        <w:t>s</w:t>
      </w:r>
      <w:r w:rsidR="003A44B9" w:rsidRPr="008A4013">
        <w:t xml:space="preserve"> note that, in no instance where neoliberal policy has been entrenched has the result been prosperity for all. Indeed, in such instances the gap between</w:t>
      </w:r>
      <w:r w:rsidR="000A2EF9" w:rsidRPr="008A4013">
        <w:t xml:space="preserve"> rich and poor has only widened </w:t>
      </w:r>
      <w:r w:rsidR="000A2EF9" w:rsidRPr="008A4013">
        <w:fldChar w:fldCharType="begin"/>
      </w:r>
      <w:r w:rsidR="000A2EF9" w:rsidRPr="008A4013">
        <w:instrText xml:space="preserve"> ADDIN EN.CITE &lt;EndNote&gt;&lt;Cite&gt;&lt;Author&gt;Harvey&lt;/Author&gt;&lt;Year&gt;2005&lt;/Year&gt;&lt;RecNum&gt;58&lt;/RecNum&gt;&lt;DisplayText&gt;(Harvey 2005)&lt;/DisplayText&gt;&lt;record&gt;&lt;rec-number&gt;58&lt;/rec-number&gt;&lt;foreign-keys&gt;&lt;key app="EN" db-id="x0x2x9vw3vz5wretwfnpsavdxe0w5pfpzees"&gt;58&lt;/key&gt;&lt;/foreign-keys&gt;&lt;ref-type name="Book"&gt;6&lt;/ref-type&gt;&lt;contributors&gt;&lt;authors&gt;&lt;author&gt;David Harvey&lt;/author&gt;&lt;/authors&gt;&lt;/contributors&gt;&lt;titles&gt;&lt;title&gt;A Brief History of Neoliberalism&lt;/title&gt;&lt;/titles&gt;&lt;dates&gt;&lt;year&gt;2005&lt;/year&gt;&lt;/dates&gt;&lt;pub-location&gt;New York&lt;/pub-location&gt;&lt;publisher&gt;Oxford University Press&lt;/publisher&gt;&lt;urls&gt;&lt;/urls&gt;&lt;/record&gt;&lt;/Cite&gt;&lt;/EndNote&gt;</w:instrText>
      </w:r>
      <w:r w:rsidR="000A2EF9" w:rsidRPr="008A4013">
        <w:fldChar w:fldCharType="separate"/>
      </w:r>
      <w:r w:rsidR="000A2EF9" w:rsidRPr="008A4013">
        <w:rPr>
          <w:noProof/>
        </w:rPr>
        <w:t>(</w:t>
      </w:r>
      <w:hyperlink w:anchor="_ENREF_18" w:tooltip="Harvey, 2005 #58" w:history="1">
        <w:r w:rsidR="00DE221F" w:rsidRPr="008A4013">
          <w:rPr>
            <w:noProof/>
          </w:rPr>
          <w:t>Harvey 2005</w:t>
        </w:r>
      </w:hyperlink>
      <w:r w:rsidR="000A2EF9" w:rsidRPr="008A4013">
        <w:rPr>
          <w:noProof/>
        </w:rPr>
        <w:t>)</w:t>
      </w:r>
      <w:r w:rsidR="000A2EF9" w:rsidRPr="008A4013">
        <w:fldChar w:fldCharType="end"/>
      </w:r>
      <w:r w:rsidR="000A2EF9" w:rsidRPr="008A4013">
        <w:t>.</w:t>
      </w:r>
    </w:p>
    <w:p w14:paraId="23DC344A" w14:textId="43401380" w:rsidR="001E2721" w:rsidRPr="008A4013" w:rsidRDefault="00C70AE2" w:rsidP="00C137CF">
      <w:pPr>
        <w:tabs>
          <w:tab w:val="left" w:pos="709"/>
        </w:tabs>
        <w:ind w:firstLine="0"/>
      </w:pPr>
      <w:r w:rsidRPr="008A4013">
        <w:tab/>
      </w:r>
      <w:r w:rsidR="001E2721" w:rsidRPr="008A4013">
        <w:t xml:space="preserve">Yet, as </w:t>
      </w:r>
      <w:r w:rsidR="00645712" w:rsidRPr="008A4013">
        <w:t xml:space="preserve">David </w:t>
      </w:r>
      <w:r w:rsidR="001E2721" w:rsidRPr="008A4013">
        <w:t>Graeber argues, “[n]</w:t>
      </w:r>
      <w:proofErr w:type="spellStart"/>
      <w:r w:rsidR="001E2721" w:rsidRPr="008A4013">
        <w:t>eoliberalism</w:t>
      </w:r>
      <w:proofErr w:type="spellEnd"/>
      <w:r w:rsidR="001E2721" w:rsidRPr="008A4013">
        <w:t xml:space="preserve"> is seen as the dominant ideological force in the world” </w:t>
      </w:r>
      <w:r w:rsidR="000A2EF9" w:rsidRPr="008A4013">
        <w:fldChar w:fldCharType="begin"/>
      </w:r>
      <w:r w:rsidR="00841C69" w:rsidRPr="008A4013">
        <w:instrText xml:space="preserve"> ADDIN EN.CITE &lt;EndNote&gt;&lt;Cite ExcludeAuth="1"&gt;&lt;Author&gt;Graeber&lt;/Author&gt;&lt;Year&gt;2009&lt;/Year&gt;&lt;RecNum&gt;41&lt;/RecNum&gt;&lt;Pages&gt;79&lt;/Pages&gt;&lt;DisplayText&gt;(2009: 79)&lt;/DisplayText&gt;&lt;record&gt;&lt;rec-number&gt;41&lt;/rec-number&gt;&lt;foreign-keys&gt;&lt;key app="EN" db-id="x0x2x9vw3vz5wretwfnpsavdxe0w5pfpzees"&gt;41&lt;/key&gt;&lt;/foreign-keys&gt;&lt;ref-type name="Book Section"&gt;5&lt;/ref-type&gt;&lt;contributors&gt;&lt;authors&gt;&lt;author&gt;David Graeber&lt;/author&gt;&lt;/authors&gt;&lt;secondary-authors&gt;&lt;author&gt;Hugh Gusterson&lt;/author&gt;&lt;author&gt;Catherine Besteman&lt;/author&gt;&lt;/secondary-authors&gt;&lt;/contributors&gt;&lt;titles&gt;&lt;title&gt;Neoliberalism, or the bureaucratization of the world&lt;/title&gt;&lt;secondary-title&gt;The Insecure American: How We Got Here and What We Should Do About It&lt;/secondary-title&gt;&lt;/titles&gt;&lt;pages&gt;79-96&lt;/pages&gt;&lt;dates&gt;&lt;year&gt;2009&lt;/year&gt;&lt;/dates&gt;&lt;pub-location&gt;Berkeley&lt;/pub-location&gt;&lt;publisher&gt;University of California Press&lt;/publisher&gt;&lt;urls&gt;&lt;/urls&gt;&lt;/record&gt;&lt;/Cite&gt;&lt;/EndNote&gt;</w:instrText>
      </w:r>
      <w:r w:rsidR="000A2EF9" w:rsidRPr="008A4013">
        <w:fldChar w:fldCharType="separate"/>
      </w:r>
      <w:r w:rsidR="000A2EF9" w:rsidRPr="008A4013">
        <w:rPr>
          <w:noProof/>
        </w:rPr>
        <w:t>(</w:t>
      </w:r>
      <w:hyperlink w:anchor="_ENREF_14" w:tooltip="Graeber, 2009 #41" w:history="1">
        <w:r w:rsidR="00DE221F" w:rsidRPr="008A4013">
          <w:rPr>
            <w:noProof/>
          </w:rPr>
          <w:t>2009: 79</w:t>
        </w:r>
      </w:hyperlink>
      <w:r w:rsidR="000A2EF9" w:rsidRPr="008A4013">
        <w:rPr>
          <w:noProof/>
        </w:rPr>
        <w:t>)</w:t>
      </w:r>
      <w:r w:rsidR="000A2EF9" w:rsidRPr="008A4013">
        <w:fldChar w:fldCharType="end"/>
      </w:r>
      <w:r w:rsidR="001E2721" w:rsidRPr="008A4013">
        <w:t xml:space="preserve">. </w:t>
      </w:r>
      <w:r w:rsidR="00F304E8" w:rsidRPr="008A4013">
        <w:t xml:space="preserve">This dominance is not limited to the level of governance. Politicians’ rhetoric has seeped into the mind-sets of citizens wherever neoliberalism has established a firm grip in government </w:t>
      </w:r>
      <w:r w:rsidR="000A2EF9" w:rsidRPr="008A4013">
        <w:fldChar w:fldCharType="begin"/>
      </w:r>
      <w:r w:rsidR="00841C69" w:rsidRPr="008A4013">
        <w:instrText xml:space="preserve"> ADDIN EN.CITE &lt;EndNote&gt;&lt;Cite&gt;&lt;Author&gt;Leap&lt;/Author&gt;&lt;Year&gt;2009&lt;/Year&gt;&lt;RecNum&gt;42&lt;/RecNum&gt;&lt;Prefix&gt;cf. &lt;/Prefix&gt;&lt;DisplayText&gt;(cf. Leap 2009)&lt;/DisplayText&gt;&lt;record&gt;&lt;rec-number&gt;42&lt;/rec-number&gt;&lt;foreign-keys&gt;&lt;key app="EN" db-id="x0x2x9vw3vz5wretwfnpsavdxe0w5pfpzees"&gt;42&lt;/key&gt;&lt;/foreign-keys&gt;&lt;ref-type name="Book Section"&gt;5&lt;/ref-type&gt;&lt;contributors&gt;&lt;authors&gt;&lt;author&gt;William Leap&lt;/author&gt;&lt;/authors&gt;&lt;secondary-authors&gt;&lt;author&gt;Ellen Lewin&lt;/author&gt;&lt;author&gt;William L. Leap&lt;/author&gt;&lt;/secondary-authors&gt;&lt;/contributors&gt;&lt;titles&gt;&lt;title&gt;Professional baseball, urban restructuring and (changing) gay geographies in Washington DC&lt;/title&gt;&lt;secondary-title&gt;Out in Public: Lesbian and Gay Anthropology in a Globalizing World&lt;/secondary-title&gt;&lt;/titles&gt;&lt;pages&gt;201-220&lt;/pages&gt;&lt;dates&gt;&lt;year&gt;2009&lt;/year&gt;&lt;/dates&gt;&lt;pub-location&gt;New York City&lt;/pub-location&gt;&lt;publisher&gt;Blackwells&lt;/publisher&gt;&lt;urls&gt;&lt;/urls&gt;&lt;/record&gt;&lt;/Cite&gt;&lt;/EndNote&gt;</w:instrText>
      </w:r>
      <w:r w:rsidR="000A2EF9" w:rsidRPr="008A4013">
        <w:fldChar w:fldCharType="separate"/>
      </w:r>
      <w:r w:rsidR="004E1812" w:rsidRPr="008A4013">
        <w:rPr>
          <w:noProof/>
        </w:rPr>
        <w:t>(</w:t>
      </w:r>
      <w:hyperlink w:anchor="_ENREF_22" w:tooltip="Leap, 2009 #42" w:history="1">
        <w:r w:rsidR="00DE221F" w:rsidRPr="008A4013">
          <w:rPr>
            <w:noProof/>
          </w:rPr>
          <w:t>cf. Leap 2009</w:t>
        </w:r>
      </w:hyperlink>
      <w:r w:rsidR="004E1812" w:rsidRPr="008A4013">
        <w:rPr>
          <w:noProof/>
        </w:rPr>
        <w:t>)</w:t>
      </w:r>
      <w:r w:rsidR="000A2EF9" w:rsidRPr="008A4013">
        <w:fldChar w:fldCharType="end"/>
      </w:r>
      <w:r w:rsidR="000A2EF9" w:rsidRPr="008A4013">
        <w:t>.</w:t>
      </w:r>
      <w:r w:rsidR="004E1812" w:rsidRPr="008A4013">
        <w:t xml:space="preserve"> </w:t>
      </w:r>
      <w:r w:rsidR="001E2721" w:rsidRPr="008A4013">
        <w:t xml:space="preserve">As Leitner, Sheppard </w:t>
      </w:r>
      <w:r w:rsidR="001E2721" w:rsidRPr="008A4013">
        <w:rPr>
          <w:i/>
        </w:rPr>
        <w:t>et al.</w:t>
      </w:r>
      <w:r w:rsidR="001E2721" w:rsidRPr="008A4013">
        <w:t xml:space="preserve"> note: </w:t>
      </w:r>
    </w:p>
    <w:p w14:paraId="51CEAF08" w14:textId="3ED22626" w:rsidR="001E2721" w:rsidRPr="008A4013" w:rsidRDefault="001E2721" w:rsidP="00C137CF">
      <w:pPr>
        <w:pStyle w:val="Quote"/>
        <w:spacing w:after="0"/>
      </w:pPr>
      <w:r w:rsidRPr="008A4013">
        <w:lastRenderedPageBreak/>
        <w:t xml:space="preserve">A neoliberal subjectivity has also emerged that has </w:t>
      </w:r>
      <w:r w:rsidR="008F1A59" w:rsidRPr="008A4013">
        <w:t>normalized</w:t>
      </w:r>
      <w:r w:rsidRPr="008A4013">
        <w:t xml:space="preserve"> the logics of individualism and entrepreneurialism, equating individual freedom with self-interested choices, making individuals responsible for their own well-being and redefining ci</w:t>
      </w:r>
      <w:r w:rsidR="004E1812" w:rsidRPr="008A4013">
        <w:t xml:space="preserve">tizens as consumers and clients. </w:t>
      </w:r>
      <w:r w:rsidR="004E1812" w:rsidRPr="008A4013">
        <w:fldChar w:fldCharType="begin"/>
      </w:r>
      <w:r w:rsidR="00841C69" w:rsidRPr="008A4013">
        <w:instrText xml:space="preserve"> ADDIN EN.CITE &lt;EndNote&gt;&lt;Cite&gt;&lt;Author&gt;Leitner&lt;/Author&gt;&lt;Year&gt;2003&lt;/Year&gt;&lt;RecNum&gt;43&lt;/RecNum&gt;&lt;Pages&gt;2&lt;/Pages&gt;&lt;DisplayText&gt;(Leitner&lt;style face="italic"&gt; et al.&lt;/style&gt; 2003: 2)&lt;/DisplayText&gt;&lt;record&gt;&lt;rec-number&gt;43&lt;/rec-number&gt;&lt;foreign-keys&gt;&lt;key app="EN" db-id="x0x2x9vw3vz5wretwfnpsavdxe0w5pfpzees"&gt;43&lt;/key&gt;&lt;/foreign-keys&gt;&lt;ref-type name="Book Section"&gt;5&lt;/ref-type&gt;&lt;contributors&gt;&lt;authors&gt;&lt;author&gt;Leitner, Helga&lt;/author&gt;&lt;author&gt;Sheppard, Eric&lt;/author&gt;&lt;author&gt;Sziarto, Kristen&lt;/author&gt;&lt;author&gt;Mariganti, Anant&lt;/author&gt;&lt;/authors&gt;&lt;secondary-authors&gt;&lt;author&gt;Helga Leitner, Jamie Peck and Eric Sheppard&lt;/author&gt;&lt;/secondary-authors&gt;&lt;/contributors&gt;&lt;titles&gt;&lt;title&gt;Contesting urban futures: Decentering neoliberalism&lt;/title&gt;&lt;secondary-title&gt;Contesting Neoliberalism: Urban Frontiers&lt;/secondary-title&gt;&lt;/titles&gt;&lt;pages&gt;1-25&lt;/pages&gt;&lt;dates&gt;&lt;year&gt;2003&lt;/year&gt;&lt;/dates&gt;&lt;pub-location&gt;New York&lt;/pub-location&gt;&lt;publisher&gt;Guilford Press&lt;/publisher&gt;&lt;urls&gt;&lt;/urls&gt;&lt;/record&gt;&lt;/Cite&gt;&lt;/EndNote&gt;</w:instrText>
      </w:r>
      <w:r w:rsidR="004E1812" w:rsidRPr="008A4013">
        <w:fldChar w:fldCharType="separate"/>
      </w:r>
      <w:r w:rsidR="004E1812" w:rsidRPr="008A4013">
        <w:rPr>
          <w:noProof/>
        </w:rPr>
        <w:t>(</w:t>
      </w:r>
      <w:hyperlink w:anchor="_ENREF_24" w:tooltip="Leitner, 2003 #43" w:history="1">
        <w:r w:rsidR="00DE221F" w:rsidRPr="008A4013">
          <w:rPr>
            <w:noProof/>
          </w:rPr>
          <w:t>Leitner</w:t>
        </w:r>
        <w:r w:rsidR="00DE221F" w:rsidRPr="008A4013">
          <w:rPr>
            <w:i/>
            <w:noProof/>
          </w:rPr>
          <w:t xml:space="preserve"> et al.</w:t>
        </w:r>
        <w:r w:rsidR="00DE221F" w:rsidRPr="008A4013">
          <w:rPr>
            <w:noProof/>
          </w:rPr>
          <w:t xml:space="preserve"> 2003: 2</w:t>
        </w:r>
      </w:hyperlink>
      <w:r w:rsidR="004E1812" w:rsidRPr="008A4013">
        <w:rPr>
          <w:noProof/>
        </w:rPr>
        <w:t>)</w:t>
      </w:r>
      <w:r w:rsidR="004E1812" w:rsidRPr="008A4013">
        <w:fldChar w:fldCharType="end"/>
      </w:r>
      <w:r w:rsidR="004E1812" w:rsidRPr="008A4013">
        <w:t>.</w:t>
      </w:r>
    </w:p>
    <w:p w14:paraId="1C3294E4" w14:textId="77777777" w:rsidR="00FC40B3" w:rsidRPr="009D4FFF" w:rsidRDefault="00FC40B3" w:rsidP="009D4FFF">
      <w:pPr>
        <w:rPr>
          <w:sz w:val="22"/>
          <w:lang w:val="en-GB"/>
        </w:rPr>
      </w:pPr>
    </w:p>
    <w:p w14:paraId="011DAFEF" w14:textId="6E1740DD" w:rsidR="009E6967" w:rsidRPr="008A4013" w:rsidRDefault="009E6967" w:rsidP="00C137CF">
      <w:pPr>
        <w:tabs>
          <w:tab w:val="left" w:pos="709"/>
        </w:tabs>
        <w:ind w:firstLine="0"/>
      </w:pPr>
      <w:r w:rsidRPr="008A4013">
        <w:t xml:space="preserve">Tracing the history of the gay rights movement, Lisa Duggan </w:t>
      </w:r>
      <w:r w:rsidR="008248C7" w:rsidRPr="008A4013">
        <w:fldChar w:fldCharType="begin"/>
      </w:r>
      <w:r w:rsidR="00841C69" w:rsidRPr="008A4013">
        <w:instrText xml:space="preserve"> ADDIN EN.CITE &lt;EndNote&gt;&lt;Cite ExcludeAuth="1"&gt;&lt;Author&gt;Duggan&lt;/Author&gt;&lt;Year&gt;2002&lt;/Year&gt;&lt;RecNum&gt;265&lt;/RecNum&gt;&lt;DisplayText&gt;(2002)&lt;/DisplayText&gt;&lt;record&gt;&lt;rec-number&gt;265&lt;/rec-number&gt;&lt;foreign-keys&gt;&lt;key app="EN" db-id="x0x2x9vw3vz5wretwfnpsavdxe0w5pfpzees"&gt;265&lt;/key&gt;&lt;/foreign-keys&gt;&lt;ref-type name="Book Section"&gt;5&lt;/ref-type&gt;&lt;contributors&gt;&lt;authors&gt;&lt;author&gt;Duggan, Lisa&lt;/author&gt;&lt;/authors&gt;&lt;secondary-authors&gt;&lt;author&gt;Castronovo, Russ&lt;/author&gt;&lt;author&gt;Nelson, Dana D.&lt;/author&gt;&lt;/secondary-authors&gt;&lt;/contributors&gt;&lt;titles&gt;&lt;title&gt;The new homormativity: The sexual politics of neoliberalism&lt;/title&gt;&lt;secondary-title&gt;Materializing Democracy: Toward a Revitalized Cultural Politics&lt;/secondary-title&gt;&lt;/titles&gt;&lt;dates&gt;&lt;year&gt;2002&lt;/year&gt;&lt;/dates&gt;&lt;pub-location&gt;Durham, NC&lt;/pub-location&gt;&lt;publisher&gt;Duke University Press&lt;/publisher&gt;&lt;isbn&gt;9780822383901&lt;/isbn&gt;&lt;urls&gt;&lt;related-urls&gt;&lt;url&gt;http://books.google.com/books?id=O_7qRCNxzQcC&lt;/url&gt;&lt;/related-urls&gt;&lt;/urls&gt;&lt;/record&gt;&lt;/Cite&gt;&lt;/EndNote&gt;</w:instrText>
      </w:r>
      <w:r w:rsidR="008248C7" w:rsidRPr="008A4013">
        <w:fldChar w:fldCharType="separate"/>
      </w:r>
      <w:r w:rsidR="00957F05" w:rsidRPr="008A4013">
        <w:rPr>
          <w:noProof/>
        </w:rPr>
        <w:t>(</w:t>
      </w:r>
      <w:hyperlink w:anchor="_ENREF_8" w:tooltip="Duggan, 2002 #265" w:history="1">
        <w:r w:rsidR="00DE221F" w:rsidRPr="008A4013">
          <w:rPr>
            <w:noProof/>
          </w:rPr>
          <w:t>2002</w:t>
        </w:r>
      </w:hyperlink>
      <w:r w:rsidR="00957F05" w:rsidRPr="008A4013">
        <w:rPr>
          <w:noProof/>
        </w:rPr>
        <w:t>)</w:t>
      </w:r>
      <w:r w:rsidR="008248C7" w:rsidRPr="008A4013">
        <w:fldChar w:fldCharType="end"/>
      </w:r>
      <w:r w:rsidR="00957F05" w:rsidRPr="008A4013">
        <w:t xml:space="preserve"> </w:t>
      </w:r>
      <w:r w:rsidR="00FF73CD" w:rsidRPr="008A4013">
        <w:t>argues that</w:t>
      </w:r>
      <w:r w:rsidRPr="008A4013">
        <w:t xml:space="preserve"> adoption of a neoliberal</w:t>
      </w:r>
      <w:r w:rsidR="00FF73CD" w:rsidRPr="008A4013">
        <w:t xml:space="preserve"> </w:t>
      </w:r>
      <w:r w:rsidRPr="008A4013">
        <w:t xml:space="preserve">position </w:t>
      </w:r>
      <w:r w:rsidR="00FF73CD" w:rsidRPr="008A4013">
        <w:t>prompted a shift</w:t>
      </w:r>
      <w:r w:rsidRPr="008A4013">
        <w:t xml:space="preserve"> </w:t>
      </w:r>
      <w:r w:rsidR="00FF73CD" w:rsidRPr="008A4013">
        <w:t xml:space="preserve">of </w:t>
      </w:r>
      <w:r w:rsidRPr="008A4013">
        <w:t xml:space="preserve">advocacy </w:t>
      </w:r>
      <w:r w:rsidR="00FF73CD" w:rsidRPr="008A4013">
        <w:t xml:space="preserve">aims </w:t>
      </w:r>
      <w:r w:rsidRPr="008A4013">
        <w:t xml:space="preserve">away from collective gains and public engagement towards individual rewards and private access to prosperity. </w:t>
      </w:r>
      <w:r w:rsidR="00A1717A" w:rsidRPr="008A4013">
        <w:t>Consequently</w:t>
      </w:r>
      <w:r w:rsidR="00957F05" w:rsidRPr="008A4013">
        <w:t>, Duggan</w:t>
      </w:r>
      <w:r w:rsidR="00FF73CD" w:rsidRPr="008A4013">
        <w:t xml:space="preserve"> asserts</w:t>
      </w:r>
      <w:r w:rsidR="00957F05" w:rsidRPr="008A4013">
        <w:t>, “h</w:t>
      </w:r>
      <w:r w:rsidR="00E54C7E" w:rsidRPr="008A4013">
        <w:t>omonormative,”</w:t>
      </w:r>
      <w:r w:rsidR="00957F05" w:rsidRPr="008A4013">
        <w:t xml:space="preserve"> rather than socially </w:t>
      </w:r>
      <w:r w:rsidR="00FF73CD" w:rsidRPr="008A4013">
        <w:t>progressive</w:t>
      </w:r>
      <w:r w:rsidR="00957F05" w:rsidRPr="008A4013">
        <w:t xml:space="preserve"> discourses </w:t>
      </w:r>
      <w:r w:rsidR="004B562C" w:rsidRPr="008A4013">
        <w:t xml:space="preserve">now </w:t>
      </w:r>
      <w:r w:rsidR="00A1717A" w:rsidRPr="008A4013">
        <w:t xml:space="preserve">predominate </w:t>
      </w:r>
      <w:r w:rsidR="00957F05" w:rsidRPr="008A4013">
        <w:t xml:space="preserve">within gay communities and </w:t>
      </w:r>
      <w:r w:rsidR="004B562C" w:rsidRPr="008A4013">
        <w:t>organizations that</w:t>
      </w:r>
      <w:r w:rsidR="007803F1" w:rsidRPr="008A4013">
        <w:t>,</w:t>
      </w:r>
      <w:r w:rsidR="00FF73CD" w:rsidRPr="008A4013">
        <w:t xml:space="preserve"> for example</w:t>
      </w:r>
      <w:r w:rsidR="007803F1" w:rsidRPr="008A4013">
        <w:t>,</w:t>
      </w:r>
      <w:r w:rsidR="00FF73CD" w:rsidRPr="008A4013">
        <w:t xml:space="preserve"> </w:t>
      </w:r>
      <w:r w:rsidR="00A1717A" w:rsidRPr="008A4013">
        <w:t>reify</w:t>
      </w:r>
      <w:r w:rsidR="00957F05" w:rsidRPr="008A4013">
        <w:t xml:space="preserve"> conservative institutions </w:t>
      </w:r>
      <w:r w:rsidR="004B562C" w:rsidRPr="008A4013">
        <w:t>like</w:t>
      </w:r>
      <w:r w:rsidR="00957F05" w:rsidRPr="008A4013">
        <w:t xml:space="preserve"> marriage</w:t>
      </w:r>
      <w:r w:rsidR="00FF73CD" w:rsidRPr="008A4013">
        <w:t xml:space="preserve"> as </w:t>
      </w:r>
      <w:r w:rsidR="00A1717A" w:rsidRPr="008A4013">
        <w:t xml:space="preserve">the most viable pathway to </w:t>
      </w:r>
      <w:r w:rsidR="00FF73CD" w:rsidRPr="008A4013">
        <w:t>social equality</w:t>
      </w:r>
      <w:r w:rsidR="00957F05" w:rsidRPr="008A4013">
        <w:t xml:space="preserve">. </w:t>
      </w:r>
      <w:r w:rsidR="00A1717A" w:rsidRPr="008A4013">
        <w:t>Duggan</w:t>
      </w:r>
      <w:r w:rsidR="00957F05" w:rsidRPr="008A4013">
        <w:t xml:space="preserve"> </w:t>
      </w:r>
      <w:r w:rsidR="00A1717A" w:rsidRPr="008A4013">
        <w:t>defines</w:t>
      </w:r>
      <w:r w:rsidR="00957F05" w:rsidRPr="008A4013">
        <w:t xml:space="preserve"> homonormativity as: </w:t>
      </w:r>
    </w:p>
    <w:p w14:paraId="6AF3181F" w14:textId="06B3E67C" w:rsidR="009E6967" w:rsidRPr="008A4013" w:rsidRDefault="009E6967" w:rsidP="00C137CF">
      <w:pPr>
        <w:pStyle w:val="Quote"/>
        <w:spacing w:after="0"/>
      </w:pPr>
      <w:r w:rsidRPr="008A4013">
        <w:t>[A] new neo-liberal politics that does not contest dominant heteronormative assumptions and institutions but upholds and sustains them, while promising the possibility of a demobilized gay constituency and a privatized, depoliticized gay culture anchored in domesticity and consumption</w:t>
      </w:r>
      <w:r w:rsidR="000A785F" w:rsidRPr="008A4013">
        <w:t>.</w:t>
      </w:r>
      <w:r w:rsidRPr="008A4013">
        <w:t xml:space="preserve"> </w:t>
      </w:r>
      <w:r w:rsidR="008248C7" w:rsidRPr="008A4013">
        <w:fldChar w:fldCharType="begin"/>
      </w:r>
      <w:r w:rsidR="00841C69" w:rsidRPr="008A4013">
        <w:instrText xml:space="preserve"> ADDIN EN.CITE &lt;EndNote&gt;&lt;Cite&gt;&lt;Author&gt;Duggan&lt;/Author&gt;&lt;Year&gt;2002&lt;/Year&gt;&lt;RecNum&gt;265&lt;/RecNum&gt;&lt;Pages&gt;179&lt;/Pages&gt;&lt;DisplayText&gt;(Duggan 2002: 179)&lt;/DisplayText&gt;&lt;record&gt;&lt;rec-number&gt;265&lt;/rec-number&gt;&lt;foreign-keys&gt;&lt;key app="EN" db-id="x0x2x9vw3vz5wretwfnpsavdxe0w5pfpzees"&gt;265&lt;/key&gt;&lt;/foreign-keys&gt;&lt;ref-type name="Book Section"&gt;5&lt;/ref-type&gt;&lt;contributors&gt;&lt;authors&gt;&lt;author&gt;Duggan, Lisa&lt;/author&gt;&lt;/authors&gt;&lt;secondary-authors&gt;&lt;author&gt;Castronovo, Russ&lt;/author&gt;&lt;author&gt;Nelson, Dana D.&lt;/author&gt;&lt;/secondary-authors&gt;&lt;/contributors&gt;&lt;titles&gt;&lt;title&gt;The new homormativity: The sexual politics of neoliberalism&lt;/title&gt;&lt;secondary-title&gt;Materializing Democracy: Toward a Revitalized Cultural Politics&lt;/secondary-title&gt;&lt;/titles&gt;&lt;dates&gt;&lt;year&gt;2002&lt;/year&gt;&lt;/dates&gt;&lt;pub-location&gt;Durham, NC&lt;/pub-location&gt;&lt;publisher&gt;Duke University Press&lt;/publisher&gt;&lt;isbn&gt;9780822383901&lt;/isbn&gt;&lt;urls&gt;&lt;related-urls&gt;&lt;url&gt;http://books.google.com/books?id=O_7qRCNxzQcC&lt;/url&gt;&lt;/related-urls&gt;&lt;/urls&gt;&lt;/record&gt;&lt;/Cite&gt;&lt;/EndNote&gt;</w:instrText>
      </w:r>
      <w:r w:rsidR="008248C7" w:rsidRPr="008A4013">
        <w:fldChar w:fldCharType="separate"/>
      </w:r>
      <w:r w:rsidRPr="008A4013">
        <w:rPr>
          <w:noProof/>
        </w:rPr>
        <w:t>(</w:t>
      </w:r>
      <w:hyperlink w:anchor="_ENREF_8" w:tooltip="Duggan, 2002 #265" w:history="1">
        <w:r w:rsidR="00DE221F" w:rsidRPr="008A4013">
          <w:rPr>
            <w:noProof/>
          </w:rPr>
          <w:t>Duggan 2002: 179</w:t>
        </w:r>
      </w:hyperlink>
      <w:r w:rsidRPr="008A4013">
        <w:rPr>
          <w:noProof/>
        </w:rPr>
        <w:t>)</w:t>
      </w:r>
      <w:r w:rsidR="008248C7" w:rsidRPr="008A4013">
        <w:fldChar w:fldCharType="end"/>
      </w:r>
    </w:p>
    <w:p w14:paraId="5B86B675" w14:textId="77777777" w:rsidR="00FC40B3" w:rsidRPr="009D4FFF" w:rsidRDefault="00FC40B3" w:rsidP="009D4FFF">
      <w:pPr>
        <w:rPr>
          <w:sz w:val="22"/>
          <w:lang w:val="en-GB"/>
        </w:rPr>
      </w:pPr>
    </w:p>
    <w:p w14:paraId="0AF1553A" w14:textId="06AC5F0F" w:rsidR="003946E5" w:rsidRPr="008A4013" w:rsidRDefault="00A1717A" w:rsidP="00C137CF">
      <w:pPr>
        <w:tabs>
          <w:tab w:val="left" w:pos="709"/>
        </w:tabs>
        <w:ind w:firstLine="0"/>
      </w:pPr>
      <w:r w:rsidRPr="008A4013">
        <w:t xml:space="preserve">The concept of homonormativity </w:t>
      </w:r>
      <w:r w:rsidR="004B562C" w:rsidRPr="008A4013">
        <w:t>remains</w:t>
      </w:r>
      <w:r w:rsidRPr="008A4013">
        <w:t xml:space="preserve"> influential in queer studies, although </w:t>
      </w:r>
      <w:r w:rsidR="001D33A1" w:rsidRPr="008A4013">
        <w:t xml:space="preserve">of late </w:t>
      </w:r>
      <w:r w:rsidRPr="008A4013">
        <w:t>scholars</w:t>
      </w:r>
      <w:r w:rsidR="003946E5" w:rsidRPr="008A4013">
        <w:t xml:space="preserve"> have increasingly tended to warn against any easy dismissal of gay rights campaigns or lifestyle choices as purely regressive in their embrace of erstwhile heteronormative values </w:t>
      </w:r>
      <w:r w:rsidR="008248C7" w:rsidRPr="008A4013">
        <w:fldChar w:fldCharType="begin"/>
      </w:r>
      <w:r w:rsidR="00841C69" w:rsidRPr="008A4013">
        <w:instrText xml:space="preserve"> ADDIN EN.CITE &lt;EndNote&gt;&lt;Cite&gt;&lt;Author&gt;Brown&lt;/Author&gt;&lt;Year&gt;2012&lt;/Year&gt;&lt;RecNum&gt;158&lt;/RecNum&gt;&lt;DisplayText&gt;(Boellstorff 2007; Brown 2012)&lt;/DisplayText&gt;&lt;record&gt;&lt;rec-number&gt;158&lt;/rec-number&gt;&lt;foreign-keys&gt;&lt;key app="EN" db-id="x0x2x9vw3vz5wretwfnpsavdxe0w5pfpzees"&gt;158&lt;/key&gt;&lt;/foreign-keys&gt;&lt;ref-type name="Journal Article"&gt;17&lt;/ref-type&gt;&lt;contributors&gt;&lt;authors&gt;&lt;author&gt;Brown, Gavin&lt;/author&gt;&lt;/authors&gt;&lt;/contributors&gt;&lt;titles&gt;&lt;title&gt;Homonormativity: A metropolitan concept that denigrates ordinary gay lives&lt;/title&gt;&lt;secondary-title&gt;Journal of Homosexuality&lt;/secondary-title&gt;&lt;/titles&gt;&lt;periodical&gt;&lt;full-title&gt;Journal of Homosexuality&lt;/full-title&gt;&lt;/periodical&gt;&lt;pages&gt;1065-1072&lt;/pages&gt;&lt;volume&gt;59&lt;/volume&gt;&lt;number&gt;7&lt;/number&gt;&lt;dates&gt;&lt;year&gt;2012&lt;/year&gt;&lt;pub-dates&gt;&lt;date&gt;2012/08/01&lt;/date&gt;&lt;/pub-dates&gt;&lt;/dates&gt;&lt;publisher&gt;Routledge&lt;/publisher&gt;&lt;isbn&gt;0091-8369&lt;/isbn&gt;&lt;urls&gt;&lt;related-urls&gt;&lt;url&gt;http://dx.doi.org/10.1080/00918369.2012.699851&lt;/url&gt;&lt;/related-urls&gt;&lt;/urls&gt;&lt;electronic-resource-num&gt;10.1080/00918369.2012.699851&lt;/electronic-resource-num&gt;&lt;access-date&gt;2013/02/18&lt;/access-date&gt;&lt;/record&gt;&lt;/Cite&gt;&lt;Cite&gt;&lt;Author&gt;Boellstorff&lt;/Author&gt;&lt;Year&gt;2007&lt;/Year&gt;&lt;RecNum&gt;281&lt;/RecNum&gt;&lt;record&gt;&lt;rec-number&gt;281&lt;/rec-number&gt;&lt;foreign-keys&gt;&lt;key app="EN" db-id="x0x2x9vw3vz5wretwfnpsavdxe0w5pfpzees"&gt;281&lt;/key&gt;&lt;/foreign-keys&gt;&lt;ref-type name="Journal Article"&gt;17&lt;/ref-type&gt;&lt;contributors&gt;&lt;authors&gt;&lt;author&gt;Boellstorff, Tom&lt;/author&gt;&lt;/authors&gt;&lt;/contributors&gt;&lt;titles&gt;&lt;title&gt;When marriage falls: Queer coincidences in straight time&lt;/title&gt;&lt;secondary-title&gt;Gay and Lesbian Quarterly&lt;/secondary-title&gt;&lt;/titles&gt;&lt;periodical&gt;&lt;full-title&gt;Gay and Lesbian Quarterly&lt;/full-title&gt;&lt;/periodical&gt;&lt;pages&gt;227-248&lt;/pages&gt;&lt;volume&gt;13&lt;/volume&gt;&lt;number&gt;2-3&lt;/number&gt;&lt;dates&gt;&lt;year&gt;2007&lt;/year&gt;&lt;/dates&gt;&lt;urls&gt;&lt;related-urls&gt;&lt;url&gt;http://www.annualreviews.org/doi/abs/10.1146/annurev.anthro.36.081406.094421&lt;/url&gt;&lt;/related-urls&gt;&lt;/urls&gt;&lt;electronic-resource-num&gt;doi:10.1146/annurev.anthro.36.081406.094421&lt;/electronic-resource-num&gt;&lt;/record&gt;&lt;/Cite&gt;&lt;/EndNote&gt;</w:instrText>
      </w:r>
      <w:r w:rsidR="008248C7" w:rsidRPr="008A4013">
        <w:fldChar w:fldCharType="separate"/>
      </w:r>
      <w:r w:rsidR="00D96CA5" w:rsidRPr="008A4013">
        <w:rPr>
          <w:noProof/>
        </w:rPr>
        <w:t>(</w:t>
      </w:r>
      <w:hyperlink w:anchor="_ENREF_4" w:tooltip="Boellstorff, 2007 #281" w:history="1">
        <w:r w:rsidR="00DE221F" w:rsidRPr="008A4013">
          <w:rPr>
            <w:noProof/>
          </w:rPr>
          <w:t>Boellstorff 2007</w:t>
        </w:r>
      </w:hyperlink>
      <w:r w:rsidR="00D96CA5" w:rsidRPr="008A4013">
        <w:rPr>
          <w:noProof/>
        </w:rPr>
        <w:t xml:space="preserve">; </w:t>
      </w:r>
      <w:hyperlink w:anchor="_ENREF_5" w:tooltip="Brown, 2012 #158" w:history="1">
        <w:r w:rsidR="00DE221F" w:rsidRPr="008A4013">
          <w:rPr>
            <w:noProof/>
          </w:rPr>
          <w:t>Brown 2012</w:t>
        </w:r>
      </w:hyperlink>
      <w:r w:rsidR="00D96CA5" w:rsidRPr="008A4013">
        <w:rPr>
          <w:noProof/>
        </w:rPr>
        <w:t>)</w:t>
      </w:r>
      <w:r w:rsidR="008248C7" w:rsidRPr="008A4013">
        <w:fldChar w:fldCharType="end"/>
      </w:r>
      <w:r w:rsidR="003946E5" w:rsidRPr="008A4013">
        <w:t>.</w:t>
      </w:r>
      <w:r w:rsidRPr="008A4013">
        <w:t xml:space="preserve"> </w:t>
      </w:r>
      <w:r w:rsidR="003946E5" w:rsidRPr="008A4013">
        <w:t xml:space="preserve">For example, it may be that homosexual relationships have become more socially acceptable in general as a consequence of the gay </w:t>
      </w:r>
      <w:r w:rsidRPr="008A4013">
        <w:t xml:space="preserve">marriage </w:t>
      </w:r>
      <w:r w:rsidR="003946E5" w:rsidRPr="008A4013">
        <w:t>movement</w:t>
      </w:r>
      <w:r w:rsidRPr="008A4013">
        <w:t xml:space="preserve">. </w:t>
      </w:r>
      <w:r w:rsidR="003946E5" w:rsidRPr="008A4013">
        <w:t xml:space="preserve">Conversely, or perhaps concurrently, single parent or alternative family units may be further </w:t>
      </w:r>
      <w:r w:rsidR="001D33A1" w:rsidRPr="008A4013">
        <w:t>maligned where</w:t>
      </w:r>
      <w:r w:rsidR="003946E5" w:rsidRPr="008A4013">
        <w:t xml:space="preserve"> marriage in general is </w:t>
      </w:r>
      <w:r w:rsidR="001D33A1" w:rsidRPr="008A4013">
        <w:t>conceptualized</w:t>
      </w:r>
      <w:r w:rsidR="007803F1" w:rsidRPr="008A4013">
        <w:t xml:space="preserve"> and</w:t>
      </w:r>
      <w:r w:rsidR="001D33A1" w:rsidRPr="008A4013">
        <w:t xml:space="preserve"> presented</w:t>
      </w:r>
      <w:r w:rsidR="003946E5" w:rsidRPr="008A4013">
        <w:t xml:space="preserve"> as central to social </w:t>
      </w:r>
      <w:r w:rsidR="00AF0E5D" w:rsidRPr="008A4013">
        <w:t xml:space="preserve">acceptability and </w:t>
      </w:r>
      <w:r w:rsidR="007803F1" w:rsidRPr="008A4013">
        <w:t>well-</w:t>
      </w:r>
      <w:r w:rsidR="003946E5" w:rsidRPr="008A4013">
        <w:t>being</w:t>
      </w:r>
      <w:r w:rsidR="003946E5" w:rsidRPr="008A4013">
        <w:rPr>
          <w:i/>
        </w:rPr>
        <w:t>.</w:t>
      </w:r>
      <w:r w:rsidR="00A456AF" w:rsidRPr="008A4013">
        <w:t xml:space="preserve"> </w:t>
      </w:r>
      <w:r w:rsidR="00FF59CD" w:rsidRPr="008A4013">
        <w:t>Productive d</w:t>
      </w:r>
      <w:r w:rsidR="009A5E83" w:rsidRPr="008A4013">
        <w:t>e</w:t>
      </w:r>
      <w:r w:rsidR="00A456AF" w:rsidRPr="008A4013">
        <w:t xml:space="preserve">bate over the usefulness of </w:t>
      </w:r>
      <w:r w:rsidR="004B562C" w:rsidRPr="008A4013">
        <w:t>hom</w:t>
      </w:r>
      <w:r w:rsidR="00A456AF" w:rsidRPr="008A4013">
        <w:t xml:space="preserve">onormativity </w:t>
      </w:r>
      <w:r w:rsidR="009A5E83" w:rsidRPr="008A4013">
        <w:t>continues apace in queer theory, in particular</w:t>
      </w:r>
      <w:r w:rsidR="00D707AC" w:rsidRPr="008A4013">
        <w:t xml:space="preserve"> but only</w:t>
      </w:r>
      <w:r w:rsidR="009A5E83" w:rsidRPr="008A4013">
        <w:t xml:space="preserve"> with reference to same-sex marriage</w:t>
      </w:r>
      <w:r w:rsidR="004B562C" w:rsidRPr="008A4013">
        <w:t xml:space="preserve"> </w:t>
      </w:r>
      <w:r w:rsidR="0074576E" w:rsidRPr="008A4013">
        <w:fldChar w:fldCharType="begin">
          <w:fldData xml:space="preserve">PEVuZE5vdGU+PENpdGU+PEF1dGhvcj5WaXR1bGxpPC9BdXRob3I+PFllYXI+MjAxMDwvWWVhcj48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</w:fldData>
        </w:fldChar>
      </w:r>
      <w:r w:rsidR="00841C69" w:rsidRPr="008A4013">
        <w:instrText xml:space="preserve"> ADDIN EN.CITE </w:instrText>
      </w:r>
      <w:r w:rsidR="00841C69" w:rsidRPr="008A4013">
        <w:fldChar w:fldCharType="begin">
          <w:fldData xml:space="preserve">PEVuZE5vdGU+PENpdGU+PEF1dGhvcj5WaXR1bGxpPC9BdXRob3I+PFllYXI+MjAxMDwvWWVhcj48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</w:fldData>
        </w:fldChar>
      </w:r>
      <w:r w:rsidR="00841C69" w:rsidRPr="008A4013">
        <w:instrText xml:space="preserve"> ADDIN EN.CITE.DATA </w:instrText>
      </w:r>
      <w:r w:rsidR="00841C69" w:rsidRPr="008A4013">
        <w:fldChar w:fldCharType="end"/>
      </w:r>
      <w:r w:rsidR="0074576E" w:rsidRPr="008A4013">
        <w:fldChar w:fldCharType="separate"/>
      </w:r>
      <w:r w:rsidR="0074576E" w:rsidRPr="008A4013">
        <w:rPr>
          <w:noProof/>
        </w:rPr>
        <w:t xml:space="preserve">(cf. </w:t>
      </w:r>
      <w:hyperlink w:anchor="_ENREF_5" w:tooltip="Brown, 2012 #158" w:history="1">
        <w:r w:rsidR="00DE221F" w:rsidRPr="008A4013">
          <w:rPr>
            <w:noProof/>
          </w:rPr>
          <w:t>Brown 2012</w:t>
        </w:r>
      </w:hyperlink>
      <w:r w:rsidR="0074576E" w:rsidRPr="008A4013">
        <w:rPr>
          <w:noProof/>
        </w:rPr>
        <w:t xml:space="preserve">; </w:t>
      </w:r>
      <w:hyperlink w:anchor="_ENREF_35" w:tooltip="Rosenfeld, 2009 #283" w:history="1">
        <w:r w:rsidR="00DE221F" w:rsidRPr="008A4013">
          <w:rPr>
            <w:noProof/>
          </w:rPr>
          <w:t>Rosenfeld 2009</w:t>
        </w:r>
      </w:hyperlink>
      <w:r w:rsidR="0074576E" w:rsidRPr="008A4013">
        <w:rPr>
          <w:noProof/>
        </w:rPr>
        <w:t xml:space="preserve">; </w:t>
      </w:r>
      <w:hyperlink w:anchor="_ENREF_40" w:tooltip="Vitulli, 2010 #284" w:history="1">
        <w:r w:rsidR="00DE221F" w:rsidRPr="008A4013">
          <w:rPr>
            <w:noProof/>
          </w:rPr>
          <w:t>Vitulli 2010</w:t>
        </w:r>
      </w:hyperlink>
      <w:r w:rsidR="0074576E" w:rsidRPr="008A4013">
        <w:rPr>
          <w:noProof/>
        </w:rPr>
        <w:t>)</w:t>
      </w:r>
      <w:r w:rsidR="0074576E" w:rsidRPr="008A4013">
        <w:fldChar w:fldCharType="end"/>
      </w:r>
      <w:r w:rsidR="00D707AC" w:rsidRPr="008A4013">
        <w:t>.</w:t>
      </w:r>
      <w:r w:rsidR="009A5E83" w:rsidRPr="008A4013">
        <w:t xml:space="preserve"> </w:t>
      </w:r>
    </w:p>
    <w:p w14:paraId="675F49BD" w14:textId="6C713654" w:rsidR="00F304E8" w:rsidRPr="008A4013" w:rsidRDefault="001D33A1" w:rsidP="00C137CF">
      <w:pPr>
        <w:tabs>
          <w:tab w:val="left" w:pos="709"/>
        </w:tabs>
        <w:ind w:firstLine="0"/>
      </w:pPr>
      <w:r w:rsidRPr="008A4013">
        <w:lastRenderedPageBreak/>
        <w:tab/>
        <w:t>Rather than definitively argue the merits or shortfalls of homonormativity as a concept, the analysi</w:t>
      </w:r>
      <w:r w:rsidR="004B562C" w:rsidRPr="008A4013">
        <w:t>s offered herein suggests that</w:t>
      </w:r>
      <w:r w:rsidRPr="008A4013">
        <w:t xml:space="preserve"> struggle</w:t>
      </w:r>
      <w:r w:rsidR="004B562C" w:rsidRPr="008A4013">
        <w:t xml:space="preserve">s over ideological emphasis </w:t>
      </w:r>
      <w:proofErr w:type="gramStart"/>
      <w:r w:rsidR="004B562C" w:rsidRPr="008A4013">
        <w:t>are</w:t>
      </w:r>
      <w:proofErr w:type="gramEnd"/>
      <w:r w:rsidRPr="008A4013">
        <w:t xml:space="preserve"> </w:t>
      </w:r>
      <w:r w:rsidR="004B562C" w:rsidRPr="008A4013">
        <w:t xml:space="preserve">on-going within mainstream </w:t>
      </w:r>
      <w:r w:rsidRPr="008A4013">
        <w:t xml:space="preserve">LGBT advocacy movements, for example the IGBP campaign. </w:t>
      </w:r>
      <w:r w:rsidR="00F304E8" w:rsidRPr="008A4013">
        <w:t xml:space="preserve">I argue that neoliberal subjectivity is </w:t>
      </w:r>
      <w:r w:rsidR="003946E5" w:rsidRPr="008A4013">
        <w:t xml:space="preserve">frequently </w:t>
      </w:r>
      <w:r w:rsidR="00F304E8" w:rsidRPr="008A4013">
        <w:t>endorsed in IGBP Fait</w:t>
      </w:r>
      <w:r w:rsidR="000A785F" w:rsidRPr="008A4013">
        <w:t xml:space="preserve">h videos posted by laypeople </w:t>
      </w:r>
      <w:r w:rsidR="004B562C" w:rsidRPr="008A4013">
        <w:t>yet it is</w:t>
      </w:r>
      <w:r w:rsidR="003946E5" w:rsidRPr="008A4013">
        <w:t xml:space="preserve"> </w:t>
      </w:r>
      <w:r w:rsidR="004B562C" w:rsidRPr="008A4013">
        <w:t xml:space="preserve">also </w:t>
      </w:r>
      <w:r w:rsidR="000A785F" w:rsidRPr="008A4013">
        <w:t xml:space="preserve">regularly </w:t>
      </w:r>
      <w:r w:rsidR="00F304E8" w:rsidRPr="008A4013">
        <w:t xml:space="preserve">contested </w:t>
      </w:r>
      <w:r w:rsidR="003946E5" w:rsidRPr="008A4013">
        <w:t>in those posted by spoke</w:t>
      </w:r>
      <w:r w:rsidR="000A785F" w:rsidRPr="008A4013">
        <w:t xml:space="preserve">speople. This is evident in their differential emphases on the individual versus the community, on urban centers rather than </w:t>
      </w:r>
      <w:r w:rsidR="00D707AC" w:rsidRPr="008A4013">
        <w:t>rural</w:t>
      </w:r>
      <w:r w:rsidR="000A785F" w:rsidRPr="008A4013">
        <w:t xml:space="preserve"> locales, and on future success over present acceptance, positions</w:t>
      </w:r>
      <w:r w:rsidR="003946E5" w:rsidRPr="008A4013">
        <w:t xml:space="preserve"> </w:t>
      </w:r>
      <w:r w:rsidR="000A785F" w:rsidRPr="008A4013">
        <w:t>that promote notably different response to homophobic bullying</w:t>
      </w:r>
      <w:r w:rsidR="003946E5" w:rsidRPr="008A4013">
        <w:t>.</w:t>
      </w:r>
      <w:r w:rsidR="00F304E8" w:rsidRPr="008A4013">
        <w:t xml:space="preserve"> </w:t>
      </w:r>
    </w:p>
    <w:p w14:paraId="4D9CD64A" w14:textId="77777777" w:rsidR="000A785F" w:rsidRPr="008A4013" w:rsidRDefault="000A785F" w:rsidP="00C137CF">
      <w:pPr>
        <w:ind w:firstLine="0"/>
        <w:outlineLvl w:val="0"/>
        <w:rPr>
          <w:b/>
        </w:rPr>
      </w:pPr>
    </w:p>
    <w:p w14:paraId="14D5ADAD" w14:textId="77777777" w:rsidR="00AD3F7F" w:rsidRPr="008A4013" w:rsidRDefault="00F304E8" w:rsidP="00C137CF">
      <w:pPr>
        <w:ind w:firstLine="0"/>
        <w:outlineLvl w:val="0"/>
        <w:rPr>
          <w:b/>
        </w:rPr>
      </w:pPr>
      <w:r w:rsidRPr="008A4013">
        <w:rPr>
          <w:b/>
        </w:rPr>
        <w:t>4.1</w:t>
      </w:r>
      <w:r w:rsidR="001E2721" w:rsidRPr="008A4013">
        <w:rPr>
          <w:b/>
        </w:rPr>
        <w:t xml:space="preserve"> False deixis and the “dummy it”</w:t>
      </w:r>
    </w:p>
    <w:p w14:paraId="647482B0" w14:textId="77777777" w:rsidR="00D94861" w:rsidRPr="008A4013" w:rsidRDefault="00D94861" w:rsidP="00C137CF">
      <w:pPr>
        <w:tabs>
          <w:tab w:val="left" w:pos="709"/>
        </w:tabs>
        <w:ind w:firstLine="0"/>
      </w:pPr>
      <w:r w:rsidRPr="008A4013">
        <w:rPr>
          <w:i/>
        </w:rPr>
        <w:t>Example One</w:t>
      </w:r>
    </w:p>
    <w:p w14:paraId="64C686A8" w14:textId="77777777" w:rsidR="00D94861" w:rsidRPr="008A4013" w:rsidRDefault="00D94861" w:rsidP="00C137CF">
      <w:pPr>
        <w:tabs>
          <w:tab w:val="left" w:pos="709"/>
        </w:tabs>
        <w:spacing w:line="276" w:lineRule="auto"/>
        <w:ind w:left="284" w:right="284" w:firstLine="0"/>
        <w:jc w:val="both"/>
        <w:outlineLvl w:val="0"/>
        <w:rPr>
          <w:u w:val="single"/>
        </w:rPr>
      </w:pPr>
      <w:r w:rsidRPr="008A4013">
        <w:rPr>
          <w:u w:val="single"/>
        </w:rPr>
        <w:t>Spokesperson:</w:t>
      </w:r>
    </w:p>
    <w:p w14:paraId="2F28CA60" w14:textId="06C2E476" w:rsidR="00D94861" w:rsidRPr="008A4013" w:rsidRDefault="00D00894" w:rsidP="00C137CF">
      <w:pPr>
        <w:pStyle w:val="Quote"/>
        <w:spacing w:after="0"/>
        <w:ind w:left="284" w:right="284"/>
      </w:pPr>
      <w:r w:rsidRPr="008A4013">
        <w:t>“</w:t>
      </w:r>
      <w:r w:rsidR="00D94861" w:rsidRPr="008A4013">
        <w:t xml:space="preserve">You know, </w:t>
      </w:r>
      <w:r w:rsidR="00D94861" w:rsidRPr="008A4013">
        <w:rPr>
          <w:b/>
          <w:u w:val="single"/>
        </w:rPr>
        <w:t>life</w:t>
      </w:r>
      <w:r w:rsidR="00D94861" w:rsidRPr="008A4013">
        <w:t xml:space="preserve"> will get better if we make </w:t>
      </w:r>
      <w:r w:rsidR="00D94861" w:rsidRPr="008A4013">
        <w:rPr>
          <w:b/>
          <w:u w:val="single"/>
        </w:rPr>
        <w:t>it</w:t>
      </w:r>
      <w:r w:rsidR="00D94861" w:rsidRPr="008A4013">
        <w:t xml:space="preserve"> better. And that’s why I’ve given my life to work with all kinds of people who are oppressed: gay, lesbian, bisexual, transgender, but also other people who suffer: poor people, disabled people, people without the right kind of papers to be walking around the United States today. So, here’s the thing: I need you to live so you can help make</w:t>
      </w:r>
      <w:r w:rsidR="00D94861" w:rsidRPr="008A4013">
        <w:rPr>
          <w:b/>
        </w:rPr>
        <w:t xml:space="preserve"> </w:t>
      </w:r>
      <w:r w:rsidR="00D94861" w:rsidRPr="008A4013">
        <w:rPr>
          <w:b/>
          <w:u w:val="single"/>
        </w:rPr>
        <w:t xml:space="preserve">it </w:t>
      </w:r>
      <w:r w:rsidR="00D94861" w:rsidRPr="008A4013">
        <w:t>better for everyone.</w:t>
      </w:r>
      <w:r w:rsidRPr="008A4013">
        <w:t>”</w:t>
      </w:r>
    </w:p>
    <w:p w14:paraId="4AE89B91" w14:textId="77777777" w:rsidR="00D94861" w:rsidRPr="008A4013" w:rsidRDefault="00D94861" w:rsidP="00C137CF">
      <w:pPr>
        <w:pStyle w:val="Quote"/>
        <w:numPr>
          <w:ilvl w:val="0"/>
          <w:numId w:val="11"/>
        </w:numPr>
        <w:spacing w:after="0"/>
        <w:ind w:right="284"/>
      </w:pPr>
      <w:r w:rsidRPr="008A4013">
        <w:t>Revere</w:t>
      </w:r>
      <w:r w:rsidR="00BF6CC3" w:rsidRPr="008A4013">
        <w:t>n</w:t>
      </w:r>
      <w:r w:rsidRPr="008A4013">
        <w:t>d Meg Riley, Unitarian Universalist, Church of the Larger Fellowship</w:t>
      </w:r>
    </w:p>
    <w:p w14:paraId="58A4E995" w14:textId="77777777" w:rsidR="00D94861" w:rsidRPr="008A4013" w:rsidRDefault="00D94861" w:rsidP="00C137CF">
      <w:pPr>
        <w:pStyle w:val="Quote"/>
        <w:spacing w:after="0"/>
        <w:ind w:left="0" w:right="284"/>
        <w:outlineLvl w:val="0"/>
        <w:rPr>
          <w:iCs w:val="0"/>
          <w:color w:val="auto"/>
        </w:rPr>
      </w:pPr>
    </w:p>
    <w:p w14:paraId="49A1E626" w14:textId="77777777" w:rsidR="00D94861" w:rsidRPr="008A4013" w:rsidRDefault="00D94861" w:rsidP="00C137CF">
      <w:pPr>
        <w:pStyle w:val="Quote"/>
        <w:spacing w:after="0"/>
        <w:ind w:left="284" w:right="284"/>
        <w:outlineLvl w:val="0"/>
        <w:rPr>
          <w:i/>
          <w:u w:val="single"/>
        </w:rPr>
      </w:pPr>
      <w:r w:rsidRPr="008A4013">
        <w:rPr>
          <w:u w:val="single"/>
        </w:rPr>
        <w:t>Layperson:</w:t>
      </w:r>
    </w:p>
    <w:p w14:paraId="630724A8" w14:textId="18E76BF6" w:rsidR="00D94861" w:rsidRPr="008A4013" w:rsidRDefault="00D00894" w:rsidP="00C137CF">
      <w:pPr>
        <w:pStyle w:val="Quote"/>
        <w:spacing w:after="0"/>
        <w:ind w:left="284" w:right="284"/>
      </w:pPr>
      <w:r w:rsidRPr="008A4013">
        <w:t>“</w:t>
      </w:r>
      <w:r w:rsidR="00D94861" w:rsidRPr="008A4013">
        <w:t xml:space="preserve">I promise you, I promise you </w:t>
      </w:r>
      <w:r w:rsidR="00D94861" w:rsidRPr="008A4013">
        <w:rPr>
          <w:b/>
          <w:u w:val="single"/>
        </w:rPr>
        <w:t>it</w:t>
      </w:r>
      <w:r w:rsidR="00D94861" w:rsidRPr="008A4013">
        <w:t xml:space="preserve"> gets better. </w:t>
      </w:r>
      <w:r w:rsidR="00D94861" w:rsidRPr="008A4013">
        <w:rPr>
          <w:b/>
          <w:u w:val="single"/>
        </w:rPr>
        <w:t>It</w:t>
      </w:r>
      <w:r w:rsidR="00D94861" w:rsidRPr="008A4013">
        <w:t xml:space="preserve"> gets so much better, </w:t>
      </w:r>
      <w:r w:rsidR="00D94861" w:rsidRPr="008A4013">
        <w:rPr>
          <w:b/>
          <w:u w:val="single"/>
        </w:rPr>
        <w:t>it</w:t>
      </w:r>
      <w:r w:rsidR="00D94861" w:rsidRPr="008A4013">
        <w:t xml:space="preserve"> really, really does. I </w:t>
      </w:r>
      <w:proofErr w:type="spellStart"/>
      <w:r w:rsidR="00D94861" w:rsidRPr="008A4013">
        <w:t>wanna</w:t>
      </w:r>
      <w:proofErr w:type="spellEnd"/>
      <w:r w:rsidR="00D94861" w:rsidRPr="008A4013">
        <w:t xml:space="preserve"> just say </w:t>
      </w:r>
      <w:r w:rsidR="00D94861" w:rsidRPr="008A4013">
        <w:rPr>
          <w:b/>
          <w:u w:val="single"/>
        </w:rPr>
        <w:t>it</w:t>
      </w:r>
      <w:r w:rsidR="00D94861" w:rsidRPr="008A4013">
        <w:t xml:space="preserve"> gets better a million times in a row to prove to you somehow and ingrain in your mind how much better </w:t>
      </w:r>
      <w:r w:rsidR="00D94861" w:rsidRPr="008A4013">
        <w:rPr>
          <w:b/>
          <w:u w:val="single"/>
        </w:rPr>
        <w:t>it</w:t>
      </w:r>
      <w:r w:rsidR="00D94861" w:rsidRPr="008A4013">
        <w:t xml:space="preserve"> gets, because </w:t>
      </w:r>
      <w:r w:rsidR="00D94861" w:rsidRPr="008A4013">
        <w:rPr>
          <w:b/>
          <w:u w:val="single"/>
        </w:rPr>
        <w:t>it</w:t>
      </w:r>
      <w:r w:rsidR="00D94861" w:rsidRPr="008A4013">
        <w:t xml:space="preserve"> really does. Umm, and now I’m 27. I live in New York City, which is my favorite place in the entire world. I have amazing friends, I’m doing what I want to do for a living, I have a great job.</w:t>
      </w:r>
      <w:r w:rsidRPr="008A4013">
        <w:t>”</w:t>
      </w:r>
    </w:p>
    <w:p w14:paraId="24162D9B" w14:textId="77777777" w:rsidR="00D94861" w:rsidRPr="008A4013" w:rsidRDefault="00D94861" w:rsidP="00C137CF">
      <w:pPr>
        <w:pStyle w:val="Quote"/>
        <w:numPr>
          <w:ilvl w:val="0"/>
          <w:numId w:val="11"/>
        </w:numPr>
        <w:spacing w:after="0"/>
        <w:ind w:right="284"/>
      </w:pPr>
      <w:r w:rsidRPr="008A4013">
        <w:t>Chris</w:t>
      </w:r>
    </w:p>
    <w:p w14:paraId="01E04E5B" w14:textId="77777777" w:rsidR="00D94861" w:rsidRPr="008A4013" w:rsidRDefault="00D94861" w:rsidP="00C137CF">
      <w:pPr>
        <w:ind w:firstLine="0"/>
        <w:outlineLvl w:val="0"/>
        <w:rPr>
          <w:i/>
        </w:rPr>
      </w:pPr>
    </w:p>
    <w:p w14:paraId="152AB1A2" w14:textId="0F616A54" w:rsidR="001E2721" w:rsidRPr="008A4013" w:rsidRDefault="001E2721" w:rsidP="00C137CF">
      <w:pPr>
        <w:tabs>
          <w:tab w:val="left" w:pos="709"/>
        </w:tabs>
        <w:ind w:firstLine="0"/>
      </w:pPr>
      <w:r w:rsidRPr="008A4013">
        <w:t xml:space="preserve">Deixis is a demonstrative linguistic phenomenon occurring where the meaning of a word is dependent on context and demands interpretation on behalf of the listener or reader </w:t>
      </w:r>
      <w:r w:rsidR="008248C7" w:rsidRPr="008A4013">
        <w:fldChar w:fldCharType="begin"/>
      </w:r>
      <w:r w:rsidR="00A52215" w:rsidRPr="008A4013">
        <w:instrText xml:space="preserve"> ADDIN EN.CITE &lt;EndNote&gt;&lt;Cite&gt;&lt;Author&gt;Levinson&lt;/Author&gt;&lt;Year&gt;1984&lt;/Year&gt;&lt;RecNum&gt;50&lt;/RecNum&gt;&lt;Pages&gt;54-7&lt;/Pages&gt;&lt;DisplayText&gt;(Levinson 1984: 54-57)&lt;/DisplayText&gt;&lt;record&gt;&lt;rec-number&gt;50&lt;/rec-number&gt;&lt;foreign-keys&gt;&lt;key app="EN" db-id="x0x2x9vw3vz5wretwfnpsavdxe0w5pfpzees"&gt;50&lt;/key&gt;&lt;/foreign-keys&gt;&lt;ref-type name="Book"&gt;6&lt;/ref-type&gt;&lt;contributors&gt;&lt;authors&gt;&lt;author&gt;Stephen C Levinson&lt;/author&gt;&lt;/authors&gt;&lt;/contributors&gt;&lt;titles&gt;&lt;title&gt;Pragmatics&lt;/title&gt;&lt;/titles&gt;&lt;dates&gt;&lt;year&gt;1984&lt;/year&gt;&lt;/dates&gt;&lt;pub-location&gt;London&lt;/pub-location&gt;&lt;publisher&gt;Cambridge University Press&lt;/publisher&gt;&lt;urls&gt;&lt;/urls&gt;&lt;/record&gt;&lt;/Cite&gt;&lt;/EndNote&gt;</w:instrText>
      </w:r>
      <w:r w:rsidR="008248C7" w:rsidRPr="008A4013">
        <w:fldChar w:fldCharType="separate"/>
      </w:r>
      <w:r w:rsidR="00A52215" w:rsidRPr="008A4013">
        <w:rPr>
          <w:noProof/>
        </w:rPr>
        <w:t>(</w:t>
      </w:r>
      <w:hyperlink w:anchor="_ENREF_25" w:tooltip="Levinson, 1984 #50" w:history="1">
        <w:r w:rsidR="00DE221F" w:rsidRPr="008A4013">
          <w:rPr>
            <w:noProof/>
          </w:rPr>
          <w:t>Levinson 1984: 54-57</w:t>
        </w:r>
      </w:hyperlink>
      <w:r w:rsidR="00A52215" w:rsidRPr="008A4013">
        <w:rPr>
          <w:noProof/>
        </w:rPr>
        <w:t>)</w:t>
      </w:r>
      <w:r w:rsidR="008248C7" w:rsidRPr="008A4013">
        <w:fldChar w:fldCharType="end"/>
      </w:r>
      <w:r w:rsidRPr="008A4013">
        <w:t xml:space="preserve">. </w:t>
      </w:r>
      <w:proofErr w:type="spellStart"/>
      <w:r w:rsidRPr="008A4013">
        <w:t>Deictics</w:t>
      </w:r>
      <w:proofErr w:type="spellEnd"/>
      <w:r w:rsidRPr="008A4013">
        <w:t>, words that serve this demonstrative function, commonly reference time or place, such</w:t>
      </w:r>
      <w:r w:rsidR="00E54C7E" w:rsidRPr="008A4013">
        <w:t xml:space="preserve"> as: “this,” “then,” or “there.”</w:t>
      </w:r>
      <w:r w:rsidRPr="008A4013">
        <w:t xml:space="preserve"> Julia Penelope notes that, in general, a </w:t>
      </w:r>
      <w:r w:rsidRPr="008A4013">
        <w:lastRenderedPageBreak/>
        <w:t xml:space="preserve">speaker employing </w:t>
      </w:r>
      <w:proofErr w:type="spellStart"/>
      <w:r w:rsidRPr="008A4013">
        <w:t>deictics</w:t>
      </w:r>
      <w:proofErr w:type="spellEnd"/>
      <w:r w:rsidRPr="008A4013">
        <w:t xml:space="preserve"> assumes that their meaning will be understood by the listener, although misunderstanding is possible </w:t>
      </w:r>
      <w:r w:rsidR="008248C7" w:rsidRPr="008A4013">
        <w:fldChar w:fldCharType="begin"/>
      </w:r>
      <w:r w:rsidR="00A52215" w:rsidRPr="008A4013">
        <w:instrText xml:space="preserve"> ADDIN EN.CITE &lt;EndNote&gt;&lt;Cite&gt;&lt;Author&gt;Penelope&lt;/Author&gt;&lt;Year&gt;1990&lt;/Year&gt;&lt;RecNum&gt;49&lt;/RecNum&gt;&lt;Pages&gt;130&lt;/Pages&gt;&lt;DisplayText&gt;(Penelope 1990: 130)&lt;/DisplayText&gt;&lt;record&gt;&lt;rec-number&gt;49&lt;/rec-number&gt;&lt;foreign-keys&gt;&lt;key app="EN" db-id="x0x2x9vw3vz5wretwfnpsavdxe0w5pfpzees"&gt;49&lt;/key&gt;&lt;/foreign-keys&gt;&lt;ref-type name="Book"&gt;6&lt;/ref-type&gt;&lt;contributors&gt;&lt;authors&gt;&lt;author&gt;Julia Penelope&lt;/author&gt;&lt;/authors&gt;&lt;/contributors&gt;&lt;titles&gt;&lt;title&gt;Speeking Freely: Undoing the Lies of the Fathers’ Tongue&lt;/title&gt;&lt;/titles&gt;&lt;dates&gt;&lt;year&gt;1990&lt;/year&gt;&lt;/dates&gt;&lt;pub-location&gt;New York&lt;/pub-location&gt;&lt;publisher&gt;Teachers College Press&lt;/publisher&gt;&lt;urls&gt;&lt;/urls&gt;&lt;/record&gt;&lt;/Cite&gt;&lt;/EndNote&gt;</w:instrText>
      </w:r>
      <w:r w:rsidR="008248C7" w:rsidRPr="008A4013">
        <w:fldChar w:fldCharType="separate"/>
      </w:r>
      <w:r w:rsidR="00A52215" w:rsidRPr="008A4013">
        <w:rPr>
          <w:noProof/>
        </w:rPr>
        <w:t>(</w:t>
      </w:r>
      <w:hyperlink w:anchor="_ENREF_30" w:tooltip="Penelope, 1990 #49" w:history="1">
        <w:r w:rsidR="00DE221F" w:rsidRPr="008A4013">
          <w:rPr>
            <w:noProof/>
          </w:rPr>
          <w:t>Penelope 1990: 130</w:t>
        </w:r>
      </w:hyperlink>
      <w:r w:rsidR="00A52215" w:rsidRPr="008A4013">
        <w:rPr>
          <w:noProof/>
        </w:rPr>
        <w:t>)</w:t>
      </w:r>
      <w:r w:rsidR="008248C7" w:rsidRPr="008A4013">
        <w:fldChar w:fldCharType="end"/>
      </w:r>
      <w:r w:rsidRPr="008A4013">
        <w:t>.</w:t>
      </w:r>
    </w:p>
    <w:p w14:paraId="21ED4CA7" w14:textId="4D3E0406" w:rsidR="00D94861" w:rsidRPr="008A4013" w:rsidRDefault="001E2721" w:rsidP="00C137CF">
      <w:pPr>
        <w:tabs>
          <w:tab w:val="left" w:pos="709"/>
        </w:tabs>
        <w:ind w:firstLine="0"/>
        <w:rPr>
          <w:i/>
        </w:rPr>
      </w:pPr>
      <w:r w:rsidRPr="008A4013">
        <w:tab/>
        <w:t>More of interest to Penelope, and of relevance here, i</w:t>
      </w:r>
      <w:r w:rsidR="00F304E8" w:rsidRPr="008A4013">
        <w:t xml:space="preserve">s the notion of false deixis, used to describe a </w:t>
      </w:r>
      <w:proofErr w:type="spellStart"/>
      <w:r w:rsidR="00F304E8" w:rsidRPr="008A4013">
        <w:t>deictical</w:t>
      </w:r>
      <w:proofErr w:type="spellEnd"/>
      <w:r w:rsidR="00F304E8" w:rsidRPr="008A4013">
        <w:t xml:space="preserve"> term</w:t>
      </w:r>
      <w:r w:rsidRPr="008A4013">
        <w:t xml:space="preserve"> </w:t>
      </w:r>
      <w:r w:rsidR="00F304E8" w:rsidRPr="008A4013">
        <w:t xml:space="preserve">that </w:t>
      </w:r>
      <w:r w:rsidRPr="008A4013">
        <w:t>point</w:t>
      </w:r>
      <w:r w:rsidR="00F304E8" w:rsidRPr="008A4013">
        <w:t>s</w:t>
      </w:r>
      <w:r w:rsidRPr="008A4013">
        <w:t xml:space="preserve"> to nothing. False deixis such as “the dummy ‘it’</w:t>
      </w:r>
      <w:r w:rsidR="00E54C7E" w:rsidRPr="008A4013">
        <w:t>”</w:t>
      </w:r>
      <w:r w:rsidRPr="008A4013">
        <w:t xml:space="preserve"> can arise as a consequence of linguistic ineptitude or be employed by speaker as a rhetorical device, </w:t>
      </w:r>
      <w:r w:rsidR="00F304E8" w:rsidRPr="008A4013">
        <w:t>requiring</w:t>
      </w:r>
      <w:r w:rsidRPr="008A4013">
        <w:t xml:space="preserve"> the listener supply their own information to give meaning to the dialogue </w:t>
      </w:r>
      <w:r w:rsidR="004E1812" w:rsidRPr="008A4013">
        <w:fldChar w:fldCharType="begin"/>
      </w:r>
      <w:r w:rsidR="004E1812" w:rsidRPr="008A4013">
        <w:instrText xml:space="preserve"> ADDIN EN.CITE &lt;EndNote&gt;&lt;Cite&gt;&lt;Author&gt;Penelope&lt;/Author&gt;&lt;Year&gt;1990&lt;/Year&gt;&lt;RecNum&gt;49&lt;/RecNum&gt;&lt;Pages&gt;130&lt;/Pages&gt;&lt;DisplayText&gt;(Penelope 1990: 130)&lt;/DisplayText&gt;&lt;record&gt;&lt;rec-number&gt;49&lt;/rec-number&gt;&lt;foreign-keys&gt;&lt;key app="EN" db-id="x0x2x9vw3vz5wretwfnpsavdxe0w5pfpzees"&gt;49&lt;/key&gt;&lt;/foreign-keys&gt;&lt;ref-type name="Book"&gt;6&lt;/ref-type&gt;&lt;contributors&gt;&lt;authors&gt;&lt;author&gt;Julia Penelope&lt;/author&gt;&lt;/authors&gt;&lt;/contributors&gt;&lt;titles&gt;&lt;title&gt;Speeking Freely: Undoing the Lies of the Fathers’ Tongue&lt;/title&gt;&lt;/titles&gt;&lt;dates&gt;&lt;year&gt;1990&lt;/year&gt;&lt;/dates&gt;&lt;pub-location&gt;New York&lt;/pub-location&gt;&lt;publisher&gt;Teachers College Press&lt;/publisher&gt;&lt;urls&gt;&lt;/urls&gt;&lt;/record&gt;&lt;/Cite&gt;&lt;/EndNote&gt;</w:instrText>
      </w:r>
      <w:r w:rsidR="004E1812" w:rsidRPr="008A4013">
        <w:fldChar w:fldCharType="separate"/>
      </w:r>
      <w:r w:rsidR="004E1812" w:rsidRPr="008A4013">
        <w:rPr>
          <w:noProof/>
        </w:rPr>
        <w:t>(</w:t>
      </w:r>
      <w:hyperlink w:anchor="_ENREF_30" w:tooltip="Penelope, 1990 #49" w:history="1">
        <w:r w:rsidR="00DE221F" w:rsidRPr="008A4013">
          <w:rPr>
            <w:noProof/>
          </w:rPr>
          <w:t>Penelope 1990: 130</w:t>
        </w:r>
      </w:hyperlink>
      <w:r w:rsidR="004E1812" w:rsidRPr="008A4013">
        <w:rPr>
          <w:noProof/>
        </w:rPr>
        <w:t>)</w:t>
      </w:r>
      <w:r w:rsidR="004E1812" w:rsidRPr="008A4013">
        <w:fldChar w:fldCharType="end"/>
      </w:r>
      <w:r w:rsidR="004E1812" w:rsidRPr="008A4013">
        <w:t xml:space="preserve">. </w:t>
      </w:r>
      <w:r w:rsidRPr="008A4013">
        <w:t xml:space="preserve">In either circumstance, the use may not be intentional. </w:t>
      </w:r>
      <w:r w:rsidR="0049627E" w:rsidRPr="008A4013">
        <w:t xml:space="preserve">Yet </w:t>
      </w:r>
      <w:r w:rsidRPr="008A4013">
        <w:t xml:space="preserve">Penelope posits that we may be inclined to use the veil of the dummy it to make vague reference to difficult thoughts and feelings. She proposes: “Maybe…we don’t want to be understood at some level. Or, maybe we don’t understand ourselves what we mean or want to communicate” </w:t>
      </w:r>
      <w:r w:rsidR="004E1812" w:rsidRPr="008A4013">
        <w:fldChar w:fldCharType="begin"/>
      </w:r>
      <w:r w:rsidR="004E1812" w:rsidRPr="008A4013">
        <w:instrText xml:space="preserve"> ADDIN EN.CITE &lt;EndNote&gt;&lt;Cite ExcludeAuth="1"&gt;&lt;Author&gt;Penelope&lt;/Author&gt;&lt;Year&gt;1990&lt;/Year&gt;&lt;RecNum&gt;49&lt;/RecNum&gt;&lt;Pages&gt;135&lt;/Pages&gt;&lt;DisplayText&gt;(1990: 135)&lt;/DisplayText&gt;&lt;record&gt;&lt;rec-number&gt;49&lt;/rec-number&gt;&lt;foreign-keys&gt;&lt;key app="EN" db-id="x0x2x9vw3vz5wretwfnpsavdxe0w5pfpzees"&gt;49&lt;/key&gt;&lt;/foreign-keys&gt;&lt;ref-type name="Book"&gt;6&lt;/ref-type&gt;&lt;contributors&gt;&lt;authors&gt;&lt;author&gt;Julia Penelope&lt;/author&gt;&lt;/authors&gt;&lt;/contributors&gt;&lt;titles&gt;&lt;title&gt;Speeking Freely: Undoing the Lies of the Fathers’ Tongue&lt;/title&gt;&lt;/titles&gt;&lt;dates&gt;&lt;year&gt;1990&lt;/year&gt;&lt;/dates&gt;&lt;pub-location&gt;New York&lt;/pub-location&gt;&lt;publisher&gt;Teachers College Press&lt;/publisher&gt;&lt;urls&gt;&lt;/urls&gt;&lt;/record&gt;&lt;/Cite&gt;&lt;/EndNote&gt;</w:instrText>
      </w:r>
      <w:r w:rsidR="004E1812" w:rsidRPr="008A4013">
        <w:fldChar w:fldCharType="separate"/>
      </w:r>
      <w:r w:rsidR="004E1812" w:rsidRPr="008A4013">
        <w:rPr>
          <w:noProof/>
        </w:rPr>
        <w:t>(</w:t>
      </w:r>
      <w:hyperlink w:anchor="_ENREF_30" w:tooltip="Penelope, 1990 #49" w:history="1">
        <w:r w:rsidR="00DE221F" w:rsidRPr="008A4013">
          <w:rPr>
            <w:noProof/>
          </w:rPr>
          <w:t>1990: 135</w:t>
        </w:r>
      </w:hyperlink>
      <w:r w:rsidR="004E1812" w:rsidRPr="008A4013">
        <w:rPr>
          <w:noProof/>
        </w:rPr>
        <w:t>)</w:t>
      </w:r>
      <w:r w:rsidR="004E1812" w:rsidRPr="008A4013">
        <w:fldChar w:fldCharType="end"/>
      </w:r>
      <w:r w:rsidR="004E1812" w:rsidRPr="008A4013">
        <w:t xml:space="preserve">. </w:t>
      </w:r>
      <w:r w:rsidRPr="008A4013">
        <w:t xml:space="preserve">Following Penelope, I draw attention to uses of the (potentially dummy) “it” of </w:t>
      </w:r>
      <w:r w:rsidR="0049627E" w:rsidRPr="008A4013">
        <w:t>“it gets better</w:t>
      </w:r>
      <w:r w:rsidR="00E54C7E" w:rsidRPr="008A4013">
        <w:t>.</w:t>
      </w:r>
      <w:r w:rsidR="0049627E" w:rsidRPr="008A4013">
        <w:t>”</w:t>
      </w:r>
      <w:r w:rsidRPr="008A4013">
        <w:t xml:space="preserve"> </w:t>
      </w:r>
    </w:p>
    <w:p w14:paraId="27A26103" w14:textId="232E38D1" w:rsidR="00AD3F7F" w:rsidRPr="008A4013" w:rsidRDefault="00D94861" w:rsidP="00C137CF">
      <w:pPr>
        <w:tabs>
          <w:tab w:val="left" w:pos="709"/>
        </w:tabs>
        <w:ind w:firstLine="0"/>
        <w:rPr>
          <w:i/>
        </w:rPr>
      </w:pPr>
      <w:r w:rsidRPr="008A4013">
        <w:tab/>
        <w:t xml:space="preserve">In </w:t>
      </w:r>
      <w:r w:rsidRPr="008A4013">
        <w:rPr>
          <w:i/>
        </w:rPr>
        <w:t>Example One</w:t>
      </w:r>
      <w:r w:rsidR="00AD3F7F" w:rsidRPr="008A4013">
        <w:t>, Spokesperson Rev</w:t>
      </w:r>
      <w:r w:rsidR="00BF6CC3" w:rsidRPr="008A4013">
        <w:t>erend</w:t>
      </w:r>
      <w:r w:rsidR="00AD3F7F" w:rsidRPr="008A4013">
        <w:t xml:space="preserve"> Meg </w:t>
      </w:r>
      <w:r w:rsidR="00A65DEA" w:rsidRPr="008A4013">
        <w:t>R</w:t>
      </w:r>
      <w:r w:rsidR="00AD3F7F" w:rsidRPr="008A4013">
        <w:t>il</w:t>
      </w:r>
      <w:r w:rsidR="00A65DEA" w:rsidRPr="008A4013">
        <w:t>e</w:t>
      </w:r>
      <w:r w:rsidR="00AD3F7F" w:rsidRPr="008A4013">
        <w:t>y, makes explicit fr</w:t>
      </w:r>
      <w:r w:rsidR="008F1A59" w:rsidRPr="008A4013">
        <w:t>om the outset that the “it” of “it gets better”</w:t>
      </w:r>
      <w:r w:rsidR="00E54C7E" w:rsidRPr="008A4013">
        <w:t xml:space="preserve"> indexes “life.”</w:t>
      </w:r>
      <w:r w:rsidR="00AD3F7F" w:rsidRPr="008A4013">
        <w:t xml:space="preserve"> Once this is established, </w:t>
      </w:r>
      <w:r w:rsidR="00BF6CC3" w:rsidRPr="008A4013">
        <w:t xml:space="preserve">she </w:t>
      </w:r>
      <w:r w:rsidR="00AD3F7F" w:rsidRPr="008A4013">
        <w:t>can specify the obstacles, as she sees them, to life being better: the oppression and subsequent sufferi</w:t>
      </w:r>
      <w:r w:rsidR="00E54C7E" w:rsidRPr="008A4013">
        <w:t>ng of certain “types of people.”</w:t>
      </w:r>
      <w:r w:rsidR="00AD3F7F" w:rsidRPr="008A4013">
        <w:t xml:space="preserve"> She then suggests how the improvement of life might occur, appealing to listeners to help make </w:t>
      </w:r>
      <w:r w:rsidR="00E54C7E" w:rsidRPr="008A4013">
        <w:t>“it [life] better for everyone.”</w:t>
      </w:r>
      <w:r w:rsidR="00AD3F7F" w:rsidRPr="008A4013">
        <w:t xml:space="preserve"> </w:t>
      </w:r>
      <w:r w:rsidR="00413B4C" w:rsidRPr="008A4013">
        <w:t>Rev</w:t>
      </w:r>
      <w:r w:rsidR="00BF6CC3" w:rsidRPr="008A4013">
        <w:t>erend</w:t>
      </w:r>
      <w:r w:rsidR="00413B4C" w:rsidRPr="008A4013">
        <w:t xml:space="preserve"> Riley asserts a collectivist attitude towards addressing oppression in </w:t>
      </w:r>
      <w:r w:rsidR="00727548" w:rsidRPr="008A4013">
        <w:t xml:space="preserve">its </w:t>
      </w:r>
      <w:r w:rsidR="00413B4C" w:rsidRPr="008A4013">
        <w:t>multiple guises, and points to a specific socio-political cause of suffering as she sees it: lack of rights.</w:t>
      </w:r>
      <w:r w:rsidR="00727548" w:rsidRPr="008A4013">
        <w:t xml:space="preserve"> It follows, then, that by directly addressing oppression</w:t>
      </w:r>
      <w:r w:rsidR="00E64905" w:rsidRPr="008A4013">
        <w:t xml:space="preserve"> and unequal rights specifically</w:t>
      </w:r>
      <w:r w:rsidR="00727548" w:rsidRPr="008A4013">
        <w:t xml:space="preserve">, </w:t>
      </w:r>
      <w:r w:rsidR="00E64905" w:rsidRPr="008A4013">
        <w:t xml:space="preserve">“we” can make </w:t>
      </w:r>
      <w:r w:rsidR="00727548" w:rsidRPr="008A4013">
        <w:t>“it” better</w:t>
      </w:r>
      <w:r w:rsidR="00D00894" w:rsidRPr="008A4013">
        <w:t xml:space="preserve"> for “all kinds of people who are oppressed</w:t>
      </w:r>
      <w:r w:rsidR="00E54C7E" w:rsidRPr="008A4013">
        <w:t>.</w:t>
      </w:r>
      <w:r w:rsidR="00D00894" w:rsidRPr="008A4013">
        <w:t>”</w:t>
      </w:r>
    </w:p>
    <w:p w14:paraId="1B70685D" w14:textId="15B0991C" w:rsidR="00AD3F7F" w:rsidRPr="008A4013" w:rsidRDefault="00AD3F7F" w:rsidP="00C137CF">
      <w:pPr>
        <w:tabs>
          <w:tab w:val="left" w:pos="709"/>
        </w:tabs>
        <w:ind w:firstLine="0"/>
      </w:pPr>
      <w:r w:rsidRPr="008A4013">
        <w:tab/>
        <w:t xml:space="preserve">Layperson Chris, in contrast, relies heavily on the dummy it as he fails to specify a precise referent. After a string of assertions, </w:t>
      </w:r>
      <w:r w:rsidR="009D4FFF">
        <w:t xml:space="preserve">all </w:t>
      </w:r>
      <w:r w:rsidRPr="008A4013">
        <w:t xml:space="preserve">highly committed epistemic modalities, Chris pauses as he considers what, indeed, gets better. </w:t>
      </w:r>
      <w:r w:rsidR="00CE0A66" w:rsidRPr="008A4013">
        <w:t>Eventually</w:t>
      </w:r>
      <w:r w:rsidR="009F7C69" w:rsidRPr="008A4013">
        <w:t>, h</w:t>
      </w:r>
      <w:r w:rsidRPr="008A4013">
        <w:t xml:space="preserve">e lists his age, location, popularity and profession as </w:t>
      </w:r>
      <w:r w:rsidR="00CE0A66" w:rsidRPr="008A4013">
        <w:t xml:space="preserve">apparent </w:t>
      </w:r>
      <w:r w:rsidRPr="008A4013">
        <w:t>sources of</w:t>
      </w:r>
      <w:r w:rsidR="00CE0A66" w:rsidRPr="008A4013">
        <w:t xml:space="preserve"> personal </w:t>
      </w:r>
      <w:r w:rsidRPr="008A4013">
        <w:t xml:space="preserve">pleasure. While it may be that </w:t>
      </w:r>
      <w:r w:rsidRPr="008A4013">
        <w:lastRenderedPageBreak/>
        <w:t>Chris also takes “it” as indexing “life”—</w:t>
      </w:r>
      <w:r w:rsidR="00CE0A66" w:rsidRPr="008A4013">
        <w:t xml:space="preserve">albeit </w:t>
      </w:r>
      <w:r w:rsidRPr="008A4013">
        <w:t>a particular kind of life—this is not explicit. It is implied</w:t>
      </w:r>
      <w:r w:rsidR="00CE0A66" w:rsidRPr="008A4013">
        <w:t>,</w:t>
      </w:r>
      <w:r w:rsidRPr="008A4013">
        <w:t xml:space="preserve"> but ultimately unclear whether he regards these circums</w:t>
      </w:r>
      <w:r w:rsidR="00E54C7E" w:rsidRPr="008A4013">
        <w:t>tances as constituting “better.”</w:t>
      </w:r>
    </w:p>
    <w:p w14:paraId="42607B12" w14:textId="04306D7C" w:rsidR="00413B4C" w:rsidRPr="008A4013" w:rsidRDefault="00AD3F7F" w:rsidP="00C137CF">
      <w:pPr>
        <w:tabs>
          <w:tab w:val="left" w:pos="709"/>
        </w:tabs>
        <w:ind w:firstLine="0"/>
      </w:pPr>
      <w:r w:rsidRPr="008A4013">
        <w:tab/>
      </w:r>
      <w:r w:rsidR="000A785F" w:rsidRPr="008A4013">
        <w:t xml:space="preserve">Of course, and as with the high incidence of the node word “better” </w:t>
      </w:r>
      <w:r w:rsidR="003D2EBC" w:rsidRPr="008A4013">
        <w:t xml:space="preserve">within the corpus as a whole, speakers’ use of “it” can be explained in part as an </w:t>
      </w:r>
      <w:proofErr w:type="spellStart"/>
      <w:r w:rsidR="003D2EBC" w:rsidRPr="008A4013">
        <w:t>intertexual</w:t>
      </w:r>
      <w:proofErr w:type="spellEnd"/>
      <w:r w:rsidR="003D2EBC" w:rsidRPr="008A4013">
        <w:t xml:space="preserve"> reference to</w:t>
      </w:r>
      <w:r w:rsidR="000A785F" w:rsidRPr="008A4013">
        <w:t xml:space="preserve"> the </w:t>
      </w:r>
      <w:r w:rsidR="00D707AC" w:rsidRPr="008A4013">
        <w:t xml:space="preserve">project’s </w:t>
      </w:r>
      <w:r w:rsidR="002E6145" w:rsidRPr="008A4013">
        <w:t>slogan</w:t>
      </w:r>
      <w:r w:rsidR="003D2EBC" w:rsidRPr="008A4013">
        <w:t xml:space="preserve">. </w:t>
      </w:r>
      <w:r w:rsidR="004A5318" w:rsidRPr="008A4013">
        <w:t>Yet a</w:t>
      </w:r>
      <w:r w:rsidRPr="008A4013">
        <w:t xml:space="preserve">llowing “it” to remain ambiguous while vehemently asserting, “it gets </w:t>
      </w:r>
      <w:r w:rsidR="004A5318" w:rsidRPr="008A4013">
        <w:t>so much</w:t>
      </w:r>
      <w:r w:rsidR="004A5318" w:rsidRPr="008A4013">
        <w:rPr>
          <w:i/>
        </w:rPr>
        <w:t xml:space="preserve"> </w:t>
      </w:r>
      <w:r w:rsidRPr="008A4013">
        <w:t>better</w:t>
      </w:r>
      <w:r w:rsidR="00D00894" w:rsidRPr="008A4013">
        <w:t>, it really, really does</w:t>
      </w:r>
      <w:r w:rsidR="00E54C7E" w:rsidRPr="008A4013">
        <w:t>,</w:t>
      </w:r>
      <w:r w:rsidRPr="008A4013">
        <w:t>”</w:t>
      </w:r>
      <w:r w:rsidR="004A5318" w:rsidRPr="008A4013">
        <w:t xml:space="preserve"> </w:t>
      </w:r>
      <w:r w:rsidR="00413B4C" w:rsidRPr="008A4013">
        <w:t>implies that</w:t>
      </w:r>
      <w:r w:rsidR="004A5318" w:rsidRPr="008A4013">
        <w:t xml:space="preserve"> </w:t>
      </w:r>
      <w:r w:rsidR="00D00894" w:rsidRPr="008A4013">
        <w:t>Chris</w:t>
      </w:r>
      <w:r w:rsidR="004A5318" w:rsidRPr="008A4013">
        <w:t xml:space="preserve"> has felt confidently able to relate to Savage’s largely couched meaning, message and examples. </w:t>
      </w:r>
      <w:r w:rsidR="00C20803" w:rsidRPr="008A4013">
        <w:t>Chris</w:t>
      </w:r>
      <w:r w:rsidR="004A5318" w:rsidRPr="008A4013">
        <w:t xml:space="preserve"> therefore either presuppose</w:t>
      </w:r>
      <w:r w:rsidR="00640F09" w:rsidRPr="008A4013">
        <w:t>s</w:t>
      </w:r>
      <w:r w:rsidR="004A5318" w:rsidRPr="008A4013">
        <w:t xml:space="preserve"> that</w:t>
      </w:r>
      <w:r w:rsidRPr="008A4013">
        <w:t xml:space="preserve"> listener</w:t>
      </w:r>
      <w:r w:rsidR="004A5318" w:rsidRPr="008A4013">
        <w:t>s</w:t>
      </w:r>
      <w:r w:rsidRPr="008A4013">
        <w:t xml:space="preserve"> </w:t>
      </w:r>
      <w:r w:rsidR="004A5318" w:rsidRPr="008A4013">
        <w:t xml:space="preserve">will </w:t>
      </w:r>
      <w:r w:rsidR="00D00894" w:rsidRPr="008A4013">
        <w:t xml:space="preserve">instinctively </w:t>
      </w:r>
      <w:r w:rsidR="004A5318" w:rsidRPr="008A4013">
        <w:t>understand</w:t>
      </w:r>
      <w:r w:rsidRPr="008A4013">
        <w:t xml:space="preserve"> what they are talking about</w:t>
      </w:r>
      <w:r w:rsidR="004A5318" w:rsidRPr="008A4013">
        <w:t xml:space="preserve">, or </w:t>
      </w:r>
      <w:r w:rsidR="00413B4C" w:rsidRPr="008A4013">
        <w:t>employ</w:t>
      </w:r>
      <w:r w:rsidR="00C20803" w:rsidRPr="008A4013">
        <w:t>s</w:t>
      </w:r>
      <w:r w:rsidRPr="008A4013">
        <w:t xml:space="preserve"> false deixis</w:t>
      </w:r>
      <w:r w:rsidR="00413B4C" w:rsidRPr="008A4013">
        <w:t xml:space="preserve"> when repeating without </w:t>
      </w:r>
      <w:r w:rsidR="00D00894" w:rsidRPr="008A4013">
        <w:t>specifying</w:t>
      </w:r>
      <w:r w:rsidR="00413B4C" w:rsidRPr="008A4013">
        <w:t xml:space="preserve"> what “it” signifies</w:t>
      </w:r>
      <w:r w:rsidRPr="008A4013">
        <w:t xml:space="preserve">. </w:t>
      </w:r>
    </w:p>
    <w:p w14:paraId="0A5E3FBA" w14:textId="0A268DD6" w:rsidR="00413B4C" w:rsidRPr="008A4013" w:rsidRDefault="00413B4C" w:rsidP="00C137CF">
      <w:pPr>
        <w:tabs>
          <w:tab w:val="left" w:pos="709"/>
        </w:tabs>
        <w:ind w:firstLine="0"/>
      </w:pPr>
      <w:r w:rsidRPr="008A4013">
        <w:tab/>
      </w:r>
      <w:r w:rsidR="00AD3F7F" w:rsidRPr="008A4013">
        <w:t xml:space="preserve">I argue that, by remaining ambiguous, laypeople are able to obscure the difficult question of </w:t>
      </w:r>
      <w:r w:rsidR="00AD3F7F" w:rsidRPr="008A4013">
        <w:rPr>
          <w:i/>
        </w:rPr>
        <w:t>how</w:t>
      </w:r>
      <w:r w:rsidR="00AD3F7F" w:rsidRPr="008A4013">
        <w:t xml:space="preserve"> “it gets better” for someone else, relying on their own narratives as proof of fact. Consequently, they flounder when pausing to consider what “it” getting better might entail. Chris, as other laypeople in the sample, cites </w:t>
      </w:r>
      <w:r w:rsidRPr="008A4013">
        <w:t xml:space="preserve">his </w:t>
      </w:r>
      <w:r w:rsidR="00AD3F7F" w:rsidRPr="008A4013">
        <w:t xml:space="preserve">being a young, educated adult, living in an urban </w:t>
      </w:r>
      <w:r w:rsidR="008F1A59" w:rsidRPr="008A4013">
        <w:t>center</w:t>
      </w:r>
      <w:r w:rsidR="00AD3F7F" w:rsidRPr="008A4013">
        <w:t>, and career success</w:t>
      </w:r>
      <w:r w:rsidRPr="008A4013">
        <w:t xml:space="preserve">, tropes which imply </w:t>
      </w:r>
      <w:r w:rsidR="00AD3F7F" w:rsidRPr="008A4013">
        <w:t xml:space="preserve">individual </w:t>
      </w:r>
      <w:r w:rsidRPr="008A4013">
        <w:t xml:space="preserve">material </w:t>
      </w:r>
      <w:r w:rsidR="00AD3F7F" w:rsidRPr="008A4013">
        <w:t xml:space="preserve">prosperity is key to the “better” life, a central tenant of </w:t>
      </w:r>
      <w:r w:rsidR="004A5318" w:rsidRPr="008A4013">
        <w:t xml:space="preserve">a </w:t>
      </w:r>
      <w:r w:rsidR="00AD3F7F" w:rsidRPr="008A4013">
        <w:t xml:space="preserve">neoliberal </w:t>
      </w:r>
      <w:r w:rsidR="004A5318" w:rsidRPr="008A4013">
        <w:t>ideological perspective</w:t>
      </w:r>
      <w:r w:rsidR="00AD3F7F" w:rsidRPr="008A4013">
        <w:t xml:space="preserve">. </w:t>
      </w:r>
    </w:p>
    <w:p w14:paraId="5CBF8268" w14:textId="6D18C412" w:rsidR="005112FE" w:rsidRPr="008A4013" w:rsidRDefault="00B65645" w:rsidP="00C137CF">
      <w:pPr>
        <w:tabs>
          <w:tab w:val="left" w:pos="709"/>
        </w:tabs>
        <w:ind w:firstLine="0"/>
      </w:pPr>
      <w:r w:rsidRPr="008A4013">
        <w:tab/>
      </w:r>
      <w:r w:rsidR="0070782C" w:rsidRPr="008A4013">
        <w:t>Stephen C. Levinson notes that</w:t>
      </w:r>
      <w:r w:rsidRPr="008A4013">
        <w:t>,</w:t>
      </w:r>
      <w:r w:rsidR="0070782C" w:rsidRPr="008A4013">
        <w:t xml:space="preserve"> “it is generally (but not invariably) true that deixis is </w:t>
      </w:r>
      <w:r w:rsidR="008F1A59" w:rsidRPr="008A4013">
        <w:t>organized</w:t>
      </w:r>
      <w:r w:rsidR="0070782C" w:rsidRPr="008A4013">
        <w:t xml:space="preserve"> in an ego-centric way” </w:t>
      </w:r>
      <w:r w:rsidR="008248C7" w:rsidRPr="008A4013">
        <w:fldChar w:fldCharType="begin"/>
      </w:r>
      <w:r w:rsidR="0070782C" w:rsidRPr="008A4013">
        <w:instrText xml:space="preserve"> ADDIN EN.CITE &lt;EndNote&gt;&lt;Cite ExcludeAuth="1"&gt;&lt;Author&gt;Levinson&lt;/Author&gt;&lt;Year&gt;1984&lt;/Year&gt;&lt;RecNum&gt;50&lt;/RecNum&gt;&lt;Pages&gt;63&lt;/Pages&gt;&lt;DisplayText&gt;(1984: 63)&lt;/DisplayText&gt;&lt;record&gt;&lt;rec-number&gt;50&lt;/rec-number&gt;&lt;foreign-keys&gt;&lt;key app="EN" db-id="x0x2x9vw3vz5wretwfnpsavdxe0w5pfpzees"&gt;50&lt;/key&gt;&lt;/foreign-keys&gt;&lt;ref-type name="Book"&gt;6&lt;/ref-type&gt;&lt;contributors&gt;&lt;authors&gt;&lt;author&gt;Stephen C Levinson&lt;/author&gt;&lt;/authors&gt;&lt;/contributors&gt;&lt;titles&gt;&lt;title&gt;Pragmatics&lt;/title&gt;&lt;/titles&gt;&lt;dates&gt;&lt;year&gt;1984&lt;/year&gt;&lt;/dates&gt;&lt;pub-location&gt;London&lt;/pub-location&gt;&lt;publisher&gt;Cambridge University Press&lt;/publisher&gt;&lt;urls&gt;&lt;/urls&gt;&lt;/record&gt;&lt;/Cite&gt;&lt;/EndNote&gt;</w:instrText>
      </w:r>
      <w:r w:rsidR="008248C7" w:rsidRPr="008A4013">
        <w:fldChar w:fldCharType="separate"/>
      </w:r>
      <w:r w:rsidR="0070782C" w:rsidRPr="008A4013">
        <w:rPr>
          <w:noProof/>
        </w:rPr>
        <w:t>(</w:t>
      </w:r>
      <w:hyperlink w:anchor="_ENREF_25" w:tooltip="Levinson, 1984 #50" w:history="1">
        <w:r w:rsidR="00DE221F" w:rsidRPr="008A4013">
          <w:rPr>
            <w:noProof/>
          </w:rPr>
          <w:t>1984: 63</w:t>
        </w:r>
      </w:hyperlink>
      <w:r w:rsidR="0070782C" w:rsidRPr="008A4013">
        <w:rPr>
          <w:noProof/>
        </w:rPr>
        <w:t>)</w:t>
      </w:r>
      <w:r w:rsidR="008248C7" w:rsidRPr="008A4013">
        <w:fldChar w:fldCharType="end"/>
      </w:r>
      <w:r w:rsidRPr="008A4013">
        <w:t>, because the unmarked anchorage or referential poin</w:t>
      </w:r>
      <w:r w:rsidR="00B614DD" w:rsidRPr="008A4013">
        <w:t xml:space="preserve">ts are assumed by the speaker to be themselves, as well as when and where—both geographically and socially—they are situated when speaking. </w:t>
      </w:r>
      <w:r w:rsidR="0070782C" w:rsidRPr="008A4013">
        <w:t>B</w:t>
      </w:r>
      <w:r w:rsidR="00AD3F7F" w:rsidRPr="008A4013">
        <w:t>y simply making more frequent and assertive presumptions as to wha</w:t>
      </w:r>
      <w:r w:rsidR="00E64905" w:rsidRPr="008A4013">
        <w:t xml:space="preserve">t “it” entails, laypeople </w:t>
      </w:r>
      <w:r w:rsidR="00B614DD" w:rsidRPr="008A4013">
        <w:t xml:space="preserve">appear to </w:t>
      </w:r>
      <w:r w:rsidR="00E64905" w:rsidRPr="008A4013">
        <w:t>emphasiz</w:t>
      </w:r>
      <w:r w:rsidR="00AD3F7F" w:rsidRPr="008A4013">
        <w:t xml:space="preserve">e the primacy </w:t>
      </w:r>
      <w:r w:rsidR="0070782C" w:rsidRPr="008A4013">
        <w:t xml:space="preserve">of the “I” in their messages. </w:t>
      </w:r>
      <w:r w:rsidR="00AD3F7F" w:rsidRPr="008A4013">
        <w:t xml:space="preserve">Spokesperson Meg </w:t>
      </w:r>
      <w:r w:rsidR="00A65DEA" w:rsidRPr="008A4013">
        <w:t>Rile</w:t>
      </w:r>
      <w:r w:rsidR="00AD3F7F" w:rsidRPr="008A4013">
        <w:t>y organizes her speech in less egocentric manner, not only evidenced by her lesser use of deixis, but also through her recognition of listeners’ agency, as I now discuss through further examples.</w:t>
      </w:r>
    </w:p>
    <w:p w14:paraId="39FAC6B1" w14:textId="77777777" w:rsidR="005112FE" w:rsidRPr="008A4013" w:rsidRDefault="005112FE" w:rsidP="00C137CF">
      <w:pPr>
        <w:tabs>
          <w:tab w:val="left" w:pos="709"/>
        </w:tabs>
        <w:ind w:firstLine="0"/>
      </w:pPr>
    </w:p>
    <w:p w14:paraId="64A55841" w14:textId="77777777" w:rsidR="001E2721" w:rsidRPr="008A4013" w:rsidRDefault="00AD3F7F" w:rsidP="00C137CF">
      <w:pPr>
        <w:tabs>
          <w:tab w:val="left" w:pos="709"/>
        </w:tabs>
        <w:ind w:firstLine="0"/>
      </w:pPr>
      <w:r w:rsidRPr="008A4013">
        <w:rPr>
          <w:b/>
        </w:rPr>
        <w:lastRenderedPageBreak/>
        <w:t xml:space="preserve">4.2 </w:t>
      </w:r>
      <w:r w:rsidR="001E2721" w:rsidRPr="008A4013">
        <w:rPr>
          <w:b/>
        </w:rPr>
        <w:t xml:space="preserve">Agency and individualism </w:t>
      </w:r>
      <w:r w:rsidR="001E2721" w:rsidRPr="008A4013">
        <w:rPr>
          <w:i/>
        </w:rPr>
        <w:tab/>
      </w:r>
    </w:p>
    <w:p w14:paraId="36379B4B" w14:textId="77777777" w:rsidR="00B614DD" w:rsidRPr="008A4013" w:rsidRDefault="00B614DD" w:rsidP="00C137CF">
      <w:pPr>
        <w:tabs>
          <w:tab w:val="left" w:pos="709"/>
        </w:tabs>
        <w:spacing w:line="240" w:lineRule="auto"/>
        <w:ind w:firstLine="0"/>
        <w:outlineLvl w:val="0"/>
        <w:rPr>
          <w:i/>
        </w:rPr>
      </w:pPr>
      <w:r w:rsidRPr="008A4013">
        <w:rPr>
          <w:i/>
        </w:rPr>
        <w:t>Example Two</w:t>
      </w:r>
    </w:p>
    <w:p w14:paraId="0E4D5262" w14:textId="77777777" w:rsidR="00B614DD" w:rsidRPr="008A4013" w:rsidRDefault="00B614DD" w:rsidP="00C137CF">
      <w:pPr>
        <w:tabs>
          <w:tab w:val="left" w:pos="709"/>
        </w:tabs>
        <w:spacing w:line="240" w:lineRule="auto"/>
        <w:ind w:firstLine="0"/>
        <w:outlineLvl w:val="0"/>
        <w:rPr>
          <w:bCs/>
        </w:rPr>
      </w:pPr>
    </w:p>
    <w:p w14:paraId="475E2DAD" w14:textId="77777777" w:rsidR="00B614DD" w:rsidRPr="008A4013" w:rsidRDefault="00B614DD" w:rsidP="00C137CF">
      <w:pPr>
        <w:tabs>
          <w:tab w:val="left" w:pos="709"/>
        </w:tabs>
        <w:spacing w:line="240" w:lineRule="auto"/>
        <w:ind w:left="284" w:right="284" w:firstLine="0"/>
        <w:outlineLvl w:val="0"/>
        <w:rPr>
          <w:bCs/>
          <w:u w:val="single"/>
        </w:rPr>
      </w:pPr>
      <w:r w:rsidRPr="008A4013">
        <w:rPr>
          <w:bCs/>
          <w:u w:val="single"/>
        </w:rPr>
        <w:t>Laypeople:</w:t>
      </w:r>
    </w:p>
    <w:p w14:paraId="030B28E8" w14:textId="77777777" w:rsidR="00B614DD" w:rsidRPr="008A4013" w:rsidRDefault="00B614DD" w:rsidP="00C137CF">
      <w:pPr>
        <w:pStyle w:val="Quote"/>
        <w:spacing w:after="0"/>
        <w:ind w:left="284" w:right="284"/>
        <w:rPr>
          <w:i/>
        </w:rPr>
      </w:pPr>
      <w:r w:rsidRPr="008A4013">
        <w:rPr>
          <w:i/>
        </w:rPr>
        <w:t>“</w:t>
      </w:r>
      <w:r w:rsidRPr="008A4013">
        <w:rPr>
          <w:b/>
          <w:bCs/>
          <w:i/>
          <w:u w:val="single"/>
        </w:rPr>
        <w:t>I’ve</w:t>
      </w:r>
      <w:r w:rsidRPr="008A4013">
        <w:rPr>
          <w:i/>
        </w:rPr>
        <w:t xml:space="preserve"> been where </w:t>
      </w:r>
      <w:r w:rsidRPr="008A4013">
        <w:rPr>
          <w:b/>
          <w:bCs/>
          <w:i/>
          <w:u w:val="single"/>
        </w:rPr>
        <w:t>you</w:t>
      </w:r>
      <w:r w:rsidRPr="008A4013">
        <w:rPr>
          <w:i/>
        </w:rPr>
        <w:t xml:space="preserve"> are before.”</w:t>
      </w:r>
    </w:p>
    <w:p w14:paraId="5E2D04B3" w14:textId="77777777" w:rsidR="00B614DD" w:rsidRPr="008A4013" w:rsidRDefault="00B614DD" w:rsidP="00C137CF">
      <w:pPr>
        <w:pStyle w:val="Quote"/>
        <w:numPr>
          <w:ilvl w:val="0"/>
          <w:numId w:val="11"/>
        </w:numPr>
        <w:spacing w:after="0"/>
        <w:ind w:right="284"/>
      </w:pPr>
      <w:r w:rsidRPr="008A4013">
        <w:t>Andrew</w:t>
      </w:r>
    </w:p>
    <w:p w14:paraId="001A3E9F" w14:textId="77777777" w:rsidR="00B614DD" w:rsidRPr="008A4013" w:rsidRDefault="00B614DD" w:rsidP="00C137CF">
      <w:pPr>
        <w:pStyle w:val="Quote"/>
        <w:spacing w:after="0"/>
        <w:ind w:left="0" w:right="284"/>
        <w:rPr>
          <w:i/>
        </w:rPr>
      </w:pPr>
    </w:p>
    <w:p w14:paraId="09E0F9FC" w14:textId="77777777" w:rsidR="00B614DD" w:rsidRPr="008A4013" w:rsidRDefault="00B614DD" w:rsidP="00C137CF">
      <w:pPr>
        <w:pStyle w:val="Quote"/>
        <w:spacing w:after="0"/>
        <w:ind w:left="284" w:right="284"/>
        <w:rPr>
          <w:i/>
        </w:rPr>
      </w:pPr>
      <w:r w:rsidRPr="008A4013">
        <w:rPr>
          <w:i/>
        </w:rPr>
        <w:t>“…</w:t>
      </w:r>
      <w:r w:rsidRPr="008A4013">
        <w:rPr>
          <w:b/>
          <w:bCs/>
          <w:i/>
          <w:u w:val="single"/>
        </w:rPr>
        <w:t>you</w:t>
      </w:r>
      <w:r w:rsidRPr="008A4013">
        <w:rPr>
          <w:i/>
        </w:rPr>
        <w:t xml:space="preserve"> get through it [high school], </w:t>
      </w:r>
      <w:r w:rsidRPr="008A4013">
        <w:rPr>
          <w:b/>
          <w:bCs/>
          <w:i/>
          <w:u w:val="single"/>
        </w:rPr>
        <w:t>you</w:t>
      </w:r>
      <w:r w:rsidRPr="008A4013">
        <w:rPr>
          <w:i/>
        </w:rPr>
        <w:t xml:space="preserve"> get to move out, </w:t>
      </w:r>
      <w:r w:rsidRPr="008A4013">
        <w:rPr>
          <w:b/>
          <w:bCs/>
          <w:i/>
          <w:u w:val="single"/>
        </w:rPr>
        <w:t>you</w:t>
      </w:r>
      <w:r w:rsidRPr="008A4013">
        <w:rPr>
          <w:i/>
        </w:rPr>
        <w:t xml:space="preserve"> get to go somewhere where </w:t>
      </w:r>
      <w:r w:rsidRPr="008A4013">
        <w:rPr>
          <w:bCs/>
          <w:i/>
        </w:rPr>
        <w:t>it</w:t>
      </w:r>
      <w:r w:rsidRPr="008A4013">
        <w:rPr>
          <w:i/>
        </w:rPr>
        <w:t xml:space="preserve"> is a non-issue, where people don’t give a crap that you’re gay…” </w:t>
      </w:r>
    </w:p>
    <w:p w14:paraId="16E2F013" w14:textId="77777777" w:rsidR="00B614DD" w:rsidRPr="008A4013" w:rsidRDefault="00B614DD" w:rsidP="00C137CF">
      <w:pPr>
        <w:pStyle w:val="Quote"/>
        <w:numPr>
          <w:ilvl w:val="0"/>
          <w:numId w:val="11"/>
        </w:numPr>
        <w:spacing w:after="0"/>
        <w:ind w:right="284"/>
      </w:pPr>
      <w:r w:rsidRPr="008A4013">
        <w:t>John</w:t>
      </w:r>
    </w:p>
    <w:p w14:paraId="1B20BB3F" w14:textId="77777777" w:rsidR="00B614DD" w:rsidRPr="008A4013" w:rsidRDefault="00B614DD" w:rsidP="00C137CF">
      <w:pPr>
        <w:pStyle w:val="Quote"/>
        <w:spacing w:after="0"/>
        <w:ind w:left="284" w:right="284"/>
        <w:rPr>
          <w:i/>
        </w:rPr>
      </w:pPr>
    </w:p>
    <w:p w14:paraId="51BC2CE0" w14:textId="77777777" w:rsidR="00B614DD" w:rsidRPr="008A4013" w:rsidRDefault="00B614DD" w:rsidP="00C137CF">
      <w:pPr>
        <w:pStyle w:val="Quote"/>
        <w:spacing w:after="0"/>
        <w:ind w:left="284" w:right="284"/>
        <w:rPr>
          <w:i/>
        </w:rPr>
      </w:pPr>
      <w:r w:rsidRPr="008A4013">
        <w:rPr>
          <w:i/>
        </w:rPr>
        <w:t xml:space="preserve">“When </w:t>
      </w:r>
      <w:r w:rsidRPr="008A4013">
        <w:rPr>
          <w:b/>
          <w:i/>
          <w:u w:val="single"/>
        </w:rPr>
        <w:t>you</w:t>
      </w:r>
      <w:r w:rsidRPr="008A4013">
        <w:rPr>
          <w:i/>
        </w:rPr>
        <w:t xml:space="preserve"> come out, when </w:t>
      </w:r>
      <w:r w:rsidRPr="008A4013">
        <w:rPr>
          <w:b/>
          <w:i/>
          <w:u w:val="single"/>
        </w:rPr>
        <w:t>you</w:t>
      </w:r>
      <w:r w:rsidRPr="008A4013">
        <w:rPr>
          <w:i/>
        </w:rPr>
        <w:t xml:space="preserve"> admit that you’re gay, when </w:t>
      </w:r>
      <w:r w:rsidRPr="008A4013">
        <w:rPr>
          <w:b/>
          <w:i/>
          <w:u w:val="single"/>
        </w:rPr>
        <w:t>you</w:t>
      </w:r>
      <w:r w:rsidRPr="008A4013">
        <w:rPr>
          <w:i/>
        </w:rPr>
        <w:t xml:space="preserve"> own it, it’s so much better.” </w:t>
      </w:r>
    </w:p>
    <w:p w14:paraId="3B126C6C" w14:textId="77777777" w:rsidR="00B614DD" w:rsidRPr="008A4013" w:rsidRDefault="00B614DD" w:rsidP="00C137CF">
      <w:pPr>
        <w:pStyle w:val="ListParagraph"/>
        <w:numPr>
          <w:ilvl w:val="0"/>
          <w:numId w:val="11"/>
        </w:numPr>
        <w:spacing w:line="240" w:lineRule="auto"/>
        <w:ind w:right="284"/>
      </w:pPr>
      <w:r w:rsidRPr="008A4013">
        <w:t>Chris</w:t>
      </w:r>
    </w:p>
    <w:p w14:paraId="4CD641B3" w14:textId="77777777" w:rsidR="00B614DD" w:rsidRPr="008A4013" w:rsidRDefault="00B614DD" w:rsidP="00C137CF">
      <w:pPr>
        <w:pStyle w:val="ListParagraph"/>
        <w:spacing w:line="240" w:lineRule="auto"/>
        <w:ind w:left="644" w:right="284" w:firstLine="0"/>
      </w:pPr>
    </w:p>
    <w:p w14:paraId="52A36165" w14:textId="77777777" w:rsidR="00B614DD" w:rsidRPr="008A4013" w:rsidRDefault="00B614DD" w:rsidP="00C137CF">
      <w:pPr>
        <w:tabs>
          <w:tab w:val="left" w:pos="709"/>
        </w:tabs>
        <w:spacing w:line="276" w:lineRule="auto"/>
        <w:ind w:left="284" w:right="284" w:firstLine="0"/>
        <w:jc w:val="both"/>
        <w:rPr>
          <w:i/>
        </w:rPr>
      </w:pPr>
      <w:r w:rsidRPr="008A4013">
        <w:rPr>
          <w:i/>
        </w:rPr>
        <w:t>“So um especially</w:t>
      </w:r>
      <w:r w:rsidRPr="008A4013">
        <w:rPr>
          <w:b/>
          <w:i/>
          <w:u w:val="single"/>
        </w:rPr>
        <w:t xml:space="preserve"> if you’re</w:t>
      </w:r>
      <w:r w:rsidRPr="008A4013">
        <w:rPr>
          <w:i/>
        </w:rPr>
        <w:t xml:space="preserve"> in the West,</w:t>
      </w:r>
      <w:r w:rsidRPr="008A4013">
        <w:rPr>
          <w:b/>
          <w:i/>
        </w:rPr>
        <w:t xml:space="preserve"> </w:t>
      </w:r>
      <w:r w:rsidRPr="008A4013">
        <w:rPr>
          <w:b/>
          <w:i/>
          <w:u w:val="single"/>
        </w:rPr>
        <w:t>if you’re</w:t>
      </w:r>
      <w:r w:rsidRPr="008A4013">
        <w:rPr>
          <w:i/>
        </w:rPr>
        <w:t xml:space="preserve"> in America, </w:t>
      </w:r>
      <w:r w:rsidRPr="008A4013">
        <w:rPr>
          <w:b/>
          <w:i/>
          <w:u w:val="single"/>
        </w:rPr>
        <w:t>if you’re</w:t>
      </w:r>
      <w:r w:rsidRPr="008A4013">
        <w:rPr>
          <w:i/>
        </w:rPr>
        <w:t xml:space="preserve"> in Canada, </w:t>
      </w:r>
      <w:r w:rsidRPr="008A4013">
        <w:rPr>
          <w:b/>
          <w:i/>
          <w:u w:val="single"/>
        </w:rPr>
        <w:t>if you’re</w:t>
      </w:r>
      <w:r w:rsidRPr="008A4013">
        <w:rPr>
          <w:i/>
        </w:rPr>
        <w:t xml:space="preserve"> in London, don’t be afraid to be yourself. Don’t be afraid of your parents, your family. </w:t>
      </w:r>
      <w:r w:rsidRPr="008A4013">
        <w:rPr>
          <w:b/>
          <w:i/>
          <w:u w:val="single"/>
        </w:rPr>
        <w:t>I would</w:t>
      </w:r>
      <w:r w:rsidRPr="008A4013">
        <w:rPr>
          <w:i/>
        </w:rPr>
        <w:t xml:space="preserve"> hope and guarantee that they would respond kindly. </w:t>
      </w:r>
      <w:r w:rsidRPr="008A4013">
        <w:rPr>
          <w:b/>
          <w:i/>
          <w:u w:val="single"/>
        </w:rPr>
        <w:t>I can’t promise</w:t>
      </w:r>
      <w:r w:rsidRPr="008A4013">
        <w:rPr>
          <w:i/>
        </w:rPr>
        <w:t xml:space="preserve">, </w:t>
      </w:r>
      <w:r w:rsidRPr="008A4013">
        <w:rPr>
          <w:b/>
          <w:i/>
          <w:u w:val="single"/>
        </w:rPr>
        <w:t>I’m of a specific situation</w:t>
      </w:r>
      <w:r w:rsidRPr="008A4013">
        <w:rPr>
          <w:i/>
        </w:rPr>
        <w:t xml:space="preserve">, but </w:t>
      </w:r>
      <w:r w:rsidRPr="008A4013">
        <w:rPr>
          <w:b/>
          <w:i/>
          <w:u w:val="single"/>
        </w:rPr>
        <w:t>I think</w:t>
      </w:r>
      <w:r w:rsidRPr="008A4013">
        <w:rPr>
          <w:i/>
        </w:rPr>
        <w:t xml:space="preserve"> it’ll all work out from the best.”</w:t>
      </w:r>
    </w:p>
    <w:p w14:paraId="60DC32B6" w14:textId="702266E0" w:rsidR="00B614DD" w:rsidRPr="008A4013" w:rsidRDefault="00D359A7" w:rsidP="00C137CF">
      <w:pPr>
        <w:pStyle w:val="ListParagraph"/>
        <w:numPr>
          <w:ilvl w:val="0"/>
          <w:numId w:val="11"/>
        </w:numPr>
        <w:spacing w:line="240" w:lineRule="auto"/>
        <w:ind w:right="284"/>
      </w:pPr>
      <w:r w:rsidRPr="008A4013">
        <w:t>Anonymous B</w:t>
      </w:r>
    </w:p>
    <w:p w14:paraId="7A9253D8" w14:textId="77777777" w:rsidR="00B614DD" w:rsidRPr="008A4013" w:rsidRDefault="00B614DD" w:rsidP="00C137CF">
      <w:pPr>
        <w:spacing w:line="240" w:lineRule="auto"/>
        <w:ind w:right="284" w:firstLine="0"/>
        <w:rPr>
          <w:u w:val="single"/>
        </w:rPr>
      </w:pPr>
    </w:p>
    <w:p w14:paraId="5AA77C9A" w14:textId="77777777" w:rsidR="00B614DD" w:rsidRPr="008A4013" w:rsidRDefault="00F71F9F" w:rsidP="00C137CF">
      <w:pPr>
        <w:spacing w:line="240" w:lineRule="auto"/>
        <w:ind w:left="284" w:right="284" w:firstLine="0"/>
      </w:pPr>
      <w:r w:rsidRPr="008A4013">
        <w:rPr>
          <w:u w:val="single"/>
        </w:rPr>
        <w:t>Spokespeople</w:t>
      </w:r>
      <w:r w:rsidR="00B614DD" w:rsidRPr="008A4013">
        <w:rPr>
          <w:u w:val="single"/>
        </w:rPr>
        <w:t>:</w:t>
      </w:r>
    </w:p>
    <w:p w14:paraId="666418F4" w14:textId="6363A9D4" w:rsidR="00B614DD" w:rsidRPr="008A4013" w:rsidRDefault="00B614DD" w:rsidP="00C137CF">
      <w:pPr>
        <w:pStyle w:val="Quote"/>
        <w:spacing w:after="0"/>
        <w:ind w:left="284" w:right="284"/>
        <w:rPr>
          <w:i/>
        </w:rPr>
      </w:pPr>
      <w:r w:rsidRPr="008A4013">
        <w:rPr>
          <w:i/>
        </w:rPr>
        <w:t>“</w:t>
      </w:r>
      <w:r w:rsidRPr="008A4013">
        <w:rPr>
          <w:b/>
          <w:bCs/>
          <w:i/>
          <w:u w:val="single"/>
        </w:rPr>
        <w:t>I’m</w:t>
      </w:r>
      <w:r w:rsidRPr="008A4013">
        <w:rPr>
          <w:b/>
          <w:bCs/>
          <w:i/>
        </w:rPr>
        <w:t xml:space="preserve"> </w:t>
      </w:r>
      <w:r w:rsidRPr="008A4013">
        <w:rPr>
          <w:bCs/>
          <w:i/>
        </w:rPr>
        <w:t xml:space="preserve">here to talk to </w:t>
      </w:r>
      <w:r w:rsidRPr="008A4013">
        <w:rPr>
          <w:b/>
          <w:bCs/>
          <w:i/>
          <w:u w:val="single"/>
        </w:rPr>
        <w:t xml:space="preserve">those of you </w:t>
      </w:r>
      <w:r w:rsidRPr="008A4013">
        <w:rPr>
          <w:i/>
        </w:rPr>
        <w:t xml:space="preserve">who are gay, or lesbian, bisexual, or transgender, who are feeling like </w:t>
      </w:r>
      <w:r w:rsidRPr="008A4013">
        <w:rPr>
          <w:b/>
          <w:i/>
          <w:u w:val="single"/>
        </w:rPr>
        <w:t>you’re</w:t>
      </w:r>
      <w:r w:rsidRPr="008A4013">
        <w:rPr>
          <w:i/>
        </w:rPr>
        <w:t xml:space="preserve"> in a really dark place right now. […] </w:t>
      </w:r>
      <w:r w:rsidRPr="008A4013">
        <w:rPr>
          <w:b/>
          <w:bCs/>
          <w:i/>
          <w:u w:val="single"/>
        </w:rPr>
        <w:t xml:space="preserve">Maybe you’re </w:t>
      </w:r>
      <w:r w:rsidRPr="008A4013">
        <w:rPr>
          <w:i/>
        </w:rPr>
        <w:t xml:space="preserve">growing up in a Roman Catholic household, and </w:t>
      </w:r>
      <w:r w:rsidRPr="008A4013">
        <w:rPr>
          <w:b/>
          <w:i/>
          <w:u w:val="single"/>
        </w:rPr>
        <w:t>you</w:t>
      </w:r>
      <w:r w:rsidRPr="008A4013">
        <w:rPr>
          <w:i/>
        </w:rPr>
        <w:t xml:space="preserve"> hear from </w:t>
      </w:r>
      <w:r w:rsidRPr="008A4013">
        <w:rPr>
          <w:b/>
          <w:i/>
          <w:u w:val="single"/>
        </w:rPr>
        <w:t>your</w:t>
      </w:r>
      <w:r w:rsidRPr="008A4013">
        <w:rPr>
          <w:i/>
        </w:rPr>
        <w:t xml:space="preserve"> church that </w:t>
      </w:r>
      <w:r w:rsidRPr="008A4013">
        <w:rPr>
          <w:b/>
          <w:i/>
          <w:u w:val="single"/>
        </w:rPr>
        <w:t>you</w:t>
      </w:r>
      <w:r w:rsidRPr="008A4013">
        <w:rPr>
          <w:i/>
        </w:rPr>
        <w:t xml:space="preserve"> are intrinsically disordered. […] </w:t>
      </w:r>
      <w:r w:rsidRPr="008A4013">
        <w:rPr>
          <w:b/>
          <w:i/>
          <w:u w:val="single"/>
        </w:rPr>
        <w:t>God</w:t>
      </w:r>
      <w:r w:rsidRPr="008A4013">
        <w:rPr>
          <w:i/>
        </w:rPr>
        <w:t xml:space="preserve"> loves </w:t>
      </w:r>
      <w:r w:rsidRPr="008A4013">
        <w:rPr>
          <w:b/>
          <w:i/>
          <w:u w:val="single"/>
        </w:rPr>
        <w:t>you</w:t>
      </w:r>
      <w:r w:rsidRPr="008A4013">
        <w:rPr>
          <w:i/>
        </w:rPr>
        <w:t xml:space="preserve"> the way </w:t>
      </w:r>
      <w:r w:rsidRPr="008A4013">
        <w:rPr>
          <w:b/>
          <w:i/>
          <w:u w:val="single"/>
        </w:rPr>
        <w:t>you</w:t>
      </w:r>
      <w:r w:rsidRPr="008A4013">
        <w:rPr>
          <w:i/>
        </w:rPr>
        <w:t xml:space="preserve"> are, and </w:t>
      </w:r>
      <w:r w:rsidRPr="008A4013">
        <w:rPr>
          <w:b/>
          <w:i/>
          <w:u w:val="single"/>
        </w:rPr>
        <w:t>God</w:t>
      </w:r>
      <w:r w:rsidRPr="008A4013">
        <w:rPr>
          <w:i/>
        </w:rPr>
        <w:t xml:space="preserve"> doesn’t want </w:t>
      </w:r>
      <w:r w:rsidRPr="008A4013">
        <w:rPr>
          <w:b/>
          <w:i/>
          <w:u w:val="single"/>
        </w:rPr>
        <w:t>you</w:t>
      </w:r>
      <w:r w:rsidRPr="008A4013">
        <w:rPr>
          <w:i/>
        </w:rPr>
        <w:t xml:space="preserve"> to change… </w:t>
      </w:r>
      <w:r w:rsidRPr="008A4013">
        <w:rPr>
          <w:b/>
          <w:i/>
          <w:u w:val="single"/>
        </w:rPr>
        <w:t>You’re</w:t>
      </w:r>
      <w:r w:rsidRPr="008A4013">
        <w:rPr>
          <w:i/>
        </w:rPr>
        <w:t xml:space="preserve"> the way </w:t>
      </w:r>
      <w:r w:rsidRPr="008A4013">
        <w:rPr>
          <w:b/>
          <w:i/>
          <w:u w:val="single"/>
        </w:rPr>
        <w:t>you</w:t>
      </w:r>
      <w:r w:rsidRPr="008A4013">
        <w:rPr>
          <w:i/>
        </w:rPr>
        <w:t xml:space="preserve"> are, the way </w:t>
      </w:r>
      <w:r w:rsidRPr="008A4013">
        <w:rPr>
          <w:b/>
          <w:i/>
          <w:u w:val="single"/>
        </w:rPr>
        <w:t>God</w:t>
      </w:r>
      <w:r w:rsidRPr="008A4013">
        <w:rPr>
          <w:i/>
        </w:rPr>
        <w:t xml:space="preserve"> made </w:t>
      </w:r>
      <w:r w:rsidRPr="008A4013">
        <w:rPr>
          <w:b/>
          <w:i/>
          <w:u w:val="single"/>
        </w:rPr>
        <w:t>you</w:t>
      </w:r>
      <w:r w:rsidRPr="008A4013">
        <w:rPr>
          <w:i/>
        </w:rPr>
        <w:t xml:space="preserve">, and the way </w:t>
      </w:r>
      <w:r w:rsidRPr="008A4013">
        <w:rPr>
          <w:b/>
          <w:i/>
          <w:u w:val="single"/>
        </w:rPr>
        <w:t>God</w:t>
      </w:r>
      <w:r w:rsidRPr="008A4013">
        <w:rPr>
          <w:i/>
        </w:rPr>
        <w:t xml:space="preserve"> loves </w:t>
      </w:r>
      <w:r w:rsidRPr="008A4013">
        <w:rPr>
          <w:b/>
          <w:i/>
          <w:u w:val="single"/>
        </w:rPr>
        <w:t>you</w:t>
      </w:r>
      <w:r w:rsidR="00C20803" w:rsidRPr="008A4013">
        <w:rPr>
          <w:i/>
        </w:rPr>
        <w:t>.</w:t>
      </w:r>
      <w:r w:rsidRPr="008A4013">
        <w:rPr>
          <w:i/>
        </w:rPr>
        <w:t xml:space="preserve">” </w:t>
      </w:r>
    </w:p>
    <w:p w14:paraId="291E2FE5" w14:textId="77777777" w:rsidR="00B614DD" w:rsidRPr="008A4013" w:rsidRDefault="00B614DD" w:rsidP="00C137CF">
      <w:pPr>
        <w:pStyle w:val="Quote"/>
        <w:numPr>
          <w:ilvl w:val="0"/>
          <w:numId w:val="11"/>
        </w:numPr>
        <w:spacing w:after="0"/>
        <w:ind w:right="284"/>
      </w:pPr>
      <w:r w:rsidRPr="008A4013">
        <w:t>Gene Robinson, Bishop of New Hampshire Episcopal Church</w:t>
      </w:r>
    </w:p>
    <w:p w14:paraId="06202336" w14:textId="77777777" w:rsidR="00F71F9F" w:rsidRPr="008A4013" w:rsidRDefault="00F71F9F" w:rsidP="00C137CF">
      <w:pPr>
        <w:spacing w:line="240" w:lineRule="auto"/>
        <w:ind w:firstLine="0"/>
      </w:pPr>
    </w:p>
    <w:p w14:paraId="19F378E1" w14:textId="5EF69306" w:rsidR="00B614DD" w:rsidRPr="008A4013" w:rsidRDefault="00C20803" w:rsidP="00C137CF">
      <w:pPr>
        <w:spacing w:line="240" w:lineRule="auto"/>
        <w:ind w:left="284" w:right="284" w:firstLine="0"/>
        <w:jc w:val="both"/>
        <w:rPr>
          <w:i/>
        </w:rPr>
      </w:pPr>
      <w:r w:rsidRPr="008A4013">
        <w:rPr>
          <w:i/>
        </w:rPr>
        <w:t>“</w:t>
      </w:r>
      <w:r w:rsidR="00B614DD" w:rsidRPr="008A4013">
        <w:rPr>
          <w:b/>
          <w:i/>
          <w:u w:val="single"/>
        </w:rPr>
        <w:t>I</w:t>
      </w:r>
      <w:r w:rsidR="00B614DD" w:rsidRPr="008A4013">
        <w:rPr>
          <w:i/>
        </w:rPr>
        <w:t xml:space="preserve"> direct the faith work at the</w:t>
      </w:r>
      <w:r w:rsidR="00F71F9F" w:rsidRPr="008A4013">
        <w:rPr>
          <w:i/>
        </w:rPr>
        <w:t xml:space="preserve"> National Gay and Lesbian Taskf</w:t>
      </w:r>
      <w:r w:rsidR="00B614DD" w:rsidRPr="008A4013">
        <w:rPr>
          <w:i/>
        </w:rPr>
        <w:t xml:space="preserve">orce. And </w:t>
      </w:r>
      <w:r w:rsidR="00B614DD" w:rsidRPr="008A4013">
        <w:rPr>
          <w:b/>
          <w:i/>
          <w:u w:val="single"/>
        </w:rPr>
        <w:t>we’re</w:t>
      </w:r>
      <w:r w:rsidR="00B614DD" w:rsidRPr="008A4013">
        <w:rPr>
          <w:i/>
        </w:rPr>
        <w:t xml:space="preserve"> here to say it gets better. And </w:t>
      </w:r>
      <w:r w:rsidR="00B614DD" w:rsidRPr="008A4013">
        <w:rPr>
          <w:b/>
          <w:i/>
          <w:u w:val="single"/>
        </w:rPr>
        <w:t>we want you to know</w:t>
      </w:r>
      <w:r w:rsidR="00B614DD" w:rsidRPr="008A4013">
        <w:rPr>
          <w:i/>
        </w:rPr>
        <w:t xml:space="preserve"> that there are people o</w:t>
      </w:r>
      <w:r w:rsidR="00F71F9F" w:rsidRPr="008A4013">
        <w:rPr>
          <w:i/>
        </w:rPr>
        <w:t>f faith in every single religiou</w:t>
      </w:r>
      <w:r w:rsidR="00B614DD" w:rsidRPr="008A4013">
        <w:rPr>
          <w:i/>
        </w:rPr>
        <w:t xml:space="preserve">s tradition: Jews, and Christians, and Muslims, and Hindus, and </w:t>
      </w:r>
      <w:r w:rsidR="008F1A59" w:rsidRPr="008A4013">
        <w:rPr>
          <w:i/>
        </w:rPr>
        <w:t>Baha’i</w:t>
      </w:r>
      <w:r w:rsidR="00B614DD" w:rsidRPr="008A4013">
        <w:rPr>
          <w:i/>
        </w:rPr>
        <w:t xml:space="preserve">, and Pagan, and every religious tradition across the world, that love </w:t>
      </w:r>
      <w:r w:rsidR="00B614DD" w:rsidRPr="008A4013">
        <w:rPr>
          <w:b/>
          <w:i/>
          <w:u w:val="single"/>
        </w:rPr>
        <w:t>you</w:t>
      </w:r>
      <w:r w:rsidR="00B614DD" w:rsidRPr="008A4013">
        <w:rPr>
          <w:i/>
        </w:rPr>
        <w:t xml:space="preserve"> and believe that in the core of </w:t>
      </w:r>
      <w:r w:rsidR="00B614DD" w:rsidRPr="008A4013">
        <w:rPr>
          <w:b/>
          <w:i/>
          <w:u w:val="single"/>
        </w:rPr>
        <w:t>your</w:t>
      </w:r>
      <w:r w:rsidR="00B614DD" w:rsidRPr="008A4013">
        <w:rPr>
          <w:i/>
        </w:rPr>
        <w:t xml:space="preserve"> being, God loves </w:t>
      </w:r>
      <w:r w:rsidR="00B614DD" w:rsidRPr="008A4013">
        <w:rPr>
          <w:b/>
          <w:i/>
          <w:u w:val="single"/>
        </w:rPr>
        <w:t>you</w:t>
      </w:r>
      <w:r w:rsidR="00B614DD" w:rsidRPr="008A4013">
        <w:rPr>
          <w:i/>
        </w:rPr>
        <w:t>.</w:t>
      </w:r>
      <w:r w:rsidRPr="008A4013">
        <w:rPr>
          <w:i/>
        </w:rPr>
        <w:t>”</w:t>
      </w:r>
    </w:p>
    <w:p w14:paraId="2C71144D" w14:textId="77777777" w:rsidR="00F71F9F" w:rsidRPr="008A4013" w:rsidRDefault="00F71F9F" w:rsidP="00C137CF">
      <w:pPr>
        <w:pStyle w:val="ListParagraph"/>
        <w:numPr>
          <w:ilvl w:val="0"/>
          <w:numId w:val="11"/>
        </w:numPr>
        <w:spacing w:line="240" w:lineRule="auto"/>
        <w:ind w:right="284"/>
        <w:jc w:val="both"/>
      </w:pPr>
      <w:r w:rsidRPr="008A4013">
        <w:t>Rev</w:t>
      </w:r>
      <w:r w:rsidR="000A4FC6" w:rsidRPr="008A4013">
        <w:t>erend</w:t>
      </w:r>
      <w:r w:rsidRPr="008A4013">
        <w:t xml:space="preserve"> Rebecca </w:t>
      </w:r>
      <w:proofErr w:type="spellStart"/>
      <w:r w:rsidRPr="008A4013">
        <w:t>Voelkel</w:t>
      </w:r>
      <w:proofErr w:type="spellEnd"/>
      <w:r w:rsidRPr="008A4013">
        <w:t>, United Church of Christ, Program Director, Institute for Welcoming Resource at the National Gay and Lesbian Taskforce.</w:t>
      </w:r>
    </w:p>
    <w:p w14:paraId="0924892B" w14:textId="77777777" w:rsidR="00F71F9F" w:rsidRPr="008A4013" w:rsidRDefault="00F71F9F" w:rsidP="00C137CF">
      <w:pPr>
        <w:tabs>
          <w:tab w:val="left" w:pos="709"/>
        </w:tabs>
        <w:ind w:firstLine="0"/>
      </w:pPr>
    </w:p>
    <w:p w14:paraId="59AEFD21" w14:textId="3A28C113" w:rsidR="00AD3F7F" w:rsidRPr="008A4013" w:rsidRDefault="00AD3F7F" w:rsidP="00C137CF">
      <w:pPr>
        <w:tabs>
          <w:tab w:val="left" w:pos="709"/>
        </w:tabs>
        <w:ind w:firstLine="0"/>
      </w:pPr>
      <w:r w:rsidRPr="008A4013">
        <w:t xml:space="preserve">In her discussion of language, power and agency Laura Ahearn draws attention to Bourdieu’s notion of habitus to argue that “we are </w:t>
      </w:r>
      <w:r w:rsidRPr="008A4013">
        <w:rPr>
          <w:i/>
        </w:rPr>
        <w:t>predisposed</w:t>
      </w:r>
      <w:r w:rsidRPr="008A4013">
        <w:t xml:space="preserve">, not </w:t>
      </w:r>
      <w:r w:rsidRPr="008A4013">
        <w:rPr>
          <w:i/>
        </w:rPr>
        <w:t>predetermined</w:t>
      </w:r>
      <w:r w:rsidRPr="008A4013">
        <w:t xml:space="preserve"> to act, think and speak in certain ways” </w:t>
      </w:r>
      <w:r w:rsidR="008248C7" w:rsidRPr="008A4013">
        <w:fldChar w:fldCharType="begin"/>
      </w:r>
      <w:r w:rsidR="00A52215" w:rsidRPr="008A4013">
        <w:instrText xml:space="preserve"> ADDIN EN.CITE &lt;EndNote&gt;&lt;Cite ExcludeAuth="1"&gt;&lt;Author&gt;Ahearn&lt;/Author&gt;&lt;Year&gt;2012&lt;/Year&gt;&lt;RecNum&gt;51&lt;/RecNum&gt;&lt;Suffix&gt; italics original&lt;/Suffix&gt;&lt;Pages&gt;266&lt;/Pages&gt;&lt;DisplayText&gt;(2012: 266 italics original)&lt;/DisplayText&gt;&lt;record&gt;&lt;rec-number&gt;51&lt;/rec-number&gt;&lt;foreign-keys&gt;&lt;key app="EN" db-id="x0x2x9vw3vz5wretwfnpsavdxe0w5pfpzees"&gt;51&lt;/key&gt;&lt;/foreign-keys&gt;&lt;ref-type name="Book"&gt;6&lt;/ref-type&gt;&lt;contributors&gt;&lt;authors&gt;&lt;author&gt;Laura Ahearn&lt;/author&gt;&lt;/authors&gt;&lt;/contributors&gt;&lt;titles&gt;&lt;title&gt;Living Language: An Introduction to Linguistic Anthropology&lt;/title&gt;&lt;/titles&gt;&lt;pages&gt;109-137&lt;/pages&gt;&lt;dates&gt;&lt;year&gt;2012&lt;/year&gt;&lt;/dates&gt;&lt;pub-location&gt;Malden MA&lt;/pub-location&gt;&lt;publisher&gt;Blackwell&lt;/publisher&gt;&lt;urls&gt;&lt;/urls&gt;&lt;/record&gt;&lt;/Cite&gt;&lt;/EndNote&gt;</w:instrText>
      </w:r>
      <w:r w:rsidR="008248C7" w:rsidRPr="008A4013">
        <w:fldChar w:fldCharType="separate"/>
      </w:r>
      <w:r w:rsidR="00A52215" w:rsidRPr="008A4013">
        <w:rPr>
          <w:noProof/>
        </w:rPr>
        <w:t>(</w:t>
      </w:r>
      <w:hyperlink w:anchor="_ENREF_1" w:tooltip="Ahearn, 2012 #51" w:history="1">
        <w:r w:rsidR="00DE221F" w:rsidRPr="008A4013">
          <w:rPr>
            <w:noProof/>
          </w:rPr>
          <w:t>2012: 266 italics original</w:t>
        </w:r>
      </w:hyperlink>
      <w:r w:rsidR="00A52215" w:rsidRPr="008A4013">
        <w:rPr>
          <w:noProof/>
        </w:rPr>
        <w:t>)</w:t>
      </w:r>
      <w:r w:rsidR="008248C7" w:rsidRPr="008A4013">
        <w:fldChar w:fldCharType="end"/>
      </w:r>
      <w:r w:rsidRPr="008A4013">
        <w:t xml:space="preserve">. Following Bourdieu, Ahearn argues that it is the responsibility of the dominated classes to kick back against those taken-for-granted assumptions, or </w:t>
      </w:r>
      <w:r w:rsidRPr="008A4013">
        <w:rPr>
          <w:i/>
        </w:rPr>
        <w:t>doxa</w:t>
      </w:r>
      <w:r w:rsidRPr="008A4013">
        <w:t>, that shore up current alignments and structures of power</w:t>
      </w:r>
      <w:r w:rsidR="004E1812" w:rsidRPr="008A4013">
        <w:t xml:space="preserve"> </w:t>
      </w:r>
      <w:r w:rsidR="004E1812" w:rsidRPr="008A4013">
        <w:fldChar w:fldCharType="begin"/>
      </w:r>
      <w:r w:rsidR="004E1812" w:rsidRPr="008A4013">
        <w:instrText xml:space="preserve"> ADDIN EN.CITE &lt;EndNote&gt;&lt;Cite ExcludeAuth="1"&gt;&lt;Author&gt;Ahearn&lt;/Author&gt;&lt;Year&gt;2012&lt;/Year&gt;&lt;RecNum&gt;51&lt;/RecNum&gt;&lt;Pages&gt;268-270&lt;/Pages&gt;&lt;DisplayText&gt;(2012: 268-270)&lt;/DisplayText&gt;&lt;record&gt;&lt;rec-number&gt;51&lt;/rec-number&gt;&lt;foreign-keys&gt;&lt;key app="EN" db-id="x0x2x9vw3vz5wretwfnpsavdxe0w5pfpzees"&gt;51&lt;/key&gt;&lt;/foreign-keys&gt;&lt;ref-type name="Book"&gt;6&lt;/ref-type&gt;&lt;contributors&gt;&lt;authors&gt;&lt;author&gt;Laura Ahearn&lt;/author&gt;&lt;/authors&gt;&lt;/contributors&gt;&lt;titles&gt;&lt;title&gt;Living Language: An Introduction to Linguistic Anthropology&lt;/title&gt;&lt;/titles&gt;&lt;pages&gt;109-137&lt;/pages&gt;&lt;dates&gt;&lt;year&gt;2012&lt;/year&gt;&lt;/dates&gt;&lt;pub-location&gt;Malden MA&lt;/pub-location&gt;&lt;publisher&gt;Blackwell&lt;/publisher&gt;&lt;urls&gt;&lt;/urls&gt;&lt;/record&gt;&lt;/Cite&gt;&lt;/EndNote&gt;</w:instrText>
      </w:r>
      <w:r w:rsidR="004E1812" w:rsidRPr="008A4013">
        <w:fldChar w:fldCharType="separate"/>
      </w:r>
      <w:r w:rsidR="004E1812" w:rsidRPr="008A4013">
        <w:rPr>
          <w:noProof/>
        </w:rPr>
        <w:t>(</w:t>
      </w:r>
      <w:hyperlink w:anchor="_ENREF_1" w:tooltip="Ahearn, 2012 #51" w:history="1">
        <w:r w:rsidR="00DE221F" w:rsidRPr="008A4013">
          <w:rPr>
            <w:noProof/>
          </w:rPr>
          <w:t>2012: 268-</w:t>
        </w:r>
        <w:r w:rsidR="00DE221F" w:rsidRPr="008A4013">
          <w:rPr>
            <w:noProof/>
          </w:rPr>
          <w:lastRenderedPageBreak/>
          <w:t>270</w:t>
        </w:r>
      </w:hyperlink>
      <w:r w:rsidR="004E1812" w:rsidRPr="008A4013">
        <w:rPr>
          <w:noProof/>
        </w:rPr>
        <w:t>)</w:t>
      </w:r>
      <w:r w:rsidR="004E1812" w:rsidRPr="008A4013">
        <w:fldChar w:fldCharType="end"/>
      </w:r>
      <w:r w:rsidRPr="008A4013">
        <w:t xml:space="preserve">. It therefore falls to the dominant class to assert and defend </w:t>
      </w:r>
      <w:r w:rsidRPr="008A4013">
        <w:rPr>
          <w:i/>
        </w:rPr>
        <w:t>doxa</w:t>
      </w:r>
      <w:r w:rsidRPr="008A4013">
        <w:t xml:space="preserve">. I understand the ability to do either as agency, “the socio-culturally mediated power to act” </w:t>
      </w:r>
      <w:r w:rsidR="004E1812" w:rsidRPr="008A4013">
        <w:fldChar w:fldCharType="begin"/>
      </w:r>
      <w:r w:rsidR="004E1812" w:rsidRPr="008A4013">
        <w:instrText xml:space="preserve"> ADDIN EN.CITE &lt;EndNote&gt;&lt;Cite&gt;&lt;Author&gt;Ahearn&lt;/Author&gt;&lt;Year&gt;2012&lt;/Year&gt;&lt;RecNum&gt;51&lt;/RecNum&gt;&lt;Pages&gt;278&lt;/Pages&gt;&lt;DisplayText&gt;(Ahearn 2012: 278)&lt;/DisplayText&gt;&lt;record&gt;&lt;rec-number&gt;51&lt;/rec-number&gt;&lt;foreign-keys&gt;&lt;key app="EN" db-id="x0x2x9vw3vz5wretwfnpsavdxe0w5pfpzees"&gt;51&lt;/key&gt;&lt;/foreign-keys&gt;&lt;ref-type name="Book"&gt;6&lt;/ref-type&gt;&lt;contributors&gt;&lt;authors&gt;&lt;author&gt;Laura Ahearn&lt;/author&gt;&lt;/authors&gt;&lt;/contributors&gt;&lt;titles&gt;&lt;title&gt;Living Language: An Introduction to Linguistic Anthropology&lt;/title&gt;&lt;/titles&gt;&lt;pages&gt;109-137&lt;/pages&gt;&lt;dates&gt;&lt;year&gt;2012&lt;/year&gt;&lt;/dates&gt;&lt;pub-location&gt;Malden MA&lt;/pub-location&gt;&lt;publisher&gt;Blackwell&lt;/publisher&gt;&lt;urls&gt;&lt;/urls&gt;&lt;/record&gt;&lt;/Cite&gt;&lt;/EndNote&gt;</w:instrText>
      </w:r>
      <w:r w:rsidR="004E1812" w:rsidRPr="008A4013">
        <w:fldChar w:fldCharType="separate"/>
      </w:r>
      <w:r w:rsidR="004E1812" w:rsidRPr="008A4013">
        <w:rPr>
          <w:noProof/>
        </w:rPr>
        <w:t>(</w:t>
      </w:r>
      <w:hyperlink w:anchor="_ENREF_1" w:tooltip="Ahearn, 2012 #51" w:history="1">
        <w:r w:rsidR="00DE221F" w:rsidRPr="008A4013">
          <w:rPr>
            <w:noProof/>
          </w:rPr>
          <w:t>Ahearn 2012: 278</w:t>
        </w:r>
      </w:hyperlink>
      <w:r w:rsidR="004E1812" w:rsidRPr="008A4013">
        <w:rPr>
          <w:noProof/>
        </w:rPr>
        <w:t>)</w:t>
      </w:r>
      <w:r w:rsidR="004E1812" w:rsidRPr="008A4013">
        <w:fldChar w:fldCharType="end"/>
      </w:r>
      <w:r w:rsidR="004E1812" w:rsidRPr="008A4013">
        <w:t>.</w:t>
      </w:r>
    </w:p>
    <w:p w14:paraId="2931B1E8" w14:textId="575C9509" w:rsidR="007938B3" w:rsidRPr="008A4013" w:rsidRDefault="00AD3F7F" w:rsidP="00C137CF">
      <w:pPr>
        <w:tabs>
          <w:tab w:val="left" w:pos="709"/>
        </w:tabs>
        <w:ind w:firstLine="0"/>
        <w:rPr>
          <w:b/>
        </w:rPr>
      </w:pPr>
      <w:r w:rsidRPr="008A4013">
        <w:tab/>
        <w:t xml:space="preserve">For the speakers in this data set, agency is differentially </w:t>
      </w:r>
      <w:r w:rsidR="008F1A59" w:rsidRPr="008A4013">
        <w:t>recognized</w:t>
      </w:r>
      <w:r w:rsidRPr="008A4013">
        <w:t xml:space="preserve"> and attributed. The acknowledgement or suppression of agency, I suggest, reveals salient assumptions as to how “it gets better”—or more precisely </w:t>
      </w:r>
      <w:r w:rsidRPr="008A4013">
        <w:rPr>
          <w:i/>
        </w:rPr>
        <w:t>who</w:t>
      </w:r>
      <w:r w:rsidRPr="008A4013">
        <w:t>, if anyone, has the capacity to ensure that such a change occurs.</w:t>
      </w:r>
      <w:r w:rsidR="00B614DD" w:rsidRPr="008A4013">
        <w:t xml:space="preserve"> </w:t>
      </w:r>
      <w:r w:rsidR="007938B3" w:rsidRPr="008A4013">
        <w:t xml:space="preserve">Three agents recur in </w:t>
      </w:r>
      <w:r w:rsidR="00B614DD" w:rsidRPr="008A4013">
        <w:t xml:space="preserve">the </w:t>
      </w:r>
      <w:r w:rsidR="00C20803" w:rsidRPr="008A4013">
        <w:t>dat</w:t>
      </w:r>
      <w:r w:rsidR="00E54C7E" w:rsidRPr="008A4013">
        <w:t>a: “I,”</w:t>
      </w:r>
      <w:r w:rsidR="00C20803" w:rsidRPr="008A4013">
        <w:t xml:space="preserve"> the speaker; “God,”</w:t>
      </w:r>
      <w:r w:rsidR="007938B3" w:rsidRPr="008A4013">
        <w:t xml:space="preserve"> and “y</w:t>
      </w:r>
      <w:r w:rsidR="00C20803" w:rsidRPr="008A4013">
        <w:t xml:space="preserve">ou” the imagined viewer. “You,” </w:t>
      </w:r>
      <w:r w:rsidR="007938B3" w:rsidRPr="008A4013">
        <w:t>however, variably indexes “I” the speaker as well as “you” the listener</w:t>
      </w:r>
      <w:r w:rsidR="00E64905" w:rsidRPr="008A4013">
        <w:t>, particularly in laypeople’s speech</w:t>
      </w:r>
      <w:r w:rsidR="00B614DD" w:rsidRPr="008A4013">
        <w:t xml:space="preserve">, an example of deictic projection </w:t>
      </w:r>
      <w:r w:rsidR="008248C7" w:rsidRPr="008A4013">
        <w:fldChar w:fldCharType="begin"/>
      </w:r>
      <w:r w:rsidR="00B614DD" w:rsidRPr="008A4013">
        <w:instrText xml:space="preserve"> ADDIN EN.CITE &lt;EndNote&gt;&lt;Cite&gt;&lt;Author&gt;Levinson&lt;/Author&gt;&lt;Year&gt;1984&lt;/Year&gt;&lt;RecNum&gt;50&lt;/RecNum&gt;&lt;Pages&gt;63&lt;/Pages&gt;&lt;DisplayText&gt;(Levinson 1984: 63)&lt;/DisplayText&gt;&lt;record&gt;&lt;rec-number&gt;50&lt;/rec-number&gt;&lt;foreign-keys&gt;&lt;key app="EN" db-id="x0x2x9vw3vz5wretwfnpsavdxe0w5pfpzees"&gt;50&lt;/key&gt;&lt;/foreign-keys&gt;&lt;ref-type name="Book"&gt;6&lt;/ref-type&gt;&lt;contributors&gt;&lt;authors&gt;&lt;author&gt;Stephen C Levinson&lt;/author&gt;&lt;/authors&gt;&lt;/contributors&gt;&lt;titles&gt;&lt;title&gt;Pragmatics&lt;/title&gt;&lt;/titles&gt;&lt;dates&gt;&lt;year&gt;1984&lt;/year&gt;&lt;/dates&gt;&lt;pub-location&gt;London&lt;/pub-location&gt;&lt;publisher&gt;Cambridge University Press&lt;/publisher&gt;&lt;urls&gt;&lt;/urls&gt;&lt;/record&gt;&lt;/Cite&gt;&lt;/EndNote&gt;</w:instrText>
      </w:r>
      <w:r w:rsidR="008248C7" w:rsidRPr="008A4013">
        <w:fldChar w:fldCharType="separate"/>
      </w:r>
      <w:r w:rsidR="00B614DD" w:rsidRPr="008A4013">
        <w:rPr>
          <w:noProof/>
        </w:rPr>
        <w:t>(</w:t>
      </w:r>
      <w:hyperlink w:anchor="_ENREF_25" w:tooltip="Levinson, 1984 #50" w:history="1">
        <w:r w:rsidR="00DE221F" w:rsidRPr="008A4013">
          <w:rPr>
            <w:noProof/>
          </w:rPr>
          <w:t>Levinson 1984: 63</w:t>
        </w:r>
      </w:hyperlink>
      <w:r w:rsidR="00B614DD" w:rsidRPr="008A4013">
        <w:rPr>
          <w:noProof/>
        </w:rPr>
        <w:t>)</w:t>
      </w:r>
      <w:r w:rsidR="008248C7" w:rsidRPr="008A4013">
        <w:fldChar w:fldCharType="end"/>
      </w:r>
      <w:r w:rsidR="007938B3" w:rsidRPr="008A4013">
        <w:t>.</w:t>
      </w:r>
      <w:r w:rsidR="00F71F9F" w:rsidRPr="008A4013">
        <w:t xml:space="preserve"> </w:t>
      </w:r>
    </w:p>
    <w:p w14:paraId="7282DFBA" w14:textId="5199337F" w:rsidR="0086297F" w:rsidRPr="008A4013" w:rsidRDefault="007938B3" w:rsidP="00C137CF">
      <w:pPr>
        <w:tabs>
          <w:tab w:val="left" w:pos="709"/>
        </w:tabs>
        <w:ind w:firstLine="0"/>
      </w:pPr>
      <w:r w:rsidRPr="008A4013">
        <w:tab/>
      </w:r>
      <w:r w:rsidR="00F71F9F" w:rsidRPr="008A4013">
        <w:t xml:space="preserve">In </w:t>
      </w:r>
      <w:r w:rsidR="00F71F9F" w:rsidRPr="008A4013">
        <w:rPr>
          <w:i/>
        </w:rPr>
        <w:t>Example Two</w:t>
      </w:r>
      <w:r w:rsidR="00E64905" w:rsidRPr="008A4013">
        <w:t xml:space="preserve">, </w:t>
      </w:r>
      <w:r w:rsidRPr="008A4013">
        <w:t xml:space="preserve">John and Andrew </w:t>
      </w:r>
      <w:r w:rsidR="00E64905" w:rsidRPr="008A4013">
        <w:t xml:space="preserve">each </w:t>
      </w:r>
      <w:r w:rsidRPr="008A4013">
        <w:t xml:space="preserve">speak about themselves while explicitly projecting their own experiences onto viewers they imagine as necessarily similar to themselves. </w:t>
      </w:r>
      <w:r w:rsidR="00E64905" w:rsidRPr="008A4013">
        <w:t>It is notable that b</w:t>
      </w:r>
      <w:r w:rsidRPr="008A4013">
        <w:t>oth John and Andrew, like the majority of speakers in the data set, are Caucasian men</w:t>
      </w:r>
      <w:r w:rsidR="00E4782F" w:rsidRPr="008A4013">
        <w:t>.</w:t>
      </w:r>
      <w:r w:rsidRPr="008A4013">
        <w:rPr>
          <w:rStyle w:val="FootnoteReference"/>
        </w:rPr>
        <w:footnoteReference w:id="8"/>
      </w:r>
      <w:r w:rsidRPr="008A4013">
        <w:t xml:space="preserve"> The primacy of their subjectivity is taken for granted, </w:t>
      </w:r>
      <w:r w:rsidR="007E3B2B" w:rsidRPr="008A4013">
        <w:t>as the</w:t>
      </w:r>
      <w:r w:rsidR="00F71F9F" w:rsidRPr="008A4013">
        <w:t xml:space="preserve">ir employment of </w:t>
      </w:r>
      <w:r w:rsidR="007E3B2B" w:rsidRPr="008A4013">
        <w:t>false</w:t>
      </w:r>
      <w:r w:rsidR="00F71F9F" w:rsidRPr="008A4013">
        <w:t xml:space="preserve"> or ambiguous</w:t>
      </w:r>
      <w:r w:rsidR="007E3B2B" w:rsidRPr="008A4013">
        <w:t xml:space="preserve"> deixis </w:t>
      </w:r>
      <w:r w:rsidR="00C20803" w:rsidRPr="008A4013">
        <w:t>suggests</w:t>
      </w:r>
      <w:r w:rsidR="007E3B2B" w:rsidRPr="008A4013">
        <w:t xml:space="preserve">, </w:t>
      </w:r>
      <w:r w:rsidR="00F71F9F" w:rsidRPr="008A4013">
        <w:t>and forms the basis for the</w:t>
      </w:r>
      <w:r w:rsidR="00E64905" w:rsidRPr="008A4013">
        <w:t xml:space="preserve"> assertion</w:t>
      </w:r>
      <w:r w:rsidRPr="008A4013">
        <w:t xml:space="preserve"> that </w:t>
      </w:r>
      <w:r w:rsidR="00E64905" w:rsidRPr="008A4013">
        <w:t>“it gets better</w:t>
      </w:r>
      <w:r w:rsidR="00C20803" w:rsidRPr="008A4013">
        <w:t>,</w:t>
      </w:r>
      <w:r w:rsidR="00E64905" w:rsidRPr="008A4013">
        <w:t>”</w:t>
      </w:r>
      <w:r w:rsidRPr="008A4013">
        <w:t xml:space="preserve"> universally</w:t>
      </w:r>
      <w:r w:rsidR="001A50DB" w:rsidRPr="008A4013">
        <w:t>. The</w:t>
      </w:r>
      <w:r w:rsidR="007E3B2B" w:rsidRPr="008A4013">
        <w:t xml:space="preserve"> use of “you” </w:t>
      </w:r>
      <w:r w:rsidR="001A50DB" w:rsidRPr="008A4013">
        <w:t>when talking from a first-person perspective</w:t>
      </w:r>
      <w:r w:rsidR="007E3B2B" w:rsidRPr="008A4013">
        <w:t xml:space="preserve"> </w:t>
      </w:r>
      <w:r w:rsidR="00F71F9F" w:rsidRPr="008A4013">
        <w:t>implies</w:t>
      </w:r>
      <w:r w:rsidR="007E3B2B" w:rsidRPr="008A4013">
        <w:t xml:space="preserve">, following Stuart Hall, </w:t>
      </w:r>
      <w:r w:rsidRPr="008A4013">
        <w:t xml:space="preserve">that the speaker </w:t>
      </w:r>
      <w:r w:rsidR="001A50DB" w:rsidRPr="008A4013">
        <w:t>is assuming</w:t>
      </w:r>
      <w:r w:rsidR="00F71F9F" w:rsidRPr="008A4013">
        <w:t xml:space="preserve"> that</w:t>
      </w:r>
      <w:r w:rsidRPr="008A4013">
        <w:t xml:space="preserve"> their meaning, and thus ideological stance, will be </w:t>
      </w:r>
      <w:r w:rsidR="001A50DB" w:rsidRPr="008A4013">
        <w:t xml:space="preserve">inevitably </w:t>
      </w:r>
      <w:r w:rsidRPr="008A4013">
        <w:t>understood and shared by an audienc</w:t>
      </w:r>
      <w:r w:rsidR="0086297F" w:rsidRPr="008A4013">
        <w:t>e able to decode their message</w:t>
      </w:r>
      <w:r w:rsidRPr="008A4013">
        <w:t xml:space="preserve"> </w:t>
      </w:r>
      <w:r w:rsidR="008248C7" w:rsidRPr="008A4013">
        <w:fldChar w:fldCharType="begin"/>
      </w:r>
      <w:r w:rsidR="00841C69" w:rsidRPr="008A4013">
        <w:instrText xml:space="preserve"> ADDIN EN.CITE &lt;EndNote&gt;&lt;Cite&gt;&lt;Author&gt;Hall&lt;/Author&gt;&lt;Year&gt;2001&lt;/Year&gt;&lt;RecNum&gt;47&lt;/RecNum&gt;&lt;Pages&gt;169&lt;/Pages&gt;&lt;DisplayText&gt;(Hall 2001: 169)&lt;/DisplayText&gt;&lt;record&gt;&lt;rec-number&gt;47&lt;/rec-number&gt;&lt;foreign-keys&gt;&lt;key app="EN" db-id="x0x2x9vw3vz5wretwfnpsavdxe0w5pfpzees"&gt;47&lt;/key&gt;&lt;/foreign-keys&gt;&lt;ref-type name="Book Section"&gt;5&lt;/ref-type&gt;&lt;contributors&gt;&lt;authors&gt;&lt;author&gt;Stuart Hall&lt;/author&gt;&lt;/authors&gt;&lt;secondary-authors&gt;&lt;author&gt;Meenakshi Gigi Durham&lt;/author&gt;&lt;author&gt;Douglas M. Kellner&lt;/author&gt;&lt;/secondary-authors&gt;&lt;/contributors&gt;&lt;titles&gt;&lt;title&gt;Encoding/Decoding&lt;/title&gt;&lt;secondary-title&gt; Media and Cultural Studies: Key Work&lt;/secondary-title&gt;&lt;/titles&gt;&lt;dates&gt;&lt;year&gt;2001&lt;/year&gt;&lt;/dates&gt;&lt;pub-location&gt;Malden MA&lt;/pub-location&gt;&lt;publisher&gt;Blackwell&lt;/publisher&gt;&lt;urls&gt;&lt;/urls&gt;&lt;/record&gt;&lt;/Cite&gt;&lt;/EndNote&gt;</w:instrText>
      </w:r>
      <w:r w:rsidR="008248C7" w:rsidRPr="008A4013">
        <w:fldChar w:fldCharType="separate"/>
      </w:r>
      <w:r w:rsidR="004E1812" w:rsidRPr="008A4013">
        <w:rPr>
          <w:noProof/>
        </w:rPr>
        <w:t>(</w:t>
      </w:r>
      <w:hyperlink w:anchor="_ENREF_17" w:tooltip="Hall, 2001 #47" w:history="1">
        <w:r w:rsidR="00DE221F" w:rsidRPr="008A4013">
          <w:rPr>
            <w:noProof/>
          </w:rPr>
          <w:t>Hall 2001: 169</w:t>
        </w:r>
      </w:hyperlink>
      <w:r w:rsidR="004E1812" w:rsidRPr="008A4013">
        <w:rPr>
          <w:noProof/>
        </w:rPr>
        <w:t>)</w:t>
      </w:r>
      <w:r w:rsidR="008248C7" w:rsidRPr="008A4013">
        <w:fldChar w:fldCharType="end"/>
      </w:r>
      <w:r w:rsidRPr="008A4013">
        <w:t>.</w:t>
      </w:r>
      <w:r w:rsidR="0086297F" w:rsidRPr="008A4013">
        <w:t xml:space="preserve"> </w:t>
      </w:r>
      <w:r w:rsidR="001A50DB" w:rsidRPr="008A4013">
        <w:t xml:space="preserve">This is a perspective borne of privilege. </w:t>
      </w:r>
      <w:r w:rsidR="0086297F" w:rsidRPr="008A4013">
        <w:t>Anonymous B</w:t>
      </w:r>
      <w:r w:rsidR="0086297F" w:rsidRPr="008A4013">
        <w:rPr>
          <w:b/>
        </w:rPr>
        <w:t xml:space="preserve"> </w:t>
      </w:r>
      <w:r w:rsidR="0086297F" w:rsidRPr="008A4013">
        <w:t>(</w:t>
      </w:r>
      <w:r w:rsidR="00F71F9F" w:rsidRPr="008A4013">
        <w:rPr>
          <w:i/>
        </w:rPr>
        <w:t>Example Two</w:t>
      </w:r>
      <w:r w:rsidR="00F71F9F" w:rsidRPr="008A4013">
        <w:t>), the only Muslim</w:t>
      </w:r>
      <w:r w:rsidR="007E3B2B" w:rsidRPr="008A4013">
        <w:t xml:space="preserve"> and one of only two non-Caucasian speakers in the data set, does</w:t>
      </w:r>
      <w:r w:rsidR="00F71F9F" w:rsidRPr="008A4013">
        <w:t xml:space="preserve"> not share such assumptions</w:t>
      </w:r>
      <w:r w:rsidR="00C20803" w:rsidRPr="008A4013">
        <w:t xml:space="preserve"> to the same extent</w:t>
      </w:r>
      <w:r w:rsidR="00F71F9F" w:rsidRPr="008A4013">
        <w:t>,</w:t>
      </w:r>
      <w:r w:rsidR="007E3B2B" w:rsidRPr="008A4013">
        <w:t xml:space="preserve"> </w:t>
      </w:r>
      <w:r w:rsidR="00F71F9F" w:rsidRPr="008A4013">
        <w:t>but rather litters his speech with caveats and is explicit in his conclusion</w:t>
      </w:r>
      <w:r w:rsidR="007E3B2B" w:rsidRPr="008A4013">
        <w:t xml:space="preserve">: “I can’t promise, I’m of a specific situation, but I think it’ll </w:t>
      </w:r>
      <w:r w:rsidR="007E3B2B" w:rsidRPr="008A4013">
        <w:lastRenderedPageBreak/>
        <w:t xml:space="preserve">all work out </w:t>
      </w:r>
      <w:r w:rsidR="00C20803" w:rsidRPr="008A4013">
        <w:t>from the best.”</w:t>
      </w:r>
      <w:r w:rsidR="000A4FC6" w:rsidRPr="008A4013">
        <w:t xml:space="preserve"> The tendency of laypeople to speak in assertions from a privileged position is cut through by other determinants of social status.</w:t>
      </w:r>
    </w:p>
    <w:p w14:paraId="21CDE998" w14:textId="6338C037" w:rsidR="00F97E58" w:rsidRPr="008A4013" w:rsidRDefault="007938B3" w:rsidP="00C137CF">
      <w:pPr>
        <w:tabs>
          <w:tab w:val="left" w:pos="709"/>
        </w:tabs>
        <w:ind w:firstLine="0"/>
        <w:rPr>
          <w:b/>
        </w:rPr>
      </w:pPr>
      <w:r w:rsidRPr="008A4013">
        <w:tab/>
      </w:r>
      <w:r w:rsidR="001A50DB" w:rsidRPr="008A4013">
        <w:t>Yet neither do s</w:t>
      </w:r>
      <w:r w:rsidRPr="008A4013">
        <w:t>pokespeople</w:t>
      </w:r>
      <w:r w:rsidR="001A50DB" w:rsidRPr="008A4013">
        <w:t xml:space="preserve">, all of whom in the data set are Caucasian, </w:t>
      </w:r>
      <w:r w:rsidR="000A4FC6" w:rsidRPr="008A4013">
        <w:t xml:space="preserve">generally </w:t>
      </w:r>
      <w:r w:rsidR="001A50DB" w:rsidRPr="008A4013">
        <w:t>assume that they can talk for everyone,</w:t>
      </w:r>
      <w:r w:rsidRPr="008A4013">
        <w:t xml:space="preserve"> or suggest their own experiences afford them insight into the possible circumstances of imagined viewers. Where “you” is used, it is directed to, and acknowledges the agency of future viewers. </w:t>
      </w:r>
      <w:r w:rsidR="001A50DB" w:rsidRPr="008A4013">
        <w:t xml:space="preserve">Bishop </w:t>
      </w:r>
      <w:r w:rsidRPr="008A4013">
        <w:t xml:space="preserve">Gene Robinson </w:t>
      </w:r>
      <w:r w:rsidR="000A4FC6" w:rsidRPr="008A4013">
        <w:t>(</w:t>
      </w:r>
      <w:r w:rsidR="000A4FC6" w:rsidRPr="008A4013">
        <w:rPr>
          <w:i/>
        </w:rPr>
        <w:t>Example Two</w:t>
      </w:r>
      <w:r w:rsidR="000A4FC6" w:rsidRPr="008A4013">
        <w:t xml:space="preserve">) </w:t>
      </w:r>
      <w:r w:rsidR="00E54C7E" w:rsidRPr="008A4013">
        <w:t>hedges with “maybe,”</w:t>
      </w:r>
      <w:r w:rsidRPr="008A4013">
        <w:t xml:space="preserve"> noting the diversity of his future listeners.</w:t>
      </w:r>
      <w:r w:rsidRPr="008A4013">
        <w:rPr>
          <w:b/>
        </w:rPr>
        <w:t xml:space="preserve"> </w:t>
      </w:r>
      <w:r w:rsidR="00D707AC" w:rsidRPr="008A4013">
        <w:t xml:space="preserve">Reverend </w:t>
      </w:r>
      <w:r w:rsidR="000A4FC6" w:rsidRPr="008A4013">
        <w:t>Rebecca Vogel  (</w:t>
      </w:r>
      <w:r w:rsidR="000A4FC6" w:rsidRPr="008A4013">
        <w:rPr>
          <w:i/>
        </w:rPr>
        <w:t>Example Two</w:t>
      </w:r>
      <w:r w:rsidR="000A4FC6" w:rsidRPr="008A4013">
        <w:t>) stresses that “you” the imagined viewer could potentially belong to, or find support within any and all religions</w:t>
      </w:r>
      <w:r w:rsidR="000A4FC6" w:rsidRPr="008A4013">
        <w:rPr>
          <w:b/>
        </w:rPr>
        <w:t>.</w:t>
      </w:r>
      <w:r w:rsidR="000A4FC6" w:rsidRPr="008A4013">
        <w:t xml:space="preserve"> </w:t>
      </w:r>
      <w:r w:rsidRPr="008A4013">
        <w:t xml:space="preserve">Furthermore, in appealing to viewers </w:t>
      </w:r>
      <w:r w:rsidR="00A65DEA" w:rsidRPr="008A4013">
        <w:t>to “</w:t>
      </w:r>
      <w:r w:rsidR="001A50DB" w:rsidRPr="008A4013">
        <w:t xml:space="preserve">help </w:t>
      </w:r>
      <w:r w:rsidR="00A65DEA" w:rsidRPr="008A4013">
        <w:t>make it better</w:t>
      </w:r>
      <w:r w:rsidR="001A50DB" w:rsidRPr="008A4013">
        <w:t xml:space="preserve"> for everyone</w:t>
      </w:r>
      <w:r w:rsidR="00D707AC" w:rsidRPr="008A4013">
        <w:t>” (Reverend</w:t>
      </w:r>
      <w:r w:rsidR="00A65DEA" w:rsidRPr="008A4013">
        <w:t xml:space="preserve"> Meg Ri</w:t>
      </w:r>
      <w:r w:rsidRPr="008A4013">
        <w:t>l</w:t>
      </w:r>
      <w:r w:rsidR="00A65DEA" w:rsidRPr="008A4013">
        <w:t>e</w:t>
      </w:r>
      <w:r w:rsidRPr="008A4013">
        <w:t xml:space="preserve">y, </w:t>
      </w:r>
      <w:r w:rsidRPr="008A4013">
        <w:rPr>
          <w:i/>
        </w:rPr>
        <w:t>Example One</w:t>
      </w:r>
      <w:r w:rsidRPr="008A4013">
        <w:t>), and accentuating the process of “it is ge</w:t>
      </w:r>
      <w:r w:rsidR="00D707AC" w:rsidRPr="008A4013">
        <w:t>tting better all the time” (Reverend</w:t>
      </w:r>
      <w:r w:rsidRPr="008A4013">
        <w:t xml:space="preserve"> Debra Haffner, </w:t>
      </w:r>
      <w:r w:rsidRPr="008A4013">
        <w:rPr>
          <w:i/>
        </w:rPr>
        <w:t>Table One</w:t>
      </w:r>
      <w:r w:rsidRPr="008A4013">
        <w:t xml:space="preserve">) spokespeople </w:t>
      </w:r>
      <w:r w:rsidR="008F1A59" w:rsidRPr="008A4013">
        <w:t>recognize</w:t>
      </w:r>
      <w:r w:rsidRPr="008A4013">
        <w:t xml:space="preserve"> audience members’ potential for </w:t>
      </w:r>
      <w:r w:rsidR="001A50DB" w:rsidRPr="008A4013">
        <w:t>taking an active role in</w:t>
      </w:r>
      <w:r w:rsidRPr="008A4013">
        <w:t xml:space="preserve"> making such a change occur. Viewers are also reminded, by spokespeople, that welcoming communities are waiting to work with and support them in taking actio</w:t>
      </w:r>
      <w:r w:rsidR="00D707AC" w:rsidRPr="008A4013">
        <w:t>n (Reverend</w:t>
      </w:r>
      <w:r w:rsidR="00A65DEA" w:rsidRPr="008A4013">
        <w:t xml:space="preserve"> Debra Haff</w:t>
      </w:r>
      <w:r w:rsidRPr="008A4013">
        <w:t xml:space="preserve">ner, </w:t>
      </w:r>
      <w:r w:rsidRPr="008A4013">
        <w:rPr>
          <w:i/>
        </w:rPr>
        <w:t xml:space="preserve">Example </w:t>
      </w:r>
      <w:r w:rsidR="00F97E58" w:rsidRPr="008A4013">
        <w:rPr>
          <w:i/>
        </w:rPr>
        <w:t>Four</w:t>
      </w:r>
      <w:r w:rsidRPr="008A4013">
        <w:t xml:space="preserve">; Doug, </w:t>
      </w:r>
      <w:r w:rsidRPr="008A4013">
        <w:rPr>
          <w:i/>
        </w:rPr>
        <w:t>Example Four</w:t>
      </w:r>
      <w:r w:rsidRPr="008A4013">
        <w:t>).</w:t>
      </w:r>
    </w:p>
    <w:p w14:paraId="73872BFB" w14:textId="26E0A562" w:rsidR="00D707AC" w:rsidRPr="008A4013" w:rsidRDefault="00F97E58" w:rsidP="00C137CF">
      <w:pPr>
        <w:tabs>
          <w:tab w:val="left" w:pos="709"/>
        </w:tabs>
        <w:ind w:firstLine="0"/>
      </w:pPr>
      <w:r w:rsidRPr="008A4013">
        <w:rPr>
          <w:b/>
        </w:rPr>
        <w:tab/>
      </w:r>
      <w:r w:rsidR="007938B3" w:rsidRPr="008A4013">
        <w:t>Laypeople, in contrast, rarely advocate for action or acknowledge the listeners’ ability</w:t>
      </w:r>
      <w:r w:rsidR="000A4FC6" w:rsidRPr="008A4013">
        <w:t xml:space="preserve"> to enact change.</w:t>
      </w:r>
      <w:r w:rsidRPr="008A4013">
        <w:t xml:space="preserve"> </w:t>
      </w:r>
      <w:r w:rsidR="000A4FC6" w:rsidRPr="008A4013">
        <w:t xml:space="preserve">There is </w:t>
      </w:r>
      <w:r w:rsidRPr="008A4013">
        <w:t>one single exception</w:t>
      </w:r>
      <w:r w:rsidR="000A4FC6" w:rsidRPr="008A4013">
        <w:t xml:space="preserve"> to this trend,</w:t>
      </w:r>
      <w:r w:rsidR="007938B3" w:rsidRPr="008A4013">
        <w:t xml:space="preserve"> </w:t>
      </w:r>
      <w:r w:rsidR="000A4FC6" w:rsidRPr="008A4013">
        <w:t>a</w:t>
      </w:r>
      <w:r w:rsidR="007938B3" w:rsidRPr="008A4013">
        <w:t xml:space="preserve"> </w:t>
      </w:r>
      <w:r w:rsidRPr="008A4013">
        <w:t xml:space="preserve">specific </w:t>
      </w:r>
      <w:r w:rsidR="007938B3" w:rsidRPr="008A4013">
        <w:t xml:space="preserve">action </w:t>
      </w:r>
      <w:r w:rsidR="000A4FC6" w:rsidRPr="008A4013">
        <w:t xml:space="preserve">which </w:t>
      </w:r>
      <w:r w:rsidRPr="008A4013">
        <w:t xml:space="preserve">is </w:t>
      </w:r>
      <w:r w:rsidR="007938B3" w:rsidRPr="008A4013">
        <w:t>either advocated for or ta</w:t>
      </w:r>
      <w:r w:rsidRPr="008A4013">
        <w:t>ken-for-granted as inevitable</w:t>
      </w:r>
      <w:r w:rsidR="007938B3" w:rsidRPr="008A4013">
        <w:t xml:space="preserve"> by all laypeople</w:t>
      </w:r>
      <w:r w:rsidRPr="008A4013">
        <w:t xml:space="preserve"> in this</w:t>
      </w:r>
      <w:r w:rsidR="0086297F" w:rsidRPr="008A4013">
        <w:t xml:space="preserve"> </w:t>
      </w:r>
      <w:r w:rsidRPr="008A4013">
        <w:t>sample, regardless of gender, ethnicity or faith</w:t>
      </w:r>
      <w:r w:rsidR="007938B3" w:rsidRPr="008A4013">
        <w:t xml:space="preserve">: coming out. </w:t>
      </w:r>
      <w:r w:rsidR="00B026CA" w:rsidRPr="008A4013">
        <w:t xml:space="preserve">For </w:t>
      </w:r>
      <w:r w:rsidR="007938B3" w:rsidRPr="008A4013">
        <w:t xml:space="preserve">Carlos </w:t>
      </w:r>
      <w:proofErr w:type="spellStart"/>
      <w:r w:rsidR="007938B3" w:rsidRPr="008A4013">
        <w:t>Decena</w:t>
      </w:r>
      <w:proofErr w:type="spellEnd"/>
      <w:r w:rsidR="00B026CA" w:rsidRPr="008A4013">
        <w:t>,</w:t>
      </w:r>
      <w:r w:rsidR="007938B3" w:rsidRPr="008A4013">
        <w:t xml:space="preserve"> “coming out” has shifted in the past thirty years from signifying and belonging to a “project of social transformation” to being “an act of individual </w:t>
      </w:r>
      <w:r w:rsidR="008F1A59" w:rsidRPr="008A4013">
        <w:t>self-realization</w:t>
      </w:r>
      <w:r w:rsidR="007938B3" w:rsidRPr="008A4013">
        <w:t xml:space="preserve">” </w:t>
      </w:r>
      <w:r w:rsidR="008248C7" w:rsidRPr="008A4013">
        <w:fldChar w:fldCharType="begin"/>
      </w:r>
      <w:r w:rsidR="00841C69" w:rsidRPr="008A4013">
        <w:instrText xml:space="preserve"> ADDIN EN.CITE &lt;EndNote&gt;&lt;Cite ExcludeAuth="1"&gt;&lt;Author&gt;Decena&lt;/Author&gt;&lt;Year&gt;2008&lt;/Year&gt;&lt;RecNum&gt;52&lt;/RecNum&gt;&lt;Pages&gt;339&lt;/Pages&gt;&lt;DisplayText&gt;(2008: 339)&lt;/DisplayText&gt;&lt;record&gt;&lt;rec-number&gt;52&lt;/rec-number&gt;&lt;foreign-keys&gt;&lt;key app="EN" db-id="x0x2x9vw3vz5wretwfnpsavdxe0w5pfpzees"&gt;52&lt;/key&gt;&lt;/foreign-keys&gt;&lt;ref-type name="Journal Article"&gt;17&lt;/ref-type&gt;&lt;contributors&gt;&lt;authors&gt;&lt;author&gt;Carlos Ulises Decena&lt;/author&gt;&lt;/authors&gt;&lt;/contributors&gt;&lt;titles&gt;&lt;title&gt;Tacit subjects&lt;/title&gt;&lt;secondary-title&gt;Gay and Lesbian Quarterly &lt;/secondary-title&gt;&lt;/titles&gt;&lt;periodical&gt;&lt;full-title&gt;Gay and Lesbian Quarterly&lt;/full-title&gt;&lt;/periodical&gt;&lt;pages&gt;339-359&lt;/pages&gt;&lt;volume&gt;14&lt;/volume&gt;&lt;number&gt;2-3&lt;/number&gt;&lt;dates&gt;&lt;year&gt;2008&lt;/year&gt;&lt;/dates&gt;&lt;urls&gt;&lt;/urls&gt;&lt;/record&gt;&lt;/Cite&gt;&lt;/EndNote&gt;</w:instrText>
      </w:r>
      <w:r w:rsidR="008248C7" w:rsidRPr="008A4013">
        <w:fldChar w:fldCharType="separate"/>
      </w:r>
      <w:r w:rsidR="00A52215" w:rsidRPr="008A4013">
        <w:rPr>
          <w:noProof/>
        </w:rPr>
        <w:t>(</w:t>
      </w:r>
      <w:hyperlink w:anchor="_ENREF_6" w:tooltip="Decena, 2008 #52" w:history="1">
        <w:r w:rsidR="00DE221F" w:rsidRPr="008A4013">
          <w:rPr>
            <w:noProof/>
          </w:rPr>
          <w:t>2008: 339</w:t>
        </w:r>
      </w:hyperlink>
      <w:r w:rsidR="00A52215" w:rsidRPr="008A4013">
        <w:rPr>
          <w:noProof/>
        </w:rPr>
        <w:t>)</w:t>
      </w:r>
      <w:r w:rsidR="008248C7" w:rsidRPr="008A4013">
        <w:fldChar w:fldCharType="end"/>
      </w:r>
      <w:r w:rsidR="007938B3" w:rsidRPr="008A4013">
        <w:t xml:space="preserve">. Yet being “out” is not, </w:t>
      </w:r>
      <w:proofErr w:type="spellStart"/>
      <w:r w:rsidR="007938B3" w:rsidRPr="008A4013">
        <w:t>Decena</w:t>
      </w:r>
      <w:proofErr w:type="spellEnd"/>
      <w:r w:rsidR="007938B3" w:rsidRPr="008A4013">
        <w:t xml:space="preserve"> stresses, similarly valued or meaningful across cultures. It is rather viewed with suspicion by those falling outside of the dominant socio-cultural formation of middle-class, white gay identity </w:t>
      </w:r>
      <w:r w:rsidR="004E1812" w:rsidRPr="008A4013">
        <w:fldChar w:fldCharType="begin"/>
      </w:r>
      <w:r w:rsidR="00841C69" w:rsidRPr="008A4013">
        <w:instrText xml:space="preserve"> ADDIN EN.CITE &lt;EndNote&gt;&lt;Cite&gt;&lt;Author&gt;Decena&lt;/Author&gt;&lt;Year&gt;2008&lt;/Year&gt;&lt;RecNum&gt;52&lt;/RecNum&gt;&lt;DisplayText&gt;(Decena 2008)&lt;/DisplayText&gt;&lt;record&gt;&lt;rec-number&gt;52&lt;/rec-number&gt;&lt;foreign-keys&gt;&lt;key app="EN" db-id="x0x2x9vw3vz5wretwfnpsavdxe0w5pfpzees"&gt;52&lt;/key&gt;&lt;/foreign-keys&gt;&lt;ref-type name="Journal Article"&gt;17&lt;/ref-type&gt;&lt;contributors&gt;&lt;authors&gt;&lt;author&gt;Carlos Ulises Decena&lt;/author&gt;&lt;/authors&gt;&lt;/contributors&gt;&lt;titles&gt;&lt;title&gt;Tacit subjects&lt;/title&gt;&lt;secondary-title&gt;Gay and Lesbian Quarterly &lt;/secondary-title&gt;&lt;/titles&gt;&lt;periodical&gt;&lt;full-title&gt;Gay and Lesbian Quarterly&lt;/full-title&gt;&lt;/periodical&gt;&lt;pages&gt;339-359&lt;/pages&gt;&lt;volume&gt;14&lt;/volume&gt;&lt;number&gt;2-3&lt;/number&gt;&lt;dates&gt;&lt;year&gt;2008&lt;/year&gt;&lt;/dates&gt;&lt;urls&gt;&lt;/urls&gt;&lt;/record&gt;&lt;/Cite&gt;&lt;/EndNote&gt;</w:instrText>
      </w:r>
      <w:r w:rsidR="004E1812" w:rsidRPr="008A4013">
        <w:fldChar w:fldCharType="separate"/>
      </w:r>
      <w:r w:rsidR="004E1812" w:rsidRPr="008A4013">
        <w:rPr>
          <w:noProof/>
        </w:rPr>
        <w:t>(</w:t>
      </w:r>
      <w:hyperlink w:anchor="_ENREF_6" w:tooltip="Decena, 2008 #52" w:history="1">
        <w:r w:rsidR="00DE221F" w:rsidRPr="008A4013">
          <w:rPr>
            <w:noProof/>
          </w:rPr>
          <w:t>Decena 2008</w:t>
        </w:r>
      </w:hyperlink>
      <w:r w:rsidR="004E1812" w:rsidRPr="008A4013">
        <w:rPr>
          <w:noProof/>
        </w:rPr>
        <w:t>)</w:t>
      </w:r>
      <w:r w:rsidR="004E1812" w:rsidRPr="008A4013">
        <w:fldChar w:fldCharType="end"/>
      </w:r>
      <w:r w:rsidR="007938B3" w:rsidRPr="008A4013">
        <w:t xml:space="preserve">. </w:t>
      </w:r>
    </w:p>
    <w:p w14:paraId="23AF2C21" w14:textId="159E9835" w:rsidR="00C107B9" w:rsidRPr="008A4013" w:rsidRDefault="00D707AC" w:rsidP="00C137CF">
      <w:pPr>
        <w:tabs>
          <w:tab w:val="left" w:pos="709"/>
        </w:tabs>
        <w:ind w:firstLine="0"/>
      </w:pPr>
      <w:r w:rsidRPr="008A4013">
        <w:lastRenderedPageBreak/>
        <w:tab/>
      </w:r>
      <w:proofErr w:type="spellStart"/>
      <w:r w:rsidR="00B026CA" w:rsidRPr="008A4013">
        <w:t>Decena’s</w:t>
      </w:r>
      <w:proofErr w:type="spellEnd"/>
      <w:r w:rsidR="00B026CA" w:rsidRPr="008A4013">
        <w:t xml:space="preserve"> argument has been supported by other scholars, who have noted how a tacitly understood, or wilily revealed homosexuality serves many marginalized people better than being explicitly “out” </w:t>
      </w:r>
      <w:r w:rsidR="008248C7" w:rsidRPr="008A4013">
        <w:fldChar w:fldCharType="begin"/>
      </w:r>
      <w:r w:rsidR="00841C69" w:rsidRPr="008A4013">
        <w:instrText xml:space="preserve"> ADDIN EN.CITE &lt;EndNote&gt;&lt;Cite&gt;&lt;Author&gt;Leap&lt;/Author&gt;&lt;Year&gt;2010&lt;/Year&gt;&lt;RecNum&gt;279&lt;/RecNum&gt;&lt;Pages&gt;561&lt;/Pages&gt;&lt;DisplayText&gt;(Leap 2010: 561; Santiago 2002)&lt;/DisplayText&gt;&lt;record&gt;&lt;rec-number&gt;279&lt;/rec-number&gt;&lt;foreign-keys&gt;&lt;key app="EN" db-id="x0x2x9vw3vz5wretwfnpsavdxe0w5pfpzees"&gt;279&lt;/key&gt;&lt;/foreign-keys&gt;&lt;ref-type name="Book Section"&gt;5&lt;/ref-type&gt;&lt;contributors&gt;&lt;authors&gt;&lt;author&gt;Leap, William&lt;/author&gt;&lt;/authors&gt;&lt;secondary-authors&gt;&lt;author&gt;Coupland, Nikolas&lt;/author&gt;&lt;/secondary-authors&gt;&lt;/contributors&gt;&lt;titles&gt;&lt;title&gt;Globalization and gay language&lt;/title&gt;&lt;secondary-title&gt;The Handbook of Language and Globalization&lt;/secondary-title&gt;&lt;/titles&gt;&lt;pages&gt;555-574&lt;/pages&gt;&lt;section&gt;25&lt;/section&gt;&lt;dates&gt;&lt;year&gt;2010&lt;/year&gt;&lt;/dates&gt;&lt;pub-location&gt;Malden, MA&lt;/pub-location&gt;&lt;publisher&gt;Wiley-Blackwell&lt;/publisher&gt;&lt;urls&gt;&lt;/urls&gt;&lt;/record&gt;&lt;/Cite&gt;&lt;Cite&gt;&lt;Author&gt;Santiago&lt;/Author&gt;&lt;Year&gt;2002&lt;/Year&gt;&lt;RecNum&gt;237&lt;/RecNum&gt;&lt;record&gt;&lt;rec-number&gt;237&lt;/rec-number&gt;&lt;foreign-keys&gt;&lt;key app="EN" db-id="x0x2x9vw3vz5wretwfnpsavdxe0w5pfpzees"&gt;237&lt;/key&gt;&lt;/foreign-keys&gt;&lt;ref-type name="Book Section"&gt;5&lt;/ref-type&gt;&lt;contributors&gt;&lt;authors&gt;&lt;author&gt;Santiago, Silviano&lt;/author&gt;&lt;/authors&gt;&lt;secondary-authors&gt;&lt;author&gt;Cruz-Malavé, Arnaldo&lt;/author&gt;&lt;author&gt;Manalansan IV, Martin F.&lt;/author&gt;&lt;/secondary-authors&gt;&lt;/contributors&gt;&lt;titles&gt;&lt;title&gt;The wily homosexual (first—and necessarily hasty—notes)&lt;/title&gt;&lt;secondary-title&gt;Queer Globalizations: Citizenship and the Afterlife of Colonialism&lt;/secondary-title&gt;&lt;/titles&gt;&lt;pages&gt;13-19&lt;/pages&gt;&lt;section&gt;1&lt;/section&gt;&lt;dates&gt;&lt;year&gt;2002&lt;/year&gt;&lt;/dates&gt;&lt;pub-location&gt;New York&lt;/pub-location&gt;&lt;publisher&gt;New York University Press&lt;/publisher&gt;&lt;isbn&gt;0814716237&lt;/isbn&gt;&lt;urls&gt;&lt;/urls&gt;&lt;/record&gt;&lt;/Cite&gt;&lt;/EndNote&gt;</w:instrText>
      </w:r>
      <w:r w:rsidR="008248C7" w:rsidRPr="008A4013">
        <w:fldChar w:fldCharType="separate"/>
      </w:r>
      <w:r w:rsidR="004C1F42" w:rsidRPr="008A4013">
        <w:rPr>
          <w:noProof/>
        </w:rPr>
        <w:t>(</w:t>
      </w:r>
      <w:hyperlink w:anchor="_ENREF_23" w:tooltip="Leap, 2010 #279" w:history="1">
        <w:r w:rsidR="00DE221F" w:rsidRPr="008A4013">
          <w:rPr>
            <w:noProof/>
          </w:rPr>
          <w:t>Leap 2010: 561</w:t>
        </w:r>
      </w:hyperlink>
      <w:r w:rsidR="004C1F42" w:rsidRPr="008A4013">
        <w:rPr>
          <w:noProof/>
        </w:rPr>
        <w:t xml:space="preserve">; </w:t>
      </w:r>
      <w:hyperlink w:anchor="_ENREF_36" w:tooltip="Santiago, 2002 #237" w:history="1">
        <w:r w:rsidR="00DE221F" w:rsidRPr="008A4013">
          <w:rPr>
            <w:noProof/>
          </w:rPr>
          <w:t>Santiago 2002</w:t>
        </w:r>
      </w:hyperlink>
      <w:r w:rsidR="004C1F42" w:rsidRPr="008A4013">
        <w:rPr>
          <w:noProof/>
        </w:rPr>
        <w:t>)</w:t>
      </w:r>
      <w:r w:rsidR="008248C7" w:rsidRPr="008A4013">
        <w:fldChar w:fldCharType="end"/>
      </w:r>
      <w:r w:rsidR="00B026CA" w:rsidRPr="008A4013">
        <w:t>.</w:t>
      </w:r>
      <w:r w:rsidR="004C1F42" w:rsidRPr="008A4013">
        <w:t xml:space="preserve"> In such a light, </w:t>
      </w:r>
      <w:r w:rsidR="007938B3" w:rsidRPr="008A4013">
        <w:t>Chris (</w:t>
      </w:r>
      <w:r w:rsidR="007938B3" w:rsidRPr="008A4013">
        <w:rPr>
          <w:i/>
        </w:rPr>
        <w:t>Example Two</w:t>
      </w:r>
      <w:r w:rsidR="007938B3" w:rsidRPr="008A4013">
        <w:t>), can be read as actively erasing the agency of those for whom being “out” may have potentially damaging, or simply unwanted repercussions.</w:t>
      </w:r>
      <w:r w:rsidR="009F5F69" w:rsidRPr="008A4013">
        <w:t xml:space="preserve"> </w:t>
      </w:r>
      <w:r w:rsidR="00C107B9" w:rsidRPr="008A4013">
        <w:t xml:space="preserve">Similarly, where coming out is understood as a final and definitive act, multiple and shifting queer identities, including but not limited to bisexuality, may be subsumed under the rubric of a definitive and rigid homosexuality. </w:t>
      </w:r>
    </w:p>
    <w:p w14:paraId="123CAFDA" w14:textId="30D7F860" w:rsidR="0086297F" w:rsidRPr="008A4013" w:rsidRDefault="00C107B9" w:rsidP="00C137CF">
      <w:pPr>
        <w:tabs>
          <w:tab w:val="left" w:pos="709"/>
        </w:tabs>
        <w:ind w:firstLine="0"/>
      </w:pPr>
      <w:r w:rsidRPr="008A4013">
        <w:tab/>
        <w:t>This attitude towards being “out” is</w:t>
      </w:r>
      <w:r w:rsidR="00BC1D2A" w:rsidRPr="008A4013">
        <w:t xml:space="preserve"> echoed </w:t>
      </w:r>
      <w:r w:rsidRPr="008A4013">
        <w:t>in</w:t>
      </w:r>
      <w:r w:rsidR="00BC1D2A" w:rsidRPr="008A4013">
        <w:t xml:space="preserve"> the official IGBP narrative, as the title of the first IGBP book—a collection of essays inspired by IGBP and edited by Savage and Miller—suggests: “It Gets Better: Coming Out, Overcoming Bullying, and Creating a Life Worth Living.” </w:t>
      </w:r>
      <w:r w:rsidRPr="008A4013">
        <w:t>Here,</w:t>
      </w:r>
      <w:r w:rsidR="000B5204" w:rsidRPr="008A4013">
        <w:t xml:space="preserve"> </w:t>
      </w:r>
      <w:r w:rsidR="00BC1D2A" w:rsidRPr="008A4013">
        <w:t>an individual</w:t>
      </w:r>
      <w:r w:rsidRPr="008A4013">
        <w:t>istic</w:t>
      </w:r>
      <w:r w:rsidR="00BC1D2A" w:rsidRPr="008A4013">
        <w:t xml:space="preserve"> </w:t>
      </w:r>
      <w:r w:rsidRPr="008A4013">
        <w:t>act</w:t>
      </w:r>
      <w:r w:rsidR="000B5204" w:rsidRPr="008A4013">
        <w:t xml:space="preserve"> </w:t>
      </w:r>
      <w:r w:rsidR="00BC1D2A" w:rsidRPr="008A4013">
        <w:t xml:space="preserve">is </w:t>
      </w:r>
      <w:r w:rsidRPr="008A4013">
        <w:t>declared</w:t>
      </w:r>
      <w:r w:rsidR="00BC1D2A" w:rsidRPr="008A4013">
        <w:t xml:space="preserve"> </w:t>
      </w:r>
      <w:r w:rsidR="00383672" w:rsidRPr="008A4013">
        <w:t xml:space="preserve">as </w:t>
      </w:r>
      <w:r w:rsidR="00BC1D2A" w:rsidRPr="008A4013">
        <w:t>the first</w:t>
      </w:r>
      <w:r w:rsidRPr="008A4013">
        <w:t xml:space="preserve"> and</w:t>
      </w:r>
      <w:r w:rsidR="000B5204" w:rsidRPr="008A4013">
        <w:t xml:space="preserve"> necessary step toward</w:t>
      </w:r>
      <w:r w:rsidR="00C21A8B" w:rsidRPr="008A4013">
        <w:t xml:space="preserve"> the creation of</w:t>
      </w:r>
      <w:r w:rsidRPr="008A4013">
        <w:t xml:space="preserve"> </w:t>
      </w:r>
      <w:r w:rsidR="00BC1D2A" w:rsidRPr="008A4013">
        <w:t xml:space="preserve">a </w:t>
      </w:r>
      <w:r w:rsidRPr="008A4013">
        <w:t>singular “</w:t>
      </w:r>
      <w:r w:rsidR="00BC1D2A" w:rsidRPr="008A4013">
        <w:t>life worth living</w:t>
      </w:r>
      <w:r w:rsidR="00C20803" w:rsidRPr="008A4013">
        <w:t>,</w:t>
      </w:r>
      <w:r w:rsidR="000B5204" w:rsidRPr="008A4013">
        <w:t>”</w:t>
      </w:r>
      <w:r w:rsidR="00C20803" w:rsidRPr="008A4013">
        <w:t xml:space="preserve"> </w:t>
      </w:r>
      <w:r w:rsidR="00383672" w:rsidRPr="008A4013">
        <w:t>while b</w:t>
      </w:r>
      <w:r w:rsidRPr="008A4013">
        <w:t>ullying</w:t>
      </w:r>
      <w:r w:rsidR="00383672" w:rsidRPr="008A4013">
        <w:t xml:space="preserve"> </w:t>
      </w:r>
      <w:r w:rsidRPr="008A4013">
        <w:t>s</w:t>
      </w:r>
      <w:r w:rsidR="00383672" w:rsidRPr="008A4013">
        <w:t xml:space="preserve">hould be “overcome” rather than </w:t>
      </w:r>
      <w:r w:rsidRPr="008A4013">
        <w:t>addressed</w:t>
      </w:r>
      <w:r w:rsidR="00383672" w:rsidRPr="008A4013">
        <w:t xml:space="preserve"> or challenged</w:t>
      </w:r>
      <w:r w:rsidRPr="008A4013">
        <w:t xml:space="preserve">. This messaging </w:t>
      </w:r>
      <w:r w:rsidR="00383672" w:rsidRPr="008A4013">
        <w:t xml:space="preserve">devalues broader social change as a worthy aim, while underscoring </w:t>
      </w:r>
      <w:r w:rsidR="00C21A8B" w:rsidRPr="008A4013">
        <w:t xml:space="preserve">the fallacious </w:t>
      </w:r>
      <w:r w:rsidR="00383672" w:rsidRPr="008A4013">
        <w:t>neoliberal representation of U.S. society as meritocratic</w:t>
      </w:r>
      <w:r w:rsidR="00C21A8B" w:rsidRPr="008A4013">
        <w:t>: anyone can</w:t>
      </w:r>
      <w:r w:rsidR="00D707AC" w:rsidRPr="008A4013">
        <w:t xml:space="preserve"> transcend their circumstances—</w:t>
      </w:r>
      <w:r w:rsidR="00C21A8B" w:rsidRPr="008A4013">
        <w:t>provided they work hard enough.</w:t>
      </w:r>
      <w:r w:rsidR="00646317" w:rsidRPr="008A4013">
        <w:t xml:space="preserve"> </w:t>
      </w:r>
    </w:p>
    <w:p w14:paraId="3D330B12" w14:textId="77777777" w:rsidR="00276095" w:rsidRPr="008A4013" w:rsidRDefault="00276095" w:rsidP="00C137CF">
      <w:pPr>
        <w:tabs>
          <w:tab w:val="left" w:pos="709"/>
        </w:tabs>
        <w:ind w:firstLine="0"/>
        <w:outlineLvl w:val="0"/>
      </w:pPr>
    </w:p>
    <w:p w14:paraId="6A3C9950" w14:textId="77777777" w:rsidR="001E2721" w:rsidRPr="008A4013" w:rsidRDefault="00E62C2A" w:rsidP="00C137CF">
      <w:pPr>
        <w:tabs>
          <w:tab w:val="left" w:pos="709"/>
        </w:tabs>
        <w:ind w:firstLine="0"/>
        <w:outlineLvl w:val="0"/>
      </w:pPr>
      <w:r w:rsidRPr="008A4013">
        <w:rPr>
          <w:b/>
        </w:rPr>
        <w:t xml:space="preserve">4.3 </w:t>
      </w:r>
      <w:r w:rsidR="003F6F3B" w:rsidRPr="008A4013">
        <w:rPr>
          <w:b/>
        </w:rPr>
        <w:t>F</w:t>
      </w:r>
      <w:r w:rsidRPr="008A4013">
        <w:rPr>
          <w:b/>
        </w:rPr>
        <w:t>ight or flight</w:t>
      </w:r>
      <w:r w:rsidR="003F6F3B" w:rsidRPr="008A4013">
        <w:rPr>
          <w:b/>
        </w:rPr>
        <w:t>?</w:t>
      </w:r>
      <w:r w:rsidR="00A65DEA" w:rsidRPr="008A4013">
        <w:rPr>
          <w:b/>
        </w:rPr>
        <w:t xml:space="preserve"> </w:t>
      </w:r>
      <w:r w:rsidR="001E2721" w:rsidRPr="008A4013">
        <w:t xml:space="preserve">  </w:t>
      </w:r>
    </w:p>
    <w:p w14:paraId="31D281DB" w14:textId="77777777" w:rsidR="004D31AC" w:rsidRPr="008A4013" w:rsidRDefault="004D31AC" w:rsidP="00C137CF">
      <w:pPr>
        <w:tabs>
          <w:tab w:val="left" w:pos="284"/>
        </w:tabs>
        <w:spacing w:line="240" w:lineRule="auto"/>
        <w:ind w:firstLine="0"/>
        <w:outlineLvl w:val="0"/>
        <w:rPr>
          <w:i/>
        </w:rPr>
      </w:pPr>
      <w:r w:rsidRPr="008A4013">
        <w:rPr>
          <w:i/>
        </w:rPr>
        <w:t>Example Three</w:t>
      </w:r>
    </w:p>
    <w:p w14:paraId="73CC88B2" w14:textId="77777777" w:rsidR="004D31AC" w:rsidRPr="008A4013" w:rsidRDefault="004D31AC" w:rsidP="00C137CF">
      <w:pPr>
        <w:tabs>
          <w:tab w:val="left" w:pos="709"/>
        </w:tabs>
        <w:spacing w:line="240" w:lineRule="auto"/>
        <w:ind w:firstLine="0"/>
      </w:pPr>
    </w:p>
    <w:p w14:paraId="08A50237" w14:textId="77777777" w:rsidR="004D31AC" w:rsidRPr="008A4013" w:rsidRDefault="004D31AC" w:rsidP="00C137CF">
      <w:pPr>
        <w:tabs>
          <w:tab w:val="left" w:pos="709"/>
        </w:tabs>
        <w:spacing w:line="240" w:lineRule="auto"/>
        <w:ind w:left="284" w:right="284" w:firstLine="0"/>
        <w:outlineLvl w:val="0"/>
        <w:rPr>
          <w:u w:val="single"/>
        </w:rPr>
      </w:pPr>
      <w:r w:rsidRPr="008A4013">
        <w:rPr>
          <w:u w:val="single"/>
        </w:rPr>
        <w:t>Laypeople:</w:t>
      </w:r>
    </w:p>
    <w:p w14:paraId="25049626" w14:textId="4896C121" w:rsidR="004D31AC" w:rsidRPr="008A4013" w:rsidRDefault="00D359A7" w:rsidP="00C137CF">
      <w:pPr>
        <w:pStyle w:val="Quote"/>
        <w:spacing w:after="0"/>
        <w:ind w:left="284" w:right="284"/>
        <w:rPr>
          <w:i/>
        </w:rPr>
      </w:pPr>
      <w:r w:rsidRPr="008A4013">
        <w:rPr>
          <w:i/>
        </w:rPr>
        <w:t>“</w:t>
      </w:r>
      <w:r w:rsidR="004D31AC" w:rsidRPr="008A4013">
        <w:rPr>
          <w:i/>
        </w:rPr>
        <w:t xml:space="preserve">…you will graduate high school […] It may seem like an impossibly far away time. But you will </w:t>
      </w:r>
      <w:r w:rsidR="004D31AC" w:rsidRPr="008A4013">
        <w:rPr>
          <w:b/>
          <w:i/>
          <w:u w:val="single"/>
        </w:rPr>
        <w:t>get out of there</w:t>
      </w:r>
      <w:r w:rsidR="004D31AC" w:rsidRPr="008A4013">
        <w:rPr>
          <w:i/>
        </w:rPr>
        <w:t xml:space="preserve">. You’ll </w:t>
      </w:r>
      <w:r w:rsidR="004D31AC" w:rsidRPr="008A4013">
        <w:rPr>
          <w:b/>
          <w:i/>
          <w:u w:val="single"/>
        </w:rPr>
        <w:t>get out of the town you live in</w:t>
      </w:r>
      <w:r w:rsidR="004D31AC" w:rsidRPr="008A4013">
        <w:rPr>
          <w:i/>
        </w:rPr>
        <w:t xml:space="preserve">. You have to </w:t>
      </w:r>
      <w:r w:rsidR="004D31AC" w:rsidRPr="008A4013">
        <w:rPr>
          <w:b/>
          <w:i/>
          <w:u w:val="single"/>
        </w:rPr>
        <w:t>go away to college. Go to the nearest urban area, the nearest blue state, the nearest campus</w:t>
      </w:r>
      <w:r w:rsidR="004D31AC" w:rsidRPr="008A4013">
        <w:rPr>
          <w:i/>
        </w:rPr>
        <w:t xml:space="preserve"> that’s accepting of the LGBT community. You have to have faith that it will get better.</w:t>
      </w:r>
      <w:r w:rsidRPr="008A4013">
        <w:rPr>
          <w:i/>
        </w:rPr>
        <w:t xml:space="preserve"> </w:t>
      </w:r>
      <w:r w:rsidR="004D31AC" w:rsidRPr="008A4013">
        <w:rPr>
          <w:i/>
        </w:rPr>
        <w:t xml:space="preserve">[…] As soon as you </w:t>
      </w:r>
      <w:r w:rsidR="004D31AC" w:rsidRPr="008A4013">
        <w:rPr>
          <w:b/>
          <w:i/>
          <w:u w:val="single"/>
        </w:rPr>
        <w:t>get out of your hometown and into the real world</w:t>
      </w:r>
      <w:r w:rsidR="004D31AC" w:rsidRPr="008A4013">
        <w:rPr>
          <w:i/>
        </w:rPr>
        <w:t>, you’ll find amazing and loving people ready to accept you for who you are.</w:t>
      </w:r>
      <w:r w:rsidRPr="008A4013">
        <w:rPr>
          <w:i/>
        </w:rPr>
        <w:t>”</w:t>
      </w:r>
    </w:p>
    <w:p w14:paraId="3C00E53B" w14:textId="77777777" w:rsidR="004D31AC" w:rsidRPr="008A4013" w:rsidRDefault="004D31AC" w:rsidP="00C137CF">
      <w:pPr>
        <w:pStyle w:val="Quote"/>
        <w:numPr>
          <w:ilvl w:val="0"/>
          <w:numId w:val="11"/>
        </w:numPr>
        <w:spacing w:after="0"/>
        <w:ind w:right="284"/>
      </w:pPr>
      <w:r w:rsidRPr="008A4013">
        <w:t>Andrew</w:t>
      </w:r>
    </w:p>
    <w:p w14:paraId="0966CF78" w14:textId="77777777" w:rsidR="004D31AC" w:rsidRPr="008A4013" w:rsidRDefault="004D31AC" w:rsidP="00C137CF">
      <w:pPr>
        <w:pStyle w:val="Quote"/>
        <w:spacing w:after="0"/>
        <w:ind w:left="284" w:right="284"/>
        <w:rPr>
          <w:i/>
        </w:rPr>
      </w:pPr>
    </w:p>
    <w:p w14:paraId="4831E990" w14:textId="619BB477" w:rsidR="004D31AC" w:rsidRPr="008A4013" w:rsidRDefault="00D359A7" w:rsidP="00C137CF">
      <w:pPr>
        <w:pStyle w:val="Quote"/>
        <w:spacing w:after="0"/>
        <w:ind w:left="284" w:right="284"/>
        <w:rPr>
          <w:i/>
        </w:rPr>
      </w:pPr>
      <w:r w:rsidRPr="008A4013">
        <w:rPr>
          <w:i/>
        </w:rPr>
        <w:t>“</w:t>
      </w:r>
      <w:r w:rsidR="004D31AC" w:rsidRPr="008A4013">
        <w:rPr>
          <w:i/>
        </w:rPr>
        <w:t xml:space="preserve">Once I graduated high school </w:t>
      </w:r>
      <w:r w:rsidR="004D31AC" w:rsidRPr="008A4013">
        <w:rPr>
          <w:b/>
          <w:i/>
          <w:u w:val="single"/>
        </w:rPr>
        <w:t>I left and went off to college</w:t>
      </w:r>
      <w:r w:rsidR="004D31AC" w:rsidRPr="008A4013">
        <w:rPr>
          <w:i/>
        </w:rPr>
        <w:t xml:space="preserve">. I’m like, </w:t>
      </w:r>
      <w:r w:rsidR="004D31AC" w:rsidRPr="008A4013">
        <w:rPr>
          <w:b/>
          <w:i/>
          <w:u w:val="single"/>
        </w:rPr>
        <w:t>‘Get the fuck outta Dodge!’</w:t>
      </w:r>
      <w:r w:rsidRPr="008A4013">
        <w:rPr>
          <w:i/>
        </w:rPr>
        <w:t>”</w:t>
      </w:r>
    </w:p>
    <w:p w14:paraId="3DDA1147" w14:textId="77777777" w:rsidR="004D31AC" w:rsidRPr="008A4013" w:rsidRDefault="004D31AC" w:rsidP="00C137CF">
      <w:pPr>
        <w:pStyle w:val="Quote"/>
        <w:numPr>
          <w:ilvl w:val="0"/>
          <w:numId w:val="11"/>
        </w:numPr>
        <w:spacing w:after="0"/>
        <w:ind w:right="284"/>
      </w:pPr>
      <w:r w:rsidRPr="008A4013">
        <w:lastRenderedPageBreak/>
        <w:t xml:space="preserve">Misty </w:t>
      </w:r>
      <w:proofErr w:type="spellStart"/>
      <w:r w:rsidRPr="008A4013">
        <w:t>Eyez</w:t>
      </w:r>
      <w:proofErr w:type="spellEnd"/>
    </w:p>
    <w:p w14:paraId="71D5B412" w14:textId="77777777" w:rsidR="004D31AC" w:rsidRPr="008A4013" w:rsidRDefault="004D31AC" w:rsidP="00C137CF">
      <w:pPr>
        <w:tabs>
          <w:tab w:val="left" w:pos="709"/>
        </w:tabs>
        <w:spacing w:line="240" w:lineRule="auto"/>
        <w:ind w:right="284" w:firstLine="0"/>
        <w:outlineLvl w:val="0"/>
      </w:pPr>
    </w:p>
    <w:p w14:paraId="2E6A0A3B" w14:textId="77777777" w:rsidR="004D31AC" w:rsidRPr="008A4013" w:rsidRDefault="004D31AC" w:rsidP="00C137CF">
      <w:pPr>
        <w:tabs>
          <w:tab w:val="left" w:pos="284"/>
        </w:tabs>
        <w:spacing w:line="240" w:lineRule="auto"/>
        <w:ind w:right="284" w:firstLine="0"/>
        <w:outlineLvl w:val="0"/>
        <w:rPr>
          <w:u w:val="single"/>
        </w:rPr>
      </w:pPr>
      <w:r w:rsidRPr="008A4013">
        <w:tab/>
      </w:r>
      <w:r w:rsidRPr="008A4013">
        <w:rPr>
          <w:u w:val="single"/>
        </w:rPr>
        <w:t>Spokespeople:</w:t>
      </w:r>
    </w:p>
    <w:p w14:paraId="35173E4B" w14:textId="4BFCD1EB" w:rsidR="004D31AC" w:rsidRPr="008A4013" w:rsidRDefault="00D359A7" w:rsidP="00C137CF">
      <w:pPr>
        <w:pStyle w:val="Quote"/>
        <w:spacing w:after="0"/>
        <w:ind w:left="284" w:right="284"/>
        <w:rPr>
          <w:i/>
        </w:rPr>
      </w:pPr>
      <w:r w:rsidRPr="008A4013">
        <w:rPr>
          <w:i/>
        </w:rPr>
        <w:t>“</w:t>
      </w:r>
      <w:r w:rsidR="004D31AC" w:rsidRPr="008A4013">
        <w:rPr>
          <w:i/>
        </w:rPr>
        <w:t xml:space="preserve">It’s very </w:t>
      </w:r>
      <w:proofErr w:type="spellStart"/>
      <w:r w:rsidR="004D31AC" w:rsidRPr="008A4013">
        <w:rPr>
          <w:i/>
        </w:rPr>
        <w:t>very</w:t>
      </w:r>
      <w:proofErr w:type="spellEnd"/>
      <w:r w:rsidR="004D31AC" w:rsidRPr="008A4013">
        <w:rPr>
          <w:i/>
        </w:rPr>
        <w:t xml:space="preserve"> difficult to deal with bullying in isolation […] In fact, many people come to faith communities precisely because they’re going through difficult times in their lives, and </w:t>
      </w:r>
      <w:r w:rsidR="004D31AC" w:rsidRPr="008A4013">
        <w:rPr>
          <w:b/>
          <w:i/>
          <w:u w:val="single"/>
        </w:rPr>
        <w:t>through the power of community, they find the strength</w:t>
      </w:r>
      <w:r w:rsidR="004D31AC" w:rsidRPr="008A4013">
        <w:rPr>
          <w:i/>
        </w:rPr>
        <w:t xml:space="preserve"> to face their challenges and to find healing. </w:t>
      </w:r>
      <w:r w:rsidR="008F1A59" w:rsidRPr="008A4013">
        <w:rPr>
          <w:i/>
        </w:rPr>
        <w:t xml:space="preserve">… </w:t>
      </w:r>
      <w:r w:rsidR="004D31AC" w:rsidRPr="008A4013">
        <w:rPr>
          <w:i/>
        </w:rPr>
        <w:t xml:space="preserve">there are many highly progressive </w:t>
      </w:r>
      <w:proofErr w:type="gramStart"/>
      <w:r w:rsidR="004D31AC" w:rsidRPr="008A4013">
        <w:rPr>
          <w:i/>
        </w:rPr>
        <w:t>faith</w:t>
      </w:r>
      <w:proofErr w:type="gramEnd"/>
      <w:r w:rsidR="004D31AC" w:rsidRPr="008A4013">
        <w:rPr>
          <w:i/>
        </w:rPr>
        <w:t xml:space="preserve"> communities </w:t>
      </w:r>
      <w:r w:rsidR="004D31AC" w:rsidRPr="008A4013">
        <w:rPr>
          <w:b/>
          <w:i/>
          <w:u w:val="single"/>
        </w:rPr>
        <w:t>across America</w:t>
      </w:r>
      <w:r w:rsidR="004D31AC" w:rsidRPr="008A4013">
        <w:rPr>
          <w:i/>
        </w:rPr>
        <w:t xml:space="preserve"> that are welcoming and supportive places for people of all sexual orientations and gender identities.</w:t>
      </w:r>
      <w:r w:rsidRPr="008A4013">
        <w:rPr>
          <w:i/>
        </w:rPr>
        <w:t>”</w:t>
      </w:r>
    </w:p>
    <w:p w14:paraId="57BD9A50" w14:textId="77777777" w:rsidR="004D31AC" w:rsidRPr="008A4013" w:rsidRDefault="004D31AC" w:rsidP="00C137CF">
      <w:pPr>
        <w:pStyle w:val="Quote"/>
        <w:numPr>
          <w:ilvl w:val="0"/>
          <w:numId w:val="11"/>
        </w:numPr>
        <w:spacing w:after="0"/>
        <w:ind w:right="284"/>
      </w:pPr>
      <w:r w:rsidRPr="008A4013">
        <w:t>Doug, Welcoming Committee at Congregation Beit Simchat Torah</w:t>
      </w:r>
    </w:p>
    <w:p w14:paraId="1FD5CB74" w14:textId="77777777" w:rsidR="004D31AC" w:rsidRPr="008A4013" w:rsidRDefault="004D31AC" w:rsidP="00C137CF">
      <w:pPr>
        <w:pStyle w:val="Quote"/>
        <w:spacing w:after="0"/>
        <w:ind w:left="0" w:right="284" w:firstLine="284"/>
        <w:rPr>
          <w:i/>
        </w:rPr>
      </w:pPr>
    </w:p>
    <w:p w14:paraId="67EAD331" w14:textId="62F03D26" w:rsidR="004D31AC" w:rsidRPr="008A4013" w:rsidRDefault="00D359A7" w:rsidP="00C137CF">
      <w:pPr>
        <w:pStyle w:val="Quote"/>
        <w:spacing w:after="0"/>
        <w:ind w:left="284" w:right="284"/>
        <w:rPr>
          <w:i/>
        </w:rPr>
      </w:pPr>
      <w:r w:rsidRPr="008A4013">
        <w:rPr>
          <w:i/>
        </w:rPr>
        <w:t>“</w:t>
      </w:r>
      <w:r w:rsidR="004D31AC" w:rsidRPr="008A4013">
        <w:rPr>
          <w:i/>
        </w:rPr>
        <w:t xml:space="preserve">…we are not the only church like that. There are churches </w:t>
      </w:r>
      <w:r w:rsidR="004D31AC" w:rsidRPr="008A4013">
        <w:rPr>
          <w:b/>
          <w:i/>
          <w:u w:val="single"/>
        </w:rPr>
        <w:t>all over the United States</w:t>
      </w:r>
      <w:r w:rsidR="004D31AC" w:rsidRPr="008A4013">
        <w:rPr>
          <w:i/>
        </w:rPr>
        <w:t xml:space="preserve"> that love gay Christians, who don’t make you choose between your sexuality and your spirituality, because they know that God loves you just as you are.</w:t>
      </w:r>
      <w:r w:rsidRPr="008A4013">
        <w:rPr>
          <w:i/>
        </w:rPr>
        <w:t>”</w:t>
      </w:r>
    </w:p>
    <w:p w14:paraId="36B4E587" w14:textId="77777777" w:rsidR="004D31AC" w:rsidRPr="008A4013" w:rsidRDefault="004D31AC" w:rsidP="00C137CF">
      <w:pPr>
        <w:pStyle w:val="Quote"/>
        <w:numPr>
          <w:ilvl w:val="0"/>
          <w:numId w:val="11"/>
        </w:numPr>
        <w:spacing w:after="0"/>
        <w:ind w:right="284"/>
      </w:pPr>
      <w:r w:rsidRPr="008A4013">
        <w:t>Anonymous C, Spokesperson for McKinley Memorial Presbyterian Church</w:t>
      </w:r>
    </w:p>
    <w:p w14:paraId="54D64701" w14:textId="77777777" w:rsidR="004D31AC" w:rsidRPr="008A4013" w:rsidRDefault="004D31AC" w:rsidP="00C137CF">
      <w:pPr>
        <w:tabs>
          <w:tab w:val="left" w:pos="709"/>
        </w:tabs>
        <w:ind w:firstLine="0"/>
        <w:outlineLvl w:val="0"/>
      </w:pPr>
    </w:p>
    <w:p w14:paraId="3B6EDED6" w14:textId="619C8F7B" w:rsidR="00515267" w:rsidRPr="008A4013" w:rsidRDefault="00925BFD" w:rsidP="00C137CF">
      <w:pPr>
        <w:tabs>
          <w:tab w:val="left" w:pos="709"/>
        </w:tabs>
        <w:ind w:firstLine="0"/>
        <w:outlineLvl w:val="0"/>
      </w:pPr>
      <w:r w:rsidRPr="008A4013">
        <w:t xml:space="preserve">Galey </w:t>
      </w:r>
      <w:proofErr w:type="spellStart"/>
      <w:r w:rsidR="001E2721" w:rsidRPr="008A4013">
        <w:t>Modan</w:t>
      </w:r>
      <w:proofErr w:type="spellEnd"/>
      <w:r w:rsidR="001E2721" w:rsidRPr="008A4013">
        <w:t xml:space="preserve"> </w:t>
      </w:r>
      <w:r w:rsidR="00B34F52" w:rsidRPr="008A4013">
        <w:t>succinctly defines</w:t>
      </w:r>
      <w:r w:rsidRPr="008A4013">
        <w:t xml:space="preserve"> “moral geography” as “the interweaving of moral frameworks and geographical territory” </w:t>
      </w:r>
      <w:r w:rsidR="008248C7" w:rsidRPr="008A4013">
        <w:fldChar w:fldCharType="begin"/>
      </w:r>
      <w:r w:rsidR="00D05B0A" w:rsidRPr="008A4013">
        <w:instrText xml:space="preserve"> ADDIN EN.CITE &lt;EndNote&gt;&lt;Cite&gt;&lt;Author&gt;Modan&lt;/Author&gt;&lt;Year&gt;2007&lt;/Year&gt;&lt;RecNum&gt;55&lt;/RecNum&gt;&lt;Pages&gt;88&lt;/Pages&gt;&lt;DisplayText&gt;(Modan 2007: 88)&lt;/DisplayText&gt;&lt;record&gt;&lt;rec-number&gt;55&lt;/rec-number&gt;&lt;foreign-keys&gt;&lt;key app="EN" db-id="x0x2x9vw3vz5wretwfnpsavdxe0w5pfpzees"&gt;55&lt;/key&gt;&lt;/foreign-keys&gt;&lt;ref-type name="Book"&gt;6&lt;/ref-type&gt;&lt;contributors&gt;&lt;authors&gt;&lt;author&gt;Galey Modan&lt;/author&gt;&lt;/authors&gt;&lt;/contributors&gt;&lt;titles&gt;&lt;title&gt;Turf Wars: Discourse, Diversity and the Politics of Place&lt;/title&gt;&lt;/titles&gt;&lt;dates&gt;&lt;year&gt;2007&lt;/year&gt;&lt;/dates&gt;&lt;pub-location&gt;Malden MA&lt;/pub-location&gt;&lt;publisher&gt;Blackwell&lt;/publisher&gt;&lt;urls&gt;&lt;/urls&gt;&lt;/record&gt;&lt;/Cite&gt;&lt;/EndNote&gt;</w:instrText>
      </w:r>
      <w:r w:rsidR="008248C7" w:rsidRPr="008A4013">
        <w:fldChar w:fldCharType="separate"/>
      </w:r>
      <w:r w:rsidR="00D05B0A" w:rsidRPr="008A4013">
        <w:rPr>
          <w:noProof/>
        </w:rPr>
        <w:t>(</w:t>
      </w:r>
      <w:hyperlink w:anchor="_ENREF_28" w:tooltip="Modan, 2007 #55" w:history="1">
        <w:r w:rsidR="00DE221F" w:rsidRPr="008A4013">
          <w:rPr>
            <w:noProof/>
          </w:rPr>
          <w:t>Modan 2007: 88</w:t>
        </w:r>
      </w:hyperlink>
      <w:r w:rsidR="00D05B0A" w:rsidRPr="008A4013">
        <w:rPr>
          <w:noProof/>
        </w:rPr>
        <w:t>)</w:t>
      </w:r>
      <w:r w:rsidR="008248C7" w:rsidRPr="008A4013">
        <w:fldChar w:fldCharType="end"/>
      </w:r>
      <w:r w:rsidRPr="008A4013">
        <w:t xml:space="preserve">. </w:t>
      </w:r>
      <w:r w:rsidR="00220893" w:rsidRPr="008A4013">
        <w:t xml:space="preserve"> For Philip Thomas, building on the work of </w:t>
      </w:r>
      <w:r w:rsidR="00B34F52" w:rsidRPr="008A4013">
        <w:t>Eugene Walter</w:t>
      </w:r>
      <w:r w:rsidR="00220893" w:rsidRPr="008A4013">
        <w:t xml:space="preserve"> and Edward Casey</w:t>
      </w:r>
      <w:r w:rsidR="00B34F52" w:rsidRPr="008A4013">
        <w:t xml:space="preserve">, such </w:t>
      </w:r>
      <w:proofErr w:type="spellStart"/>
      <w:r w:rsidR="00B34F52" w:rsidRPr="008A4013">
        <w:t>interweavings</w:t>
      </w:r>
      <w:proofErr w:type="spellEnd"/>
      <w:r w:rsidR="00B34F52" w:rsidRPr="008A4013">
        <w:t xml:space="preserve"> are </w:t>
      </w:r>
      <w:r w:rsidR="00220893" w:rsidRPr="008A4013">
        <w:t>“</w:t>
      </w:r>
      <w:r w:rsidR="00B34F52" w:rsidRPr="008A4013">
        <w:t>the product of historical and personal experience…both constituted by and constitutive of peoples’ senses of place, their understanding of who and where t</w:t>
      </w:r>
      <w:r w:rsidR="00D359A7" w:rsidRPr="008A4013">
        <w:t>hey are</w:t>
      </w:r>
      <w:r w:rsidR="00B34F52" w:rsidRPr="008A4013">
        <w:t xml:space="preserve">” </w:t>
      </w:r>
      <w:r w:rsidR="008248C7" w:rsidRPr="008A4013">
        <w:fldChar w:fldCharType="begin"/>
      </w:r>
      <w:r w:rsidR="00841C69" w:rsidRPr="008A4013">
        <w:instrText xml:space="preserve"> ADDIN EN.CITE &lt;EndNote&gt;&lt;Cite&gt;&lt;Author&gt;Thomas&lt;/Author&gt;&lt;Year&gt;2002&lt;/Year&gt;&lt;RecNum&gt;199&lt;/RecNum&gt;&lt;Pages&gt;368&lt;/Pages&gt;&lt;DisplayText&gt;(Thomas 2002: 368)&lt;/DisplayText&gt;&lt;record&gt;&lt;rec-number&gt;199&lt;/rec-number&gt;&lt;foreign-keys&gt;&lt;key app="EN" db-id="x0x2x9vw3vz5wretwfnpsavdxe0w5pfpzees"&gt;199&lt;/key&gt;&lt;/foreign-keys&gt;&lt;ref-type name="Journal Article"&gt;17&lt;/ref-type&gt;&lt;contributors&gt;&lt;authors&gt;&lt;author&gt;Thomas, Philip&lt;/author&gt;&lt;/authors&gt;&lt;/contributors&gt;&lt;titles&gt;&lt;title&gt;The River, the road, and the rural-urban divide: A postcolonial moral geography from southeast Madagascar&lt;/title&gt;&lt;secondary-title&gt;American Ethnologist&lt;/secondary-title&gt;&lt;/titles&gt;&lt;periodical&gt;&lt;full-title&gt;American Ethnologist&lt;/full-title&gt;&lt;/periodical&gt;&lt;pages&gt;366-391&lt;/pages&gt;&lt;volume&gt;29&lt;/volume&gt;&lt;number&gt;2&lt;/number&gt;&lt;section&gt;366&lt;/section&gt;&lt;dates&gt;&lt;year&gt;2002&lt;/year&gt;&lt;/dates&gt;&lt;urls&gt;&lt;/urls&gt;&lt;/record&gt;&lt;/Cite&gt;&lt;/EndNote&gt;</w:instrText>
      </w:r>
      <w:r w:rsidR="008248C7" w:rsidRPr="008A4013">
        <w:fldChar w:fldCharType="separate"/>
      </w:r>
      <w:r w:rsidR="004E1812" w:rsidRPr="008A4013">
        <w:rPr>
          <w:noProof/>
        </w:rPr>
        <w:t>(</w:t>
      </w:r>
      <w:hyperlink w:anchor="_ENREF_38" w:tooltip="Thomas, 2002 #199" w:history="1">
        <w:r w:rsidR="00DE221F" w:rsidRPr="008A4013">
          <w:rPr>
            <w:noProof/>
          </w:rPr>
          <w:t>Thomas 2002: 368</w:t>
        </w:r>
      </w:hyperlink>
      <w:r w:rsidR="004E1812" w:rsidRPr="008A4013">
        <w:rPr>
          <w:noProof/>
        </w:rPr>
        <w:t>)</w:t>
      </w:r>
      <w:r w:rsidR="008248C7" w:rsidRPr="008A4013">
        <w:fldChar w:fldCharType="end"/>
      </w:r>
      <w:r w:rsidR="00220893" w:rsidRPr="008A4013">
        <w:t>.</w:t>
      </w:r>
      <w:r w:rsidR="00B34F52" w:rsidRPr="008A4013">
        <w:t xml:space="preserve"> </w:t>
      </w:r>
      <w:r w:rsidRPr="008A4013">
        <w:t xml:space="preserve">Moral geography in </w:t>
      </w:r>
      <w:r w:rsidR="00220893" w:rsidRPr="008A4013">
        <w:t xml:space="preserve">evident in </w:t>
      </w:r>
      <w:r w:rsidRPr="008A4013">
        <w:t>speech</w:t>
      </w:r>
      <w:r w:rsidR="00220893" w:rsidRPr="008A4013">
        <w:t xml:space="preserve"> where connections of</w:t>
      </w:r>
      <w:r w:rsidRPr="008A4013">
        <w:t xml:space="preserve"> </w:t>
      </w:r>
      <w:r w:rsidR="00220893" w:rsidRPr="008A4013">
        <w:t>subjects</w:t>
      </w:r>
      <w:r w:rsidRPr="008A4013">
        <w:t xml:space="preserve"> to place</w:t>
      </w:r>
      <w:r w:rsidR="00220893" w:rsidRPr="008A4013">
        <w:t>s</w:t>
      </w:r>
      <w:r w:rsidRPr="008A4013">
        <w:t xml:space="preserve"> </w:t>
      </w:r>
      <w:r w:rsidR="00220893" w:rsidRPr="008A4013">
        <w:t>are expressed and legitimized through</w:t>
      </w:r>
      <w:r w:rsidRPr="008A4013">
        <w:t xml:space="preserve"> identity markers </w:t>
      </w:r>
      <w:r w:rsidR="00220893" w:rsidRPr="008A4013">
        <w:t>ostensibly shared by both. This frequently relies</w:t>
      </w:r>
      <w:r w:rsidRPr="008A4013">
        <w:t xml:space="preserve"> on the creation or sustenance of binaries</w:t>
      </w:r>
      <w:r w:rsidR="00220893" w:rsidRPr="008A4013">
        <w:t>,</w:t>
      </w:r>
      <w:r w:rsidRPr="008A4013">
        <w:t xml:space="preserve"> which ultimately serve to include or discount people from belonging to a place </w:t>
      </w:r>
      <w:r w:rsidR="004E1812" w:rsidRPr="008A4013">
        <w:fldChar w:fldCharType="begin"/>
      </w:r>
      <w:r w:rsidR="004E1812" w:rsidRPr="008A4013">
        <w:instrText xml:space="preserve"> ADDIN EN.CITE &lt;EndNote&gt;&lt;Cite&gt;&lt;Author&gt;Modan&lt;/Author&gt;&lt;Year&gt;2007&lt;/Year&gt;&lt;RecNum&gt;55&lt;/RecNum&gt;&lt;Pages&gt;106&lt;/Pages&gt;&lt;DisplayText&gt;(Modan 2007: 106)&lt;/DisplayText&gt;&lt;record&gt;&lt;rec-number&gt;55&lt;/rec-number&gt;&lt;foreign-keys&gt;&lt;key app="EN" db-id="x0x2x9vw3vz5wretwfnpsavdxe0w5pfpzees"&gt;55&lt;/key&gt;&lt;/foreign-keys&gt;&lt;ref-type name="Book"&gt;6&lt;/ref-type&gt;&lt;contributors&gt;&lt;authors&gt;&lt;author&gt;Galey Modan&lt;/author&gt;&lt;/authors&gt;&lt;/contributors&gt;&lt;titles&gt;&lt;title&gt;Turf Wars: Discourse, Diversity and the Politics of Place&lt;/title&gt;&lt;/titles&gt;&lt;dates&gt;&lt;year&gt;2007&lt;/year&gt;&lt;/dates&gt;&lt;pub-location&gt;Malden MA&lt;/pub-location&gt;&lt;publisher&gt;Blackwell&lt;/publisher&gt;&lt;urls&gt;&lt;/urls&gt;&lt;/record&gt;&lt;/Cite&gt;&lt;/EndNote&gt;</w:instrText>
      </w:r>
      <w:r w:rsidR="004E1812" w:rsidRPr="008A4013">
        <w:fldChar w:fldCharType="separate"/>
      </w:r>
      <w:r w:rsidR="004E1812" w:rsidRPr="008A4013">
        <w:rPr>
          <w:noProof/>
        </w:rPr>
        <w:t>(</w:t>
      </w:r>
      <w:hyperlink w:anchor="_ENREF_28" w:tooltip="Modan, 2007 #55" w:history="1">
        <w:r w:rsidR="00DE221F" w:rsidRPr="008A4013">
          <w:rPr>
            <w:noProof/>
          </w:rPr>
          <w:t>Modan 2007: 106</w:t>
        </w:r>
      </w:hyperlink>
      <w:r w:rsidR="004E1812" w:rsidRPr="008A4013">
        <w:rPr>
          <w:noProof/>
        </w:rPr>
        <w:t>)</w:t>
      </w:r>
      <w:r w:rsidR="004E1812" w:rsidRPr="008A4013">
        <w:fldChar w:fldCharType="end"/>
      </w:r>
      <w:r w:rsidRPr="008A4013">
        <w:t>.</w:t>
      </w:r>
      <w:r w:rsidR="00220893" w:rsidRPr="008A4013">
        <w:t xml:space="preserve"> </w:t>
      </w:r>
    </w:p>
    <w:p w14:paraId="276779AE" w14:textId="729B0C92" w:rsidR="001E2721" w:rsidRPr="008A4013" w:rsidRDefault="00515267" w:rsidP="00C137CF">
      <w:pPr>
        <w:tabs>
          <w:tab w:val="left" w:pos="709"/>
        </w:tabs>
        <w:ind w:firstLine="0"/>
        <w:outlineLvl w:val="0"/>
      </w:pPr>
      <w:r w:rsidRPr="008A4013">
        <w:tab/>
      </w:r>
      <w:r w:rsidR="00220893" w:rsidRPr="008A4013">
        <w:t>Thomas argues that the rural-urban contrast he identifies in Madagascar</w:t>
      </w:r>
      <w:r w:rsidR="005F5148" w:rsidRPr="008A4013">
        <w:t>, as in other postcolonial contexts,</w:t>
      </w:r>
      <w:r w:rsidR="00220893" w:rsidRPr="008A4013">
        <w:t xml:space="preserve"> </w:t>
      </w:r>
      <w:r w:rsidR="00002414" w:rsidRPr="008A4013">
        <w:t>is imbued w</w:t>
      </w:r>
      <w:r w:rsidR="005F5148" w:rsidRPr="008A4013">
        <w:t>ith moral understandings</w:t>
      </w:r>
      <w:r w:rsidR="00002414" w:rsidRPr="008A4013">
        <w:t xml:space="preserve"> of the rural as </w:t>
      </w:r>
      <w:r w:rsidR="005F5148" w:rsidRPr="008A4013">
        <w:t>representing tradition, and the urban,</w:t>
      </w:r>
      <w:r w:rsidR="00002414" w:rsidRPr="008A4013">
        <w:t xml:space="preserve"> modern</w:t>
      </w:r>
      <w:r w:rsidR="005F5148" w:rsidRPr="008A4013">
        <w:t xml:space="preserve">ity. </w:t>
      </w:r>
      <w:r w:rsidRPr="008A4013">
        <w:t>In this rendering “[geography’s]</w:t>
      </w:r>
      <w:r w:rsidR="00002414" w:rsidRPr="008A4013">
        <w:t xml:space="preserve"> moral dimension takes the form of an ethical contrast between doing for oneself and doing for others” </w:t>
      </w:r>
      <w:r w:rsidR="004E1812" w:rsidRPr="008A4013">
        <w:fldChar w:fldCharType="begin"/>
      </w:r>
      <w:r w:rsidR="00841C69" w:rsidRPr="008A4013">
        <w:instrText xml:space="preserve"> ADDIN EN.CITE &lt;EndNote&gt;&lt;Cite&gt;&lt;Author&gt;Thomas&lt;/Author&gt;&lt;Year&gt;2002&lt;/Year&gt;&lt;RecNum&gt;199&lt;/RecNum&gt;&lt;Pages&gt;368&lt;/Pages&gt;&lt;DisplayText&gt;(Thomas 2002: 368)&lt;/DisplayText&gt;&lt;record&gt;&lt;rec-number&gt;199&lt;/rec-number&gt;&lt;foreign-keys&gt;&lt;key app="EN" db-id="x0x2x9vw3vz5wretwfnpsavdxe0w5pfpzees"&gt;199&lt;/key&gt;&lt;/foreign-keys&gt;&lt;ref-type name="Journal Article"&gt;17&lt;/ref-type&gt;&lt;contributors&gt;&lt;authors&gt;&lt;author&gt;Thomas, Philip&lt;/author&gt;&lt;/authors&gt;&lt;/contributors&gt;&lt;titles&gt;&lt;title&gt;The River, the road, and the rural-urban divide: A postcolonial moral geography from southeast Madagascar&lt;/title&gt;&lt;secondary-title&gt;American Ethnologist&lt;/secondary-title&gt;&lt;/titles&gt;&lt;periodical&gt;&lt;full-title&gt;American Ethnologist&lt;/full-title&gt;&lt;/periodical&gt;&lt;pages&gt;366-391&lt;/pages&gt;&lt;volume&gt;29&lt;/volume&gt;&lt;number&gt;2&lt;/number&gt;&lt;section&gt;366&lt;/section&gt;&lt;dates&gt;&lt;year&gt;2002&lt;/year&gt;&lt;/dates&gt;&lt;urls&gt;&lt;/urls&gt;&lt;/record&gt;&lt;/Cite&gt;&lt;/EndNote&gt;</w:instrText>
      </w:r>
      <w:r w:rsidR="004E1812" w:rsidRPr="008A4013">
        <w:fldChar w:fldCharType="separate"/>
      </w:r>
      <w:r w:rsidR="004E1812" w:rsidRPr="008A4013">
        <w:rPr>
          <w:noProof/>
        </w:rPr>
        <w:t>(</w:t>
      </w:r>
      <w:hyperlink w:anchor="_ENREF_38" w:tooltip="Thomas, 2002 #199" w:history="1">
        <w:r w:rsidR="00DE221F" w:rsidRPr="008A4013">
          <w:rPr>
            <w:noProof/>
          </w:rPr>
          <w:t>Thomas 2002: 368</w:t>
        </w:r>
      </w:hyperlink>
      <w:r w:rsidR="004E1812" w:rsidRPr="008A4013">
        <w:rPr>
          <w:noProof/>
        </w:rPr>
        <w:t>)</w:t>
      </w:r>
      <w:r w:rsidR="004E1812" w:rsidRPr="008A4013">
        <w:fldChar w:fldCharType="end"/>
      </w:r>
      <w:r w:rsidR="00002414" w:rsidRPr="008A4013">
        <w:t xml:space="preserve">. </w:t>
      </w:r>
      <w:r w:rsidRPr="008A4013">
        <w:t>Thomas’</w:t>
      </w:r>
      <w:r w:rsidR="00C456FF" w:rsidRPr="008A4013">
        <w:t xml:space="preserve"> per</w:t>
      </w:r>
      <w:r w:rsidRPr="008A4013">
        <w:t>spective is instructive here,</w:t>
      </w:r>
      <w:r w:rsidR="00C456FF" w:rsidRPr="008A4013">
        <w:t xml:space="preserve"> </w:t>
      </w:r>
      <w:r w:rsidRPr="008A4013">
        <w:t xml:space="preserve">to </w:t>
      </w:r>
      <w:r w:rsidR="00C456FF" w:rsidRPr="008A4013">
        <w:t>consider the moral geography of neoliberal ideology.</w:t>
      </w:r>
    </w:p>
    <w:p w14:paraId="47B3DC0E" w14:textId="122E3373" w:rsidR="001E2721" w:rsidRPr="008A4013" w:rsidRDefault="004D31AC" w:rsidP="00C137CF">
      <w:pPr>
        <w:tabs>
          <w:tab w:val="left" w:pos="709"/>
        </w:tabs>
        <w:ind w:firstLine="0"/>
        <w:rPr>
          <w:b/>
        </w:rPr>
      </w:pPr>
      <w:r w:rsidRPr="008A4013">
        <w:lastRenderedPageBreak/>
        <w:tab/>
      </w:r>
      <w:r w:rsidR="001E2721" w:rsidRPr="008A4013">
        <w:t>Le</w:t>
      </w:r>
      <w:r w:rsidR="008F1A59" w:rsidRPr="008A4013">
        <w:t>i</w:t>
      </w:r>
      <w:r w:rsidR="001E2721" w:rsidRPr="008A4013">
        <w:t xml:space="preserve">tner, Shepard </w:t>
      </w:r>
      <w:r w:rsidR="001E2721" w:rsidRPr="008A4013">
        <w:rPr>
          <w:i/>
        </w:rPr>
        <w:t>et al.</w:t>
      </w:r>
      <w:r w:rsidR="001E2721" w:rsidRPr="008A4013">
        <w:t xml:space="preserve"> posit that the city is “</w:t>
      </w:r>
      <w:r w:rsidR="008F1A59" w:rsidRPr="008A4013">
        <w:t xml:space="preserve">at the forefront of </w:t>
      </w:r>
      <w:proofErr w:type="spellStart"/>
      <w:r w:rsidR="008F1A59" w:rsidRPr="008A4013">
        <w:t>neoliberaliz</w:t>
      </w:r>
      <w:r w:rsidR="001E2721" w:rsidRPr="008A4013">
        <w:t>ation</w:t>
      </w:r>
      <w:proofErr w:type="spellEnd"/>
      <w:r w:rsidR="001E2721" w:rsidRPr="008A4013">
        <w:t xml:space="preserve">” </w:t>
      </w:r>
      <w:r w:rsidR="00D05B0A" w:rsidRPr="008A4013">
        <w:fldChar w:fldCharType="begin"/>
      </w:r>
      <w:r w:rsidR="00841C69" w:rsidRPr="008A4013">
        <w:instrText xml:space="preserve"> ADDIN EN.CITE &lt;EndNote&gt;&lt;Cite ExcludeAuth="1"&gt;&lt;Author&gt;Leitner&lt;/Author&gt;&lt;Year&gt;2003&lt;/Year&gt;&lt;RecNum&gt;43&lt;/RecNum&gt;&lt;Pages&gt;2&lt;/Pages&gt;&lt;DisplayText&gt;(2003: 2)&lt;/DisplayText&gt;&lt;record&gt;&lt;rec-number&gt;43&lt;/rec-number&gt;&lt;foreign-keys&gt;&lt;key app="EN" db-id="x0x2x9vw3vz5wretwfnpsavdxe0w5pfpzees"&gt;43&lt;/key&gt;&lt;/foreign-keys&gt;&lt;ref-type name="Book Section"&gt;5&lt;/ref-type&gt;&lt;contributors&gt;&lt;authors&gt;&lt;author&gt;Leitner, Helga&lt;/author&gt;&lt;author&gt;Sheppard, Eric&lt;/author&gt;&lt;author&gt;Sziarto, Kristen&lt;/author&gt;&lt;author&gt;Mariganti, Anant&lt;/author&gt;&lt;/authors&gt;&lt;secondary-authors&gt;&lt;author&gt;Helga Leitner, Jamie Peck and Eric Sheppard&lt;/author&gt;&lt;/secondary-authors&gt;&lt;/contributors&gt;&lt;titles&gt;&lt;title&gt;Contesting urban futures: Decentering neoliberalism&lt;/title&gt;&lt;secondary-title&gt;Contesting Neoliberalism: Urban Frontiers&lt;/secondary-title&gt;&lt;/titles&gt;&lt;pages&gt;1-25&lt;/pages&gt;&lt;dates&gt;&lt;year&gt;2003&lt;/year&gt;&lt;/dates&gt;&lt;pub-location&gt;New York&lt;/pub-location&gt;&lt;publisher&gt;Guilford Press&lt;/publisher&gt;&lt;urls&gt;&lt;/urls&gt;&lt;/record&gt;&lt;/Cite&gt;&lt;/EndNote&gt;</w:instrText>
      </w:r>
      <w:r w:rsidR="00D05B0A" w:rsidRPr="008A4013">
        <w:fldChar w:fldCharType="separate"/>
      </w:r>
      <w:r w:rsidR="00D05B0A" w:rsidRPr="008A4013">
        <w:rPr>
          <w:noProof/>
        </w:rPr>
        <w:t>(</w:t>
      </w:r>
      <w:hyperlink w:anchor="_ENREF_24" w:tooltip="Leitner, 2003 #43" w:history="1">
        <w:r w:rsidR="00DE221F" w:rsidRPr="008A4013">
          <w:rPr>
            <w:noProof/>
          </w:rPr>
          <w:t>2003: 2</w:t>
        </w:r>
      </w:hyperlink>
      <w:r w:rsidR="00D05B0A" w:rsidRPr="008A4013">
        <w:rPr>
          <w:noProof/>
        </w:rPr>
        <w:t>)</w:t>
      </w:r>
      <w:r w:rsidR="00D05B0A" w:rsidRPr="008A4013">
        <w:fldChar w:fldCharType="end"/>
      </w:r>
      <w:r w:rsidR="00D05B0A" w:rsidRPr="008A4013">
        <w:t>.</w:t>
      </w:r>
      <w:r w:rsidR="0098138B" w:rsidRPr="008A4013">
        <w:t xml:space="preserve"> </w:t>
      </w:r>
      <w:r w:rsidR="001E2721" w:rsidRPr="008A4013">
        <w:t xml:space="preserve">They describe the neoliberal urban </w:t>
      </w:r>
      <w:r w:rsidR="008F1A59" w:rsidRPr="008A4013">
        <w:t>center</w:t>
      </w:r>
      <w:r w:rsidR="001E2721" w:rsidRPr="008A4013">
        <w:t xml:space="preserve"> as </w:t>
      </w:r>
      <w:r w:rsidR="008F1A59" w:rsidRPr="008A4013">
        <w:t>characterized</w:t>
      </w:r>
      <w:r w:rsidR="001E2721" w:rsidRPr="008A4013">
        <w:t xml:space="preserve"> and fuelled by entrepreneurialism, innovation and creative energy, and populated by responsible, autonomous individuals </w:t>
      </w:r>
      <w:r w:rsidR="00D05B0A" w:rsidRPr="008A4013">
        <w:fldChar w:fldCharType="begin"/>
      </w:r>
      <w:r w:rsidR="00841C69" w:rsidRPr="008A4013">
        <w:instrText xml:space="preserve"> ADDIN EN.CITE &lt;EndNote&gt;&lt;Cite&gt;&lt;Author&gt;Leitner&lt;/Author&gt;&lt;Year&gt;2003&lt;/Year&gt;&lt;RecNum&gt;43&lt;/RecNum&gt;&lt;Pages&gt;2-5&lt;/Pages&gt;&lt;DisplayText&gt;(Leitner&lt;style face="italic"&gt; et al.&lt;/style&gt; 2003: 2-5)&lt;/DisplayText&gt;&lt;record&gt;&lt;rec-number&gt;43&lt;/rec-number&gt;&lt;foreign-keys&gt;&lt;key app="EN" db-id="x0x2x9vw3vz5wretwfnpsavdxe0w5pfpzees"&gt;43&lt;/key&gt;&lt;/foreign-keys&gt;&lt;ref-type name="Book Section"&gt;5&lt;/ref-type&gt;&lt;contributors&gt;&lt;authors&gt;&lt;author&gt;Leitner, Helga&lt;/author&gt;&lt;author&gt;Sheppard, Eric&lt;/author&gt;&lt;author&gt;Sziarto, Kristen&lt;/author&gt;&lt;author&gt;Mariganti, Anant&lt;/author&gt;&lt;/authors&gt;&lt;secondary-authors&gt;&lt;author&gt;Helga Leitner, Jamie Peck and Eric Sheppard&lt;/author&gt;&lt;/secondary-authors&gt;&lt;/contributors&gt;&lt;titles&gt;&lt;title&gt;Contesting urban futures: Decentering neoliberalism&lt;/title&gt;&lt;secondary-title&gt;Contesting Neoliberalism: Urban Frontiers&lt;/secondary-title&gt;&lt;/titles&gt;&lt;pages&gt;1-25&lt;/pages&gt;&lt;dates&gt;&lt;year&gt;2003&lt;/year&gt;&lt;/dates&gt;&lt;pub-location&gt;New York&lt;/pub-location&gt;&lt;publisher&gt;Guilford Press&lt;/publisher&gt;&lt;urls&gt;&lt;/urls&gt;&lt;/record&gt;&lt;/Cite&gt;&lt;/EndNote&gt;</w:instrText>
      </w:r>
      <w:r w:rsidR="00D05B0A" w:rsidRPr="008A4013">
        <w:fldChar w:fldCharType="separate"/>
      </w:r>
      <w:r w:rsidR="00D05B0A" w:rsidRPr="008A4013">
        <w:rPr>
          <w:noProof/>
        </w:rPr>
        <w:t>(</w:t>
      </w:r>
      <w:hyperlink w:anchor="_ENREF_24" w:tooltip="Leitner, 2003 #43" w:history="1">
        <w:r w:rsidR="00DE221F" w:rsidRPr="008A4013">
          <w:rPr>
            <w:noProof/>
          </w:rPr>
          <w:t>Leitner</w:t>
        </w:r>
        <w:r w:rsidR="00DE221F" w:rsidRPr="008A4013">
          <w:rPr>
            <w:i/>
            <w:noProof/>
          </w:rPr>
          <w:t xml:space="preserve"> et al.</w:t>
        </w:r>
        <w:r w:rsidR="00DE221F" w:rsidRPr="008A4013">
          <w:rPr>
            <w:noProof/>
          </w:rPr>
          <w:t xml:space="preserve"> 2003: 2-5</w:t>
        </w:r>
      </w:hyperlink>
      <w:r w:rsidR="00D05B0A" w:rsidRPr="008A4013">
        <w:rPr>
          <w:noProof/>
        </w:rPr>
        <w:t>)</w:t>
      </w:r>
      <w:r w:rsidR="00D05B0A" w:rsidRPr="008A4013">
        <w:fldChar w:fldCharType="end"/>
      </w:r>
      <w:r w:rsidR="00D05B0A" w:rsidRPr="008A4013">
        <w:t xml:space="preserve">. </w:t>
      </w:r>
      <w:r w:rsidR="001E2721" w:rsidRPr="008A4013">
        <w:t>Laypeople’s insinuations as to what defines a better life appear to confo</w:t>
      </w:r>
      <w:r w:rsidR="0098138B" w:rsidRPr="008A4013">
        <w:t>rm to this imaginary, pathologiz</w:t>
      </w:r>
      <w:r w:rsidR="001E2721" w:rsidRPr="008A4013">
        <w:t xml:space="preserve">ing the “town” the listener is presumed to inhabit as a homophobic locale in contrast to the accepting and “urban area” (Andrew, </w:t>
      </w:r>
      <w:r w:rsidR="001E2721" w:rsidRPr="008A4013">
        <w:rPr>
          <w:i/>
        </w:rPr>
        <w:t>Example Three</w:t>
      </w:r>
      <w:r w:rsidR="001E2721" w:rsidRPr="008A4013">
        <w:t xml:space="preserve">). Misty </w:t>
      </w:r>
      <w:proofErr w:type="spellStart"/>
      <w:r w:rsidR="001E2721" w:rsidRPr="008A4013">
        <w:t>Eyez</w:t>
      </w:r>
      <w:proofErr w:type="spellEnd"/>
      <w:r w:rsidR="001E2721" w:rsidRPr="008A4013">
        <w:t xml:space="preserve"> </w:t>
      </w:r>
      <w:r w:rsidR="0098138B" w:rsidRPr="008A4013">
        <w:t>(</w:t>
      </w:r>
      <w:r w:rsidR="0098138B" w:rsidRPr="008A4013">
        <w:rPr>
          <w:i/>
        </w:rPr>
        <w:t>Example Three</w:t>
      </w:r>
      <w:r w:rsidR="0098138B" w:rsidRPr="008A4013">
        <w:t xml:space="preserve">) </w:t>
      </w:r>
      <w:r w:rsidR="001654DF" w:rsidRPr="008A4013">
        <w:t>echoes this sentiment, albeit in a more direct manner</w:t>
      </w:r>
      <w:r w:rsidR="00515267" w:rsidRPr="008A4013">
        <w:t>, evoking the notoriously violent frontier town</w:t>
      </w:r>
      <w:r w:rsidR="00C456FF" w:rsidRPr="008A4013">
        <w:t xml:space="preserve"> Dodge City</w:t>
      </w:r>
      <w:r w:rsidR="00515267" w:rsidRPr="008A4013">
        <w:t xml:space="preserve"> as stand in for rural U.S.A.</w:t>
      </w:r>
      <w:r w:rsidR="00DB1CC4" w:rsidRPr="008A4013">
        <w:rPr>
          <w:b/>
        </w:rPr>
        <w:t xml:space="preserve"> </w:t>
      </w:r>
    </w:p>
    <w:p w14:paraId="5A0DE8BD" w14:textId="7CF4B065" w:rsidR="001E2721" w:rsidRPr="008A4013" w:rsidRDefault="001E2721" w:rsidP="00C137CF">
      <w:pPr>
        <w:tabs>
          <w:tab w:val="left" w:pos="709"/>
        </w:tabs>
        <w:ind w:firstLine="0"/>
      </w:pPr>
      <w:r w:rsidRPr="008A4013">
        <w:tab/>
        <w:t xml:space="preserve">Spokespeople </w:t>
      </w:r>
      <w:r w:rsidR="0098138B" w:rsidRPr="008A4013">
        <w:t>conversely emphasiz</w:t>
      </w:r>
      <w:r w:rsidRPr="008A4013">
        <w:t xml:space="preserve">e the importance of finding support within imagined listeners existing communities. They do not advocate leaving or moving home, </w:t>
      </w:r>
      <w:r w:rsidR="008F1A59" w:rsidRPr="008A4013">
        <w:t>emphasizing</w:t>
      </w:r>
      <w:r w:rsidRPr="008A4013">
        <w:t xml:space="preserve"> </w:t>
      </w:r>
      <w:r w:rsidR="0098138B" w:rsidRPr="008A4013">
        <w:t>instead how a</w:t>
      </w:r>
      <w:r w:rsidRPr="008A4013">
        <w:t xml:space="preserve"> commitment to communi</w:t>
      </w:r>
      <w:r w:rsidR="0098138B" w:rsidRPr="008A4013">
        <w:t>ty building and transformation can be</w:t>
      </w:r>
      <w:r w:rsidRPr="008A4013">
        <w:t xml:space="preserve"> action towards it getting better</w:t>
      </w:r>
      <w:r w:rsidR="0098138B" w:rsidRPr="008A4013">
        <w:t xml:space="preserve"> across the entire country</w:t>
      </w:r>
      <w:r w:rsidR="008A2781" w:rsidRPr="008A4013">
        <w:t>:</w:t>
      </w:r>
      <w:r w:rsidR="008A2781" w:rsidRPr="008A4013">
        <w:rPr>
          <w:b/>
        </w:rPr>
        <w:t xml:space="preserve"> </w:t>
      </w:r>
      <w:r w:rsidR="008A2781" w:rsidRPr="008A4013">
        <w:t xml:space="preserve">“across America” </w:t>
      </w:r>
      <w:r w:rsidR="00D359A7" w:rsidRPr="008A4013">
        <w:t xml:space="preserve">or “all over the United States.” </w:t>
      </w:r>
      <w:r w:rsidR="00DB1CC4" w:rsidRPr="008A4013">
        <w:t xml:space="preserve">Whereas Andrew and Misty </w:t>
      </w:r>
      <w:proofErr w:type="spellStart"/>
      <w:r w:rsidR="00DB1CC4" w:rsidRPr="008A4013">
        <w:t>Eyez</w:t>
      </w:r>
      <w:proofErr w:type="spellEnd"/>
      <w:r w:rsidR="00DB1CC4" w:rsidRPr="008A4013">
        <w:t xml:space="preserve"> textually position the threatening and intolerant “there” in contrast</w:t>
      </w:r>
      <w:r w:rsidR="00E54C7E" w:rsidRPr="008A4013">
        <w:t xml:space="preserve"> to the accepting, urban “here,”</w:t>
      </w:r>
      <w:r w:rsidR="00DB1CC4" w:rsidRPr="008A4013">
        <w:t xml:space="preserve"> spokespeople discursively reject </w:t>
      </w:r>
      <w:r w:rsidR="00D55D4B" w:rsidRPr="008A4013">
        <w:t>this</w:t>
      </w:r>
      <w:r w:rsidR="00DB1CC4" w:rsidRPr="008A4013">
        <w:t xml:space="preserve"> moral map</w:t>
      </w:r>
      <w:r w:rsidR="00D55D4B" w:rsidRPr="008A4013">
        <w:t xml:space="preserve"> of the U.S.,</w:t>
      </w:r>
      <w:r w:rsidR="00DB1CC4" w:rsidRPr="008A4013">
        <w:t xml:space="preserve"> specify</w:t>
      </w:r>
      <w:r w:rsidR="00D55D4B" w:rsidRPr="008A4013">
        <w:t>ing instead</w:t>
      </w:r>
      <w:r w:rsidR="00DB1CC4" w:rsidRPr="008A4013">
        <w:t xml:space="preserve"> </w:t>
      </w:r>
      <w:r w:rsidR="00D55D4B" w:rsidRPr="008A4013">
        <w:t>that pockets of acceptance can be found anywhere, albeit perhaps only within certain faith-based communities.</w:t>
      </w:r>
    </w:p>
    <w:p w14:paraId="62A68AD3" w14:textId="334441B6" w:rsidR="0098138B" w:rsidRPr="008A4013" w:rsidRDefault="001E2721" w:rsidP="00C137CF">
      <w:pPr>
        <w:tabs>
          <w:tab w:val="left" w:pos="709"/>
        </w:tabs>
        <w:ind w:firstLine="0"/>
      </w:pPr>
      <w:r w:rsidRPr="008A4013">
        <w:tab/>
        <w:t xml:space="preserve">Judith Halberstam </w:t>
      </w:r>
      <w:r w:rsidR="00D55D4B" w:rsidRPr="008A4013">
        <w:t xml:space="preserve">draws attention to the erasure of rural gay experience that results from </w:t>
      </w:r>
      <w:r w:rsidRPr="008A4013">
        <w:t xml:space="preserve">the “essential </w:t>
      </w:r>
      <w:r w:rsidR="008F1A59" w:rsidRPr="008A4013">
        <w:t>characterization</w:t>
      </w:r>
      <w:r w:rsidRPr="008A4013">
        <w:t xml:space="preserve"> of queer life as urban”</w:t>
      </w:r>
      <w:r w:rsidR="00D55D4B" w:rsidRPr="008A4013">
        <w:t xml:space="preserve"> in popular culture and campaigns for gay rights </w:t>
      </w:r>
      <w:r w:rsidR="008248C7" w:rsidRPr="008A4013">
        <w:fldChar w:fldCharType="begin"/>
      </w:r>
      <w:r w:rsidR="00B63259" w:rsidRPr="008A4013">
        <w:instrText xml:space="preserve"> ADDIN EN.CITE &lt;EndNote&gt;&lt;Cite ExcludeAuth="1"&gt;&lt;Author&gt;Halberstam&lt;/Author&gt;&lt;Year&gt;2005&lt;/Year&gt;&lt;RecNum&gt;53&lt;/RecNum&gt;&lt;Pages&gt;15&lt;/Pages&gt;&lt;DisplayText&gt;(2005: 15)&lt;/DisplayText&gt;&lt;record&gt;&lt;rec-number&gt;53&lt;/rec-number&gt;&lt;foreign-keys&gt;&lt;key app="EN" db-id="x0x2x9vw3vz5wretwfnpsavdxe0w5pfpzees"&gt;53&lt;/key&gt;&lt;/foreign-keys&gt;&lt;ref-type name="Book"&gt;6&lt;/ref-type&gt;&lt;contributors&gt;&lt;authors&gt;&lt;author&gt;Halberstam, Judith&lt;/author&gt;&lt;/authors&gt;&lt;/contributors&gt;&lt;titles&gt;&lt;title&gt;In a Queer Time and Place&lt;/title&gt;&lt;/titles&gt;&lt;dates&gt;&lt;year&gt;2005&lt;/year&gt;&lt;/dates&gt;&lt;pub-location&gt;New York and London&lt;/pub-location&gt;&lt;publisher&gt;NYU Press&lt;/publisher&gt;&lt;urls&gt;&lt;/urls&gt;&lt;/record&gt;&lt;/Cite&gt;&lt;/EndNote&gt;</w:instrText>
      </w:r>
      <w:r w:rsidR="008248C7" w:rsidRPr="008A4013">
        <w:fldChar w:fldCharType="separate"/>
      </w:r>
      <w:r w:rsidR="00A52215" w:rsidRPr="008A4013">
        <w:rPr>
          <w:noProof/>
        </w:rPr>
        <w:t>(</w:t>
      </w:r>
      <w:hyperlink w:anchor="_ENREF_16" w:tooltip="Halberstam, 2005 #53" w:history="1">
        <w:r w:rsidR="00DE221F" w:rsidRPr="008A4013">
          <w:rPr>
            <w:noProof/>
          </w:rPr>
          <w:t>2005: 15</w:t>
        </w:r>
      </w:hyperlink>
      <w:r w:rsidR="00A52215" w:rsidRPr="008A4013">
        <w:rPr>
          <w:noProof/>
        </w:rPr>
        <w:t>)</w:t>
      </w:r>
      <w:r w:rsidR="008248C7" w:rsidRPr="008A4013">
        <w:fldChar w:fldCharType="end"/>
      </w:r>
      <w:r w:rsidR="00D359A7" w:rsidRPr="008A4013">
        <w:t>.</w:t>
      </w:r>
      <w:r w:rsidR="001C4A6D" w:rsidRPr="008A4013">
        <w:t xml:space="preserve"> Rural and small-town U.S. is actively </w:t>
      </w:r>
      <w:r w:rsidR="006E0C0F" w:rsidRPr="008A4013">
        <w:t>mythologized</w:t>
      </w:r>
      <w:r w:rsidR="001C4A6D" w:rsidRPr="008A4013">
        <w:t xml:space="preserve"> </w:t>
      </w:r>
      <w:r w:rsidR="001C4A6D" w:rsidRPr="008A4013">
        <w:rPr>
          <w:rFonts w:eastAsia="Times New Roman"/>
        </w:rPr>
        <w:t xml:space="preserve">as </w:t>
      </w:r>
      <w:r w:rsidR="006E0C0F" w:rsidRPr="008A4013">
        <w:rPr>
          <w:rFonts w:eastAsia="Times New Roman"/>
        </w:rPr>
        <w:t>“</w:t>
      </w:r>
      <w:r w:rsidR="001C4A6D" w:rsidRPr="008A4013">
        <w:rPr>
          <w:rFonts w:eastAsia="Times New Roman"/>
        </w:rPr>
        <w:t>sad and lonely</w:t>
      </w:r>
      <w:r w:rsidR="00D359A7" w:rsidRPr="008A4013">
        <w:rPr>
          <w:rFonts w:eastAsia="Times New Roman"/>
        </w:rPr>
        <w:t>,</w:t>
      </w:r>
      <w:r w:rsidR="001C4A6D" w:rsidRPr="008A4013">
        <w:rPr>
          <w:rFonts w:eastAsia="Times New Roman"/>
        </w:rPr>
        <w:t>”</w:t>
      </w:r>
      <w:r w:rsidR="001C4A6D" w:rsidRPr="008A4013">
        <w:t xml:space="preserve"> Halberstam argues</w:t>
      </w:r>
      <w:r w:rsidR="001C4A6D" w:rsidRPr="008A4013">
        <w:rPr>
          <w:rFonts w:eastAsia="Times New Roman"/>
        </w:rPr>
        <w:t>, noting further that “rural queers might be thought of as ‘stuck’ in a place that they would leave if they only could”</w:t>
      </w:r>
      <w:r w:rsidR="00D05B0A" w:rsidRPr="008A4013">
        <w:rPr>
          <w:rFonts w:eastAsia="Times New Roman"/>
        </w:rPr>
        <w:t xml:space="preserve"> </w:t>
      </w:r>
      <w:r w:rsidR="00D05B0A" w:rsidRPr="008A4013">
        <w:rPr>
          <w:rFonts w:eastAsia="Times New Roman"/>
        </w:rPr>
        <w:fldChar w:fldCharType="begin"/>
      </w:r>
      <w:r w:rsidR="00B63259" w:rsidRPr="008A4013">
        <w:rPr>
          <w:rFonts w:eastAsia="Times New Roman"/>
        </w:rPr>
        <w:instrText xml:space="preserve"> ADDIN EN.CITE &lt;EndNote&gt;&lt;Cite ExcludeAuth="1"&gt;&lt;Author&gt;Halberstam&lt;/Author&gt;&lt;Year&gt;2005&lt;/Year&gt;&lt;RecNum&gt;53&lt;/RecNum&gt;&lt;Pages&gt;36&lt;/Pages&gt;&lt;DisplayText&gt;(2005: 36)&lt;/DisplayText&gt;&lt;record&gt;&lt;rec-number&gt;53&lt;/rec-number&gt;&lt;foreign-keys&gt;&lt;key app="EN" db-id="x0x2x9vw3vz5wretwfnpsavdxe0w5pfpzees"&gt;53&lt;/key&gt;&lt;/foreign-keys&gt;&lt;ref-type name="Book"&gt;6&lt;/ref-type&gt;&lt;contributors&gt;&lt;authors&gt;&lt;author&gt;Halberstam, Judith&lt;/author&gt;&lt;/authors&gt;&lt;/contributors&gt;&lt;titles&gt;&lt;title&gt;In a Queer Time and Place&lt;/title&gt;&lt;/titles&gt;&lt;dates&gt;&lt;year&gt;2005&lt;/year&gt;&lt;/dates&gt;&lt;pub-location&gt;New York and London&lt;/pub-location&gt;&lt;publisher&gt;NYU Press&lt;/publisher&gt;&lt;urls&gt;&lt;/urls&gt;&lt;/record&gt;&lt;/Cite&gt;&lt;/EndNote&gt;</w:instrText>
      </w:r>
      <w:r w:rsidR="00D05B0A" w:rsidRPr="008A4013">
        <w:rPr>
          <w:rFonts w:eastAsia="Times New Roman"/>
        </w:rPr>
        <w:fldChar w:fldCharType="separate"/>
      </w:r>
      <w:r w:rsidR="00D05B0A" w:rsidRPr="008A4013">
        <w:rPr>
          <w:rFonts w:eastAsia="Times New Roman"/>
          <w:noProof/>
        </w:rPr>
        <w:t>(</w:t>
      </w:r>
      <w:hyperlink w:anchor="_ENREF_16" w:tooltip="Halberstam, 2005 #53" w:history="1">
        <w:r w:rsidR="00DE221F" w:rsidRPr="008A4013">
          <w:rPr>
            <w:rFonts w:eastAsia="Times New Roman"/>
            <w:noProof/>
          </w:rPr>
          <w:t>2005: 36</w:t>
        </w:r>
      </w:hyperlink>
      <w:r w:rsidR="00D05B0A" w:rsidRPr="008A4013">
        <w:rPr>
          <w:rFonts w:eastAsia="Times New Roman"/>
          <w:noProof/>
        </w:rPr>
        <w:t>)</w:t>
      </w:r>
      <w:r w:rsidR="00D05B0A" w:rsidRPr="008A4013">
        <w:rPr>
          <w:rFonts w:eastAsia="Times New Roman"/>
        </w:rPr>
        <w:fldChar w:fldCharType="end"/>
      </w:r>
      <w:r w:rsidR="001C4A6D" w:rsidRPr="008A4013">
        <w:rPr>
          <w:rFonts w:eastAsia="Times New Roman"/>
        </w:rPr>
        <w:t xml:space="preserve">. </w:t>
      </w:r>
      <w:r w:rsidR="006E0C0F" w:rsidRPr="008A4013">
        <w:rPr>
          <w:rFonts w:eastAsia="Times New Roman"/>
        </w:rPr>
        <w:t>Following Halberstam, Mary Gray draws particular attention to the framing of “queer-youth sexualities and genders as ‘lacking’ or ‘incomplete’” which emerges through popular understandings of the rural as “gay America’s closet”</w:t>
      </w:r>
      <w:r w:rsidR="00D05B0A" w:rsidRPr="008A4013">
        <w:rPr>
          <w:rFonts w:eastAsia="Times New Roman"/>
        </w:rPr>
        <w:t xml:space="preserve"> </w:t>
      </w:r>
      <w:r w:rsidR="00D05B0A" w:rsidRPr="008A4013">
        <w:rPr>
          <w:rFonts w:eastAsia="Times New Roman"/>
        </w:rPr>
        <w:fldChar w:fldCharType="begin"/>
      </w:r>
      <w:r w:rsidR="00D05B0A" w:rsidRPr="008A4013">
        <w:rPr>
          <w:rFonts w:eastAsia="Times New Roman"/>
        </w:rPr>
        <w:instrText xml:space="preserve"> ADDIN EN.CITE &lt;EndNote&gt;&lt;Cite&gt;&lt;Author&gt;Gray&lt;/Author&gt;&lt;Year&gt;2009&lt;/Year&gt;&lt;RecNum&gt;198&lt;/RecNum&gt;&lt;Pages&gt;9-10&lt;/Pages&gt;&lt;DisplayText&gt;(Gray 2009: 9-10)&lt;/DisplayText&gt;&lt;record&gt;&lt;rec-number&gt;198&lt;/rec-number&gt;&lt;foreign-keys&gt;&lt;key app="EN" db-id="x0x2x9vw3vz5wretwfnpsavdxe0w5pfpzees"&gt;198&lt;/key&gt;&lt;/foreign-keys&gt;&lt;ref-type name="Book"&gt;6&lt;/ref-type&gt;&lt;contributors&gt;&lt;authors&gt;&lt;author&gt;Gray, Mary L.&lt;/author&gt;&lt;/authors&gt;&lt;/contributors&gt;&lt;titles&gt;&lt;title&gt;Out in the Country: Youth, Media, and Queer Visibility in Rural America&lt;/title&gt;&lt;/titles&gt;&lt;dates&gt;&lt;year&gt;2009&lt;/year&gt;&lt;/dates&gt;&lt;pub-location&gt;New York&lt;/pub-location&gt;&lt;publisher&gt;New York University Press&lt;/publisher&gt;&lt;isbn&gt;9780814732205&lt;/isbn&gt;&lt;urls&gt;&lt;related-urls&gt;&lt;url&gt;http://books.google.com/books?id=Gf2l3ir2ACsC&lt;/url&gt;&lt;/related-urls&gt;&lt;/urls&gt;&lt;/record&gt;&lt;/Cite&gt;&lt;/EndNote&gt;</w:instrText>
      </w:r>
      <w:r w:rsidR="00D05B0A" w:rsidRPr="008A4013">
        <w:rPr>
          <w:rFonts w:eastAsia="Times New Roman"/>
        </w:rPr>
        <w:fldChar w:fldCharType="separate"/>
      </w:r>
      <w:r w:rsidR="00D05B0A" w:rsidRPr="008A4013">
        <w:rPr>
          <w:rFonts w:eastAsia="Times New Roman"/>
          <w:noProof/>
        </w:rPr>
        <w:t>(</w:t>
      </w:r>
      <w:hyperlink w:anchor="_ENREF_15" w:tooltip="Gray, 2009 #198" w:history="1">
        <w:r w:rsidR="00DE221F" w:rsidRPr="008A4013">
          <w:rPr>
            <w:rFonts w:eastAsia="Times New Roman"/>
            <w:noProof/>
          </w:rPr>
          <w:t>Gray 2009: 9-10</w:t>
        </w:r>
      </w:hyperlink>
      <w:r w:rsidR="00D05B0A" w:rsidRPr="008A4013">
        <w:rPr>
          <w:rFonts w:eastAsia="Times New Roman"/>
          <w:noProof/>
        </w:rPr>
        <w:t>)</w:t>
      </w:r>
      <w:r w:rsidR="00D05B0A" w:rsidRPr="008A4013">
        <w:rPr>
          <w:rFonts w:eastAsia="Times New Roman"/>
        </w:rPr>
        <w:fldChar w:fldCharType="end"/>
      </w:r>
      <w:r w:rsidR="006E0C0F" w:rsidRPr="008A4013">
        <w:rPr>
          <w:rFonts w:eastAsia="Times New Roman"/>
        </w:rPr>
        <w:t>.</w:t>
      </w:r>
      <w:r w:rsidR="004C276E" w:rsidRPr="008A4013">
        <w:rPr>
          <w:rFonts w:eastAsia="Times New Roman"/>
        </w:rPr>
        <w:t xml:space="preserve"> </w:t>
      </w:r>
      <w:r w:rsidR="00D55D4B" w:rsidRPr="008A4013">
        <w:rPr>
          <w:rFonts w:eastAsia="Times New Roman"/>
        </w:rPr>
        <w:t xml:space="preserve">These perspectives are evident and frequently </w:t>
      </w:r>
      <w:r w:rsidR="00D55D4B" w:rsidRPr="008A4013">
        <w:rPr>
          <w:rFonts w:eastAsia="Times New Roman"/>
        </w:rPr>
        <w:lastRenderedPageBreak/>
        <w:t xml:space="preserve">asserted in laypeople’s messages. For </w:t>
      </w:r>
      <w:r w:rsidR="004C276E" w:rsidRPr="008A4013">
        <w:rPr>
          <w:rFonts w:eastAsia="Times New Roman"/>
        </w:rPr>
        <w:t>Andrew (</w:t>
      </w:r>
      <w:r w:rsidR="004C276E" w:rsidRPr="008A4013">
        <w:rPr>
          <w:rFonts w:eastAsia="Times New Roman"/>
          <w:i/>
        </w:rPr>
        <w:t>Example Three</w:t>
      </w:r>
      <w:r w:rsidR="004C276E" w:rsidRPr="008A4013">
        <w:rPr>
          <w:rFonts w:eastAsia="Times New Roman"/>
        </w:rPr>
        <w:t>)</w:t>
      </w:r>
      <w:r w:rsidR="00D55D4B" w:rsidRPr="008A4013">
        <w:rPr>
          <w:rFonts w:eastAsia="Times New Roman"/>
        </w:rPr>
        <w:t>,</w:t>
      </w:r>
      <w:r w:rsidR="004C276E" w:rsidRPr="008A4013">
        <w:rPr>
          <w:rFonts w:eastAsia="Times New Roman"/>
        </w:rPr>
        <w:t xml:space="preserve"> his </w:t>
      </w:r>
      <w:r w:rsidR="00A65DEA" w:rsidRPr="008A4013">
        <w:rPr>
          <w:rFonts w:eastAsia="Times New Roman"/>
        </w:rPr>
        <w:t>imagined</w:t>
      </w:r>
      <w:r w:rsidR="006F3773" w:rsidRPr="008A4013">
        <w:rPr>
          <w:rFonts w:eastAsia="Times New Roman"/>
        </w:rPr>
        <w:t>, rural-dwelling</w:t>
      </w:r>
      <w:r w:rsidR="00A65DEA" w:rsidRPr="008A4013">
        <w:rPr>
          <w:rFonts w:eastAsia="Times New Roman"/>
        </w:rPr>
        <w:t xml:space="preserve"> </w:t>
      </w:r>
      <w:r w:rsidR="004C276E" w:rsidRPr="008A4013">
        <w:rPr>
          <w:rFonts w:eastAsia="Times New Roman"/>
        </w:rPr>
        <w:t>listeners’ hometown</w:t>
      </w:r>
      <w:r w:rsidR="006F3773" w:rsidRPr="008A4013">
        <w:rPr>
          <w:rFonts w:eastAsia="Times New Roman"/>
        </w:rPr>
        <w:t>s</w:t>
      </w:r>
      <w:r w:rsidR="004C276E" w:rsidRPr="008A4013">
        <w:rPr>
          <w:rFonts w:eastAsia="Times New Roman"/>
        </w:rPr>
        <w:t xml:space="preserve"> </w:t>
      </w:r>
      <w:r w:rsidR="006F3773" w:rsidRPr="008A4013">
        <w:rPr>
          <w:rFonts w:eastAsia="Times New Roman"/>
        </w:rPr>
        <w:t>do not even belong</w:t>
      </w:r>
      <w:r w:rsidR="004C276E" w:rsidRPr="008A4013">
        <w:rPr>
          <w:rFonts w:eastAsia="Times New Roman"/>
        </w:rPr>
        <w:t xml:space="preserve"> to “the real world”</w:t>
      </w:r>
      <w:r w:rsidR="00D359A7" w:rsidRPr="008A4013">
        <w:rPr>
          <w:rFonts w:eastAsia="Times New Roman"/>
        </w:rPr>
        <w:t>;</w:t>
      </w:r>
      <w:r w:rsidR="006F3773" w:rsidRPr="008A4013">
        <w:rPr>
          <w:rFonts w:eastAsia="Times New Roman"/>
        </w:rPr>
        <w:t xml:space="preserve"> life there simply does not count</w:t>
      </w:r>
      <w:r w:rsidR="004C276E" w:rsidRPr="008A4013">
        <w:rPr>
          <w:rFonts w:eastAsia="Times New Roman"/>
        </w:rPr>
        <w:t>.</w:t>
      </w:r>
      <w:r w:rsidR="004D31AC" w:rsidRPr="008A4013">
        <w:rPr>
          <w:rFonts w:eastAsia="Times New Roman"/>
        </w:rPr>
        <w:t xml:space="preserve"> </w:t>
      </w:r>
    </w:p>
    <w:p w14:paraId="2A28BDA2" w14:textId="23D9F18F" w:rsidR="0098138B" w:rsidRPr="008A4013" w:rsidRDefault="00515267" w:rsidP="00C137CF">
      <w:pPr>
        <w:tabs>
          <w:tab w:val="left" w:pos="709"/>
        </w:tabs>
        <w:ind w:firstLine="0"/>
      </w:pPr>
      <w:r w:rsidRPr="008A4013">
        <w:rPr>
          <w:b/>
        </w:rPr>
        <w:tab/>
      </w:r>
      <w:r w:rsidR="006F3773" w:rsidRPr="008A4013">
        <w:t>The consequences of this construction are threefold. First, t</w:t>
      </w:r>
      <w:r w:rsidR="0098138B" w:rsidRPr="008A4013">
        <w:t xml:space="preserve">he message of escape </w:t>
      </w:r>
      <w:r w:rsidR="00D359A7" w:rsidRPr="008A4013">
        <w:t xml:space="preserve">usually </w:t>
      </w:r>
      <w:r w:rsidR="0098138B" w:rsidRPr="008A4013">
        <w:t xml:space="preserve">promoted by laypeople disregards the possibility of rural life being a desirable or viable option for their viewers. </w:t>
      </w:r>
      <w:r w:rsidR="006F3773" w:rsidRPr="008A4013">
        <w:t>Second, it closes up any possibility of addressing homophobia or transforming attitudes outside of urban areas and college campuses, spaces that are notably inaccessible for the educationally and economically marginalized.</w:t>
      </w:r>
      <w:r w:rsidR="006F3773" w:rsidRPr="008A4013">
        <w:rPr>
          <w:b/>
        </w:rPr>
        <w:t xml:space="preserve"> </w:t>
      </w:r>
      <w:r w:rsidR="006F3773" w:rsidRPr="008A4013">
        <w:t>Third, and perhaps most t</w:t>
      </w:r>
      <w:r w:rsidR="0098138B" w:rsidRPr="008A4013">
        <w:t xml:space="preserve">roublingly, it </w:t>
      </w:r>
      <w:r w:rsidR="00BD57AD" w:rsidRPr="008A4013">
        <w:t>obscures</w:t>
      </w:r>
      <w:r w:rsidR="0098138B" w:rsidRPr="008A4013">
        <w:t xml:space="preserve"> the existence of homophobic p</w:t>
      </w:r>
      <w:r w:rsidR="00BD57AD" w:rsidRPr="008A4013">
        <w:t xml:space="preserve">rejudice in urban spaces, as well as on </w:t>
      </w:r>
      <w:r w:rsidR="0098138B" w:rsidRPr="008A4013">
        <w:t>college campuses</w:t>
      </w:r>
      <w:r w:rsidR="001E2721" w:rsidRPr="008A4013">
        <w:t xml:space="preserve">. </w:t>
      </w:r>
      <w:r w:rsidR="0098138B" w:rsidRPr="008A4013">
        <w:t xml:space="preserve">It is particularly important to consider this point with reference to </w:t>
      </w:r>
      <w:r w:rsidR="001654DF" w:rsidRPr="008A4013">
        <w:rPr>
          <w:rFonts w:eastAsia="Times New Roman"/>
        </w:rPr>
        <w:t>Tyler Clementi,</w:t>
      </w:r>
      <w:r w:rsidR="001654DF" w:rsidRPr="008A4013">
        <w:t xml:space="preserve"> one </w:t>
      </w:r>
      <w:r w:rsidR="001E2721" w:rsidRPr="008A4013">
        <w:t xml:space="preserve">of the five teen suicides </w:t>
      </w:r>
      <w:r w:rsidR="001654DF" w:rsidRPr="008A4013">
        <w:t xml:space="preserve">cited as inspiring the first </w:t>
      </w:r>
      <w:r w:rsidR="00244CB9" w:rsidRPr="008A4013">
        <w:t>IGBP</w:t>
      </w:r>
      <w:r w:rsidR="001654DF" w:rsidRPr="008A4013">
        <w:t xml:space="preserve"> video posting</w:t>
      </w:r>
      <w:r w:rsidR="0098138B" w:rsidRPr="008A4013">
        <w:rPr>
          <w:rFonts w:eastAsia="Times New Roman"/>
        </w:rPr>
        <w:t>.</w:t>
      </w:r>
      <w:r w:rsidR="001654DF" w:rsidRPr="008A4013">
        <w:rPr>
          <w:rFonts w:eastAsia="Times New Roman"/>
        </w:rPr>
        <w:t xml:space="preserve"> </w:t>
      </w:r>
      <w:r w:rsidR="00937FA4" w:rsidRPr="008A4013">
        <w:rPr>
          <w:rFonts w:eastAsia="Times New Roman"/>
        </w:rPr>
        <w:t>His suicide has been attributed to the actions of two Rutgers University classmates, who had set up a video link to watch Clementi kissing another man in his dorm</w:t>
      </w:r>
      <w:r w:rsidR="00D359A7" w:rsidRPr="008A4013">
        <w:rPr>
          <w:rFonts w:eastAsia="Times New Roman"/>
        </w:rPr>
        <w:t xml:space="preserve"> </w:t>
      </w:r>
      <w:r w:rsidR="00D359A7" w:rsidRPr="008A4013">
        <w:rPr>
          <w:rFonts w:eastAsia="Times New Roman"/>
        </w:rPr>
        <w:fldChar w:fldCharType="begin"/>
      </w:r>
      <w:r w:rsidR="00841C69" w:rsidRPr="008A4013">
        <w:rPr>
          <w:rFonts w:eastAsia="Times New Roman"/>
        </w:rPr>
        <w:instrText xml:space="preserve"> ADDIN EN.CITE &lt;EndNote&gt;&lt;Cite&gt;&lt;Author&gt;Foderaro&lt;/Author&gt;&lt;Year&gt;2010&lt;/Year&gt;&lt;RecNum&gt;200&lt;/RecNum&gt;&lt;DisplayText&gt;(Foderaro 2010)&lt;/DisplayText&gt;&lt;record&gt;&lt;rec-number&gt;200&lt;/rec-number&gt;&lt;foreign-keys&gt;&lt;key app="EN" db-id="x0x2x9vw3vz5wretwfnpsavdxe0w5pfpzees"&gt;200&lt;/key&gt;&lt;/foreign-keys&gt;&lt;ref-type name="Newspaper Article"&gt;23&lt;/ref-type&gt;&lt;contributors&gt;&lt;authors&gt;&lt;author&gt;Foderaro, Lisa W.&lt;/author&gt;&lt;/authors&gt;&lt;/contributors&gt;&lt;titles&gt;&lt;title&gt;Private moment made public, then a fatal jump&lt;/title&gt;&lt;secondary-title&gt;The New York Times&lt;/secondary-title&gt;&lt;/titles&gt;&lt;section&gt;N.Y. / Region&lt;/section&gt;&lt;dates&gt;&lt;year&gt;2010&lt;/year&gt;&lt;pub-dates&gt;&lt;date&gt;September 29, 2010&lt;/date&gt;&lt;/pub-dates&gt;&lt;/dates&gt;&lt;pub-location&gt;New York&lt;/pub-location&gt;&lt;urls&gt;&lt;related-urls&gt;&lt;url&gt;http://www.nytimes.com/2010/09/30/nyregion/30suicide.html?_r=0&lt;/url&gt;&lt;/related-urls&gt;&lt;/urls&gt;&lt;access-date&gt;April 2, 2012&lt;/access-date&gt;&lt;/record&gt;&lt;/Cite&gt;&lt;/EndNote&gt;</w:instrText>
      </w:r>
      <w:r w:rsidR="00D359A7" w:rsidRPr="008A4013">
        <w:rPr>
          <w:rFonts w:eastAsia="Times New Roman"/>
        </w:rPr>
        <w:fldChar w:fldCharType="separate"/>
      </w:r>
      <w:r w:rsidR="00D359A7" w:rsidRPr="008A4013">
        <w:rPr>
          <w:rFonts w:eastAsia="Times New Roman"/>
          <w:noProof/>
        </w:rPr>
        <w:t>(</w:t>
      </w:r>
      <w:hyperlink w:anchor="_ENREF_12" w:tooltip="Foderaro, 2010 #200" w:history="1">
        <w:r w:rsidR="00DE221F" w:rsidRPr="008A4013">
          <w:rPr>
            <w:rFonts w:eastAsia="Times New Roman"/>
            <w:noProof/>
          </w:rPr>
          <w:t>Foderaro 2010</w:t>
        </w:r>
      </w:hyperlink>
      <w:r w:rsidR="00D359A7" w:rsidRPr="008A4013">
        <w:rPr>
          <w:rFonts w:eastAsia="Times New Roman"/>
          <w:noProof/>
        </w:rPr>
        <w:t>)</w:t>
      </w:r>
      <w:r w:rsidR="00D359A7" w:rsidRPr="008A4013">
        <w:rPr>
          <w:rFonts w:eastAsia="Times New Roman"/>
        </w:rPr>
        <w:fldChar w:fldCharType="end"/>
      </w:r>
      <w:r w:rsidR="00937FA4" w:rsidRPr="008A4013">
        <w:rPr>
          <w:rFonts w:eastAsia="Times New Roman"/>
        </w:rPr>
        <w:t xml:space="preserve">. </w:t>
      </w:r>
      <w:r w:rsidR="0098138B" w:rsidRPr="008A4013">
        <w:rPr>
          <w:rFonts w:eastAsia="Times New Roman"/>
        </w:rPr>
        <w:t xml:space="preserve">Clementi </w:t>
      </w:r>
      <w:r w:rsidR="001654DF" w:rsidRPr="008A4013">
        <w:rPr>
          <w:rFonts w:eastAsia="Times New Roman"/>
        </w:rPr>
        <w:t xml:space="preserve">was </w:t>
      </w:r>
      <w:r w:rsidR="00937FA4" w:rsidRPr="008A4013">
        <w:rPr>
          <w:rFonts w:eastAsia="Times New Roman"/>
        </w:rPr>
        <w:t>living on Busch</w:t>
      </w:r>
      <w:r w:rsidR="0098138B" w:rsidRPr="008A4013">
        <w:rPr>
          <w:rFonts w:eastAsia="Times New Roman"/>
        </w:rPr>
        <w:t xml:space="preserve"> </w:t>
      </w:r>
      <w:r w:rsidR="00937FA4" w:rsidRPr="008A4013">
        <w:rPr>
          <w:rFonts w:eastAsia="Times New Roman"/>
        </w:rPr>
        <w:t xml:space="preserve">Campus, </w:t>
      </w:r>
      <w:r w:rsidR="0098138B" w:rsidRPr="008A4013">
        <w:rPr>
          <w:rFonts w:eastAsia="Times New Roman"/>
        </w:rPr>
        <w:t xml:space="preserve">in </w:t>
      </w:r>
      <w:r w:rsidR="00937FA4" w:rsidRPr="008A4013">
        <w:rPr>
          <w:rFonts w:eastAsia="Times New Roman"/>
        </w:rPr>
        <w:t xml:space="preserve">Piscataway, </w:t>
      </w:r>
      <w:r w:rsidR="0098138B" w:rsidRPr="008A4013">
        <w:rPr>
          <w:rFonts w:eastAsia="Times New Roman"/>
        </w:rPr>
        <w:t>New Jersey</w:t>
      </w:r>
      <w:r w:rsidR="001E2721" w:rsidRPr="008A4013">
        <w:rPr>
          <w:rFonts w:eastAsia="Times New Roman"/>
        </w:rPr>
        <w:t xml:space="preserve"> </w:t>
      </w:r>
      <w:r w:rsidR="00D43B1B" w:rsidRPr="008A4013">
        <w:rPr>
          <w:rFonts w:eastAsia="Times New Roman"/>
        </w:rPr>
        <w:t xml:space="preserve">when </w:t>
      </w:r>
      <w:r w:rsidR="00937FA4" w:rsidRPr="008A4013">
        <w:rPr>
          <w:rFonts w:eastAsia="Times New Roman"/>
        </w:rPr>
        <w:t>he travelled to and leapt</w:t>
      </w:r>
      <w:r w:rsidR="00D43B1B" w:rsidRPr="008A4013">
        <w:rPr>
          <w:rFonts w:eastAsia="Times New Roman"/>
        </w:rPr>
        <w:t xml:space="preserve"> from the </w:t>
      </w:r>
      <w:r w:rsidR="00B81C5B" w:rsidRPr="008A4013">
        <w:rPr>
          <w:rFonts w:eastAsia="Times New Roman"/>
        </w:rPr>
        <w:t xml:space="preserve">George Washington Bridge, </w:t>
      </w:r>
      <w:r w:rsidR="00937FA4" w:rsidRPr="008A4013">
        <w:rPr>
          <w:rFonts w:eastAsia="Times New Roman"/>
        </w:rPr>
        <w:t>which connects</w:t>
      </w:r>
      <w:r w:rsidR="00B81C5B" w:rsidRPr="008A4013">
        <w:rPr>
          <w:rFonts w:eastAsia="Times New Roman"/>
        </w:rPr>
        <w:t xml:space="preserve"> </w:t>
      </w:r>
      <w:r w:rsidR="00937FA4" w:rsidRPr="008A4013">
        <w:rPr>
          <w:rFonts w:eastAsia="Times New Roman"/>
        </w:rPr>
        <w:t>the state</w:t>
      </w:r>
      <w:r w:rsidR="00B81C5B" w:rsidRPr="008A4013">
        <w:rPr>
          <w:rFonts w:eastAsia="Times New Roman"/>
        </w:rPr>
        <w:t xml:space="preserve"> </w:t>
      </w:r>
      <w:r w:rsidR="00937FA4" w:rsidRPr="008A4013">
        <w:rPr>
          <w:rFonts w:eastAsia="Times New Roman"/>
        </w:rPr>
        <w:t>directly with</w:t>
      </w:r>
      <w:r w:rsidR="00B81C5B" w:rsidRPr="008A4013">
        <w:rPr>
          <w:rFonts w:eastAsia="Times New Roman"/>
        </w:rPr>
        <w:t xml:space="preserve"> New York City</w:t>
      </w:r>
      <w:r w:rsidR="00937FA4" w:rsidRPr="008A4013">
        <w:rPr>
          <w:rFonts w:eastAsia="Times New Roman"/>
        </w:rPr>
        <w:t xml:space="preserve">. The symbolism of Clementi’s journey, </w:t>
      </w:r>
      <w:r w:rsidR="00B73449" w:rsidRPr="008A4013">
        <w:rPr>
          <w:rFonts w:eastAsia="Times New Roman"/>
        </w:rPr>
        <w:t xml:space="preserve">as </w:t>
      </w:r>
      <w:proofErr w:type="spellStart"/>
      <w:r w:rsidR="00937FA4" w:rsidRPr="008A4013">
        <w:rPr>
          <w:rFonts w:eastAsia="Times New Roman"/>
        </w:rPr>
        <w:t>Jasbir</w:t>
      </w:r>
      <w:proofErr w:type="spellEnd"/>
      <w:r w:rsidR="00937FA4" w:rsidRPr="008A4013">
        <w:rPr>
          <w:rFonts w:eastAsia="Times New Roman"/>
        </w:rPr>
        <w:t xml:space="preserve"> Puar notes, “is painfully apparent” </w:t>
      </w:r>
      <w:r w:rsidR="00D05B0A" w:rsidRPr="008A4013">
        <w:rPr>
          <w:rFonts w:eastAsia="Times New Roman"/>
        </w:rPr>
        <w:fldChar w:fldCharType="begin"/>
      </w:r>
      <w:r w:rsidR="00841C69" w:rsidRPr="008A4013">
        <w:rPr>
          <w:rFonts w:eastAsia="Times New Roman"/>
        </w:rPr>
        <w:instrText xml:space="preserve"> ADDIN EN.CITE &lt;EndNote&gt;&lt;Cite ExcludeAuth="1"&gt;&lt;Author&gt;Puar&lt;/Author&gt;&lt;Year&gt;2011&lt;/Year&gt;&lt;RecNum&gt;202&lt;/RecNum&gt;&lt;Pages&gt;151&lt;/Pages&gt;&lt;DisplayText&gt;(2011: 151)&lt;/DisplayText&gt;&lt;record&gt;&lt;rec-number&gt;202&lt;/rec-number&gt;&lt;foreign-keys&gt;&lt;key app="EN" db-id="x0x2x9vw3vz5wretwfnpsavdxe0w5pfpzees"&gt;202&lt;/key&gt;&lt;/foreign-keys&gt;&lt;ref-type name="Journal Article"&gt;17&lt;/ref-type&gt;&lt;contributors&gt;&lt;authors&gt;&lt;author&gt;Puar, Jasbir K.&lt;/author&gt;&lt;/authors&gt;&lt;/contributors&gt;&lt;titles&gt;&lt;title&gt;Coda: The cost of getting better&lt;/title&gt;&lt;secondary-title&gt;Gay and Lesbian Quarterly&lt;/secondary-title&gt;&lt;/titles&gt;&lt;periodical&gt;&lt;full-title&gt;Gay and Lesbian Quarterly&lt;/full-title&gt;&lt;/periodical&gt;&lt;pages&gt;149-158&lt;/pages&gt;&lt;volume&gt;18&lt;/volume&gt;&lt;number&gt;1&lt;/number&gt;&lt;section&gt;149&lt;/section&gt;&lt;dates&gt;&lt;year&gt;2011&lt;/year&gt;&lt;/dates&gt;&lt;urls&gt;&lt;/urls&gt;&lt;/record&gt;&lt;/Cite&gt;&lt;/EndNote&gt;</w:instrText>
      </w:r>
      <w:r w:rsidR="00D05B0A" w:rsidRPr="008A4013">
        <w:rPr>
          <w:rFonts w:eastAsia="Times New Roman"/>
        </w:rPr>
        <w:fldChar w:fldCharType="separate"/>
      </w:r>
      <w:r w:rsidR="00D05B0A" w:rsidRPr="008A4013">
        <w:rPr>
          <w:rFonts w:eastAsia="Times New Roman"/>
          <w:noProof/>
        </w:rPr>
        <w:t>(</w:t>
      </w:r>
      <w:hyperlink w:anchor="_ENREF_33" w:tooltip="Puar, 2011 #202" w:history="1">
        <w:r w:rsidR="00DE221F" w:rsidRPr="008A4013">
          <w:rPr>
            <w:rFonts w:eastAsia="Times New Roman"/>
            <w:noProof/>
          </w:rPr>
          <w:t>2011: 151</w:t>
        </w:r>
      </w:hyperlink>
      <w:r w:rsidR="00D05B0A" w:rsidRPr="008A4013">
        <w:rPr>
          <w:rFonts w:eastAsia="Times New Roman"/>
          <w:noProof/>
        </w:rPr>
        <w:t>)</w:t>
      </w:r>
      <w:r w:rsidR="00D05B0A" w:rsidRPr="008A4013">
        <w:rPr>
          <w:rFonts w:eastAsia="Times New Roman"/>
        </w:rPr>
        <w:fldChar w:fldCharType="end"/>
      </w:r>
      <w:r w:rsidR="00D05B0A" w:rsidRPr="008A4013">
        <w:rPr>
          <w:rFonts w:eastAsia="Times New Roman"/>
        </w:rPr>
        <w:t>.</w:t>
      </w:r>
      <w:r w:rsidR="00B81C5B" w:rsidRPr="008A4013">
        <w:rPr>
          <w:rFonts w:eastAsia="Times New Roman"/>
        </w:rPr>
        <w:t xml:space="preserve"> </w:t>
      </w:r>
      <w:r w:rsidR="00494DAA" w:rsidRPr="008A4013">
        <w:rPr>
          <w:rFonts w:eastAsia="Times New Roman"/>
        </w:rPr>
        <w:t xml:space="preserve"> </w:t>
      </w:r>
    </w:p>
    <w:p w14:paraId="77FFC8CA" w14:textId="6B25DEE2" w:rsidR="001E2721" w:rsidRPr="008A4013" w:rsidRDefault="001654DF" w:rsidP="00C137CF">
      <w:pPr>
        <w:tabs>
          <w:tab w:val="left" w:pos="709"/>
        </w:tabs>
        <w:ind w:firstLine="0"/>
        <w:rPr>
          <w:rFonts w:eastAsia="Times New Roman"/>
        </w:rPr>
      </w:pPr>
      <w:r w:rsidRPr="008A4013">
        <w:rPr>
          <w:b/>
        </w:rPr>
        <w:tab/>
      </w:r>
      <w:r w:rsidR="006F3773" w:rsidRPr="008A4013">
        <w:t xml:space="preserve">As Lawrence </w:t>
      </w:r>
      <w:proofErr w:type="spellStart"/>
      <w:r w:rsidR="006F3773" w:rsidRPr="008A4013">
        <w:t>Knopp</w:t>
      </w:r>
      <w:proofErr w:type="spellEnd"/>
      <w:r w:rsidR="006F3773" w:rsidRPr="008A4013">
        <w:t xml:space="preserve"> notes, “the forging of identities through the economic and political colonization of territorial spaces (and the related creation of gay-identified spaces) is facilitated by race, class and gender privilege” </w:t>
      </w:r>
      <w:r w:rsidR="008248C7" w:rsidRPr="008A4013">
        <w:fldChar w:fldCharType="begin"/>
      </w:r>
      <w:r w:rsidR="00841C69" w:rsidRPr="008A4013">
        <w:instrText xml:space="preserve"> ADDIN EN.CITE &lt;EndNote&gt;&lt;Cite ExcludeAuth="1"&gt;&lt;Author&gt;Knopp&lt;/Author&gt;&lt;Year&gt;1998&lt;/Year&gt;&lt;RecNum&gt;197&lt;/RecNum&gt;&lt;Pages&gt;159&lt;/Pages&gt;&lt;DisplayText&gt;(1998: 159)&lt;/DisplayText&gt;&lt;record&gt;&lt;rec-number&gt;197&lt;/rec-number&gt;&lt;foreign-keys&gt;&lt;key app="EN" db-id="x0x2x9vw3vz5wretwfnpsavdxe0w5pfpzees"&gt;197&lt;/key&gt;&lt;/foreign-keys&gt;&lt;ref-type name="Book Section"&gt;5&lt;/ref-type&gt;&lt;contributors&gt;&lt;authors&gt;&lt;author&gt;Knopp, Lawrence&lt;/author&gt;&lt;/authors&gt;&lt;secondary-authors&gt;&lt;author&gt;Fincherand, Ruth&lt;/author&gt;&lt;author&gt;Jacobs, Jane M.&lt;/author&gt;&lt;/secondary-authors&gt;&lt;/contributors&gt;&lt;titles&gt;&lt;title&gt;Sexuality and urban space: Gay male identity politics in the United States, the United Kingdom and Australia&lt;/title&gt;&lt;secondary-title&gt;Cities of Difference&lt;/secondary-title&gt;&lt;/titles&gt;&lt;dates&gt;&lt;year&gt;1998&lt;/year&gt;&lt;/dates&gt;&lt;pub-location&gt;New York&lt;/pub-location&gt;&lt;publisher&gt;Guilford Publications&lt;/publisher&gt;&lt;isbn&gt;9781572303102&lt;/isbn&gt;&lt;urls&gt;&lt;related-urls&gt;&lt;url&gt;http://books.google.com/books?id=VLygIMjqhmkC&lt;/url&gt;&lt;/related-urls&gt;&lt;/urls&gt;&lt;/record&gt;&lt;/Cite&gt;&lt;/EndNote&gt;</w:instrText>
      </w:r>
      <w:r w:rsidR="008248C7" w:rsidRPr="008A4013">
        <w:fldChar w:fldCharType="separate"/>
      </w:r>
      <w:r w:rsidR="006F3773" w:rsidRPr="008A4013">
        <w:rPr>
          <w:noProof/>
        </w:rPr>
        <w:t>(</w:t>
      </w:r>
      <w:hyperlink w:anchor="_ENREF_21" w:tooltip="Knopp, 1998 #197" w:history="1">
        <w:r w:rsidR="00DE221F" w:rsidRPr="008A4013">
          <w:rPr>
            <w:noProof/>
          </w:rPr>
          <w:t>1998: 159</w:t>
        </w:r>
      </w:hyperlink>
      <w:r w:rsidR="006F3773" w:rsidRPr="008A4013">
        <w:rPr>
          <w:noProof/>
        </w:rPr>
        <w:t>)</w:t>
      </w:r>
      <w:r w:rsidR="008248C7" w:rsidRPr="008A4013">
        <w:fldChar w:fldCharType="end"/>
      </w:r>
      <w:r w:rsidR="006F3773" w:rsidRPr="008A4013">
        <w:t xml:space="preserve">. Indeed, </w:t>
      </w:r>
      <w:r w:rsidR="0085526A" w:rsidRPr="008A4013">
        <w:t xml:space="preserve">the </w:t>
      </w:r>
      <w:r w:rsidR="006F3773" w:rsidRPr="008A4013">
        <w:t>r</w:t>
      </w:r>
      <w:r w:rsidR="00BD57AD" w:rsidRPr="008A4013">
        <w:t xml:space="preserve">eification </w:t>
      </w:r>
      <w:r w:rsidR="002D00FC" w:rsidRPr="008A4013">
        <w:t>of urban enclaves as queer safe havens</w:t>
      </w:r>
      <w:r w:rsidR="00BD57AD" w:rsidRPr="008A4013">
        <w:t xml:space="preserve"> </w:t>
      </w:r>
      <w:r w:rsidR="0085526A" w:rsidRPr="008A4013">
        <w:t>erases</w:t>
      </w:r>
      <w:r w:rsidR="00BD57AD" w:rsidRPr="008A4013">
        <w:t xml:space="preserve"> the processes of gentrification</w:t>
      </w:r>
      <w:r w:rsidR="00007870" w:rsidRPr="008A4013">
        <w:t xml:space="preserve">, commodification and </w:t>
      </w:r>
      <w:r w:rsidR="00D359A7" w:rsidRPr="008A4013">
        <w:t>privatization</w:t>
      </w:r>
      <w:r w:rsidR="00007870" w:rsidRPr="008A4013">
        <w:t xml:space="preserve"> that have invaria</w:t>
      </w:r>
      <w:r w:rsidR="002D00FC" w:rsidRPr="008A4013">
        <w:t>bly flourished in gay villages</w:t>
      </w:r>
      <w:r w:rsidR="00007870" w:rsidRPr="008A4013">
        <w:t xml:space="preserve"> </w:t>
      </w:r>
      <w:r w:rsidR="002D00FC" w:rsidRPr="008A4013">
        <w:t xml:space="preserve">and “ghettos” across </w:t>
      </w:r>
      <w:r w:rsidR="00007870" w:rsidRPr="008A4013">
        <w:t>the U.S.,</w:t>
      </w:r>
      <w:r w:rsidR="002D00FC" w:rsidRPr="008A4013">
        <w:t xml:space="preserve"> as</w:t>
      </w:r>
      <w:r w:rsidR="00007870" w:rsidRPr="008A4013">
        <w:t xml:space="preserve"> elsewhere, to the exclusion of non-white, poor and transgendered populations.</w:t>
      </w:r>
      <w:r w:rsidR="00BD57AD" w:rsidRPr="008A4013">
        <w:t xml:space="preserve"> </w:t>
      </w:r>
      <w:r w:rsidR="001E2721" w:rsidRPr="008A4013">
        <w:t xml:space="preserve">In his analysis of gay men’s endorsement of </w:t>
      </w:r>
      <w:r w:rsidRPr="008A4013">
        <w:t>a demolition and building project</w:t>
      </w:r>
      <w:r w:rsidR="001E2721" w:rsidRPr="008A4013">
        <w:t xml:space="preserve"> in Washington DC, </w:t>
      </w:r>
      <w:r w:rsidR="00D359A7" w:rsidRPr="008A4013">
        <w:t>configured as “urban renewal,”</w:t>
      </w:r>
      <w:r w:rsidRPr="008A4013">
        <w:t xml:space="preserve"> </w:t>
      </w:r>
      <w:r w:rsidR="001E2721" w:rsidRPr="008A4013">
        <w:t xml:space="preserve">William Leap details how: </w:t>
      </w:r>
    </w:p>
    <w:p w14:paraId="2AC6DE87" w14:textId="429721D4" w:rsidR="001E2721" w:rsidRPr="008A4013" w:rsidRDefault="001E2721" w:rsidP="00C137CF">
      <w:pPr>
        <w:pStyle w:val="Quote"/>
        <w:spacing w:after="0"/>
      </w:pPr>
      <w:r w:rsidRPr="008A4013">
        <w:lastRenderedPageBreak/>
        <w:t>[T]he discursive c</w:t>
      </w:r>
      <w:r w:rsidR="001654DF" w:rsidRPr="008A4013">
        <w:t>onstruction of moral geography [</w:t>
      </w:r>
      <w:proofErr w:type="spellStart"/>
      <w:r w:rsidR="001654DF" w:rsidRPr="008A4013">
        <w:t>Modan</w:t>
      </w:r>
      <w:proofErr w:type="spellEnd"/>
      <w:r w:rsidR="001654DF" w:rsidRPr="008A4013">
        <w:t xml:space="preserve"> 2007:90]</w:t>
      </w:r>
      <w:r w:rsidRPr="008A4013">
        <w:t xml:space="preserve"> strengthens connections between (homo)sexual privilege and the goals of urban planning at the expense of urban residents whose lives are disrupted by restructuring agendas</w:t>
      </w:r>
      <w:r w:rsidR="00D05B0A" w:rsidRPr="008A4013">
        <w:t xml:space="preserve">. </w:t>
      </w:r>
      <w:r w:rsidR="00D05B0A" w:rsidRPr="008A4013">
        <w:fldChar w:fldCharType="begin"/>
      </w:r>
      <w:r w:rsidR="00841C69" w:rsidRPr="008A4013">
        <w:instrText xml:space="preserve"> ADDIN EN.CITE &lt;EndNote&gt;&lt;Cite&gt;&lt;Author&gt;Leap&lt;/Author&gt;&lt;Year&gt;2009&lt;/Year&gt;&lt;RecNum&gt;42&lt;/RecNum&gt;&lt;Pages&gt;203&lt;/Pages&gt;&lt;DisplayText&gt;(Leap 2009: 203)&lt;/DisplayText&gt;&lt;record&gt;&lt;rec-number&gt;42&lt;/rec-number&gt;&lt;foreign-keys&gt;&lt;key app="EN" db-id="x0x2x9vw3vz5wretwfnpsavdxe0w5pfpzees"&gt;42&lt;/key&gt;&lt;/foreign-keys&gt;&lt;ref-type name="Book Section"&gt;5&lt;/ref-type&gt;&lt;contributors&gt;&lt;authors&gt;&lt;author&gt;William Leap&lt;/author&gt;&lt;/authors&gt;&lt;secondary-authors&gt;&lt;author&gt;Ellen Lewin&lt;/author&gt;&lt;author&gt;William L. Leap&lt;/author&gt;&lt;/secondary-authors&gt;&lt;/contributors&gt;&lt;titles&gt;&lt;title&gt;Professional baseball, urban restructuring and (changing) gay geographies in Washington DC&lt;/title&gt;&lt;secondary-title&gt;Out in Public: Lesbian and Gay Anthropology in a Globalizing World&lt;/secondary-title&gt;&lt;/titles&gt;&lt;pages&gt;201-220&lt;/pages&gt;&lt;dates&gt;&lt;year&gt;2009&lt;/year&gt;&lt;/dates&gt;&lt;pub-location&gt;New York City&lt;/pub-location&gt;&lt;publisher&gt;Blackwells&lt;/publisher&gt;&lt;urls&gt;&lt;/urls&gt;&lt;/record&gt;&lt;/Cite&gt;&lt;/EndNote&gt;</w:instrText>
      </w:r>
      <w:r w:rsidR="00D05B0A" w:rsidRPr="008A4013">
        <w:fldChar w:fldCharType="separate"/>
      </w:r>
      <w:r w:rsidR="00D05B0A" w:rsidRPr="008A4013">
        <w:rPr>
          <w:noProof/>
        </w:rPr>
        <w:t>(</w:t>
      </w:r>
      <w:hyperlink w:anchor="_ENREF_22" w:tooltip="Leap, 2009 #42" w:history="1">
        <w:r w:rsidR="00DE221F" w:rsidRPr="008A4013">
          <w:rPr>
            <w:noProof/>
          </w:rPr>
          <w:t>Leap 2009: 203</w:t>
        </w:r>
      </w:hyperlink>
      <w:r w:rsidR="00D05B0A" w:rsidRPr="008A4013">
        <w:rPr>
          <w:noProof/>
        </w:rPr>
        <w:t>)</w:t>
      </w:r>
      <w:r w:rsidR="00D05B0A" w:rsidRPr="008A4013">
        <w:fldChar w:fldCharType="end"/>
      </w:r>
    </w:p>
    <w:p w14:paraId="169995CD" w14:textId="77777777" w:rsidR="00FD7695" w:rsidRPr="009D4FFF" w:rsidRDefault="00FD7695" w:rsidP="009D4FFF">
      <w:pPr>
        <w:rPr>
          <w:sz w:val="22"/>
          <w:lang w:val="en-GB"/>
        </w:rPr>
      </w:pPr>
    </w:p>
    <w:p w14:paraId="2A539F4F" w14:textId="2F6E5342" w:rsidR="001E2721" w:rsidRPr="008A4013" w:rsidRDefault="001654DF" w:rsidP="00C137CF">
      <w:pPr>
        <w:tabs>
          <w:tab w:val="left" w:pos="709"/>
        </w:tabs>
        <w:ind w:firstLine="0"/>
      </w:pPr>
      <w:r w:rsidRPr="008A4013">
        <w:t>If disruption is understood as</w:t>
      </w:r>
      <w:r w:rsidR="001E2721" w:rsidRPr="008A4013">
        <w:t xml:space="preserve"> metaphorical as well as physical</w:t>
      </w:r>
      <w:r w:rsidRPr="008A4013">
        <w:t>, such a co</w:t>
      </w:r>
      <w:r w:rsidR="005D5899" w:rsidRPr="008A4013">
        <w:t xml:space="preserve">nclusion seems relevant here: The </w:t>
      </w:r>
      <w:r w:rsidRPr="008A4013">
        <w:t xml:space="preserve">reification of the </w:t>
      </w:r>
      <w:r w:rsidR="005D5899" w:rsidRPr="008A4013">
        <w:t xml:space="preserve">neoliberal </w:t>
      </w:r>
      <w:r w:rsidRPr="008A4013">
        <w:t xml:space="preserve">city </w:t>
      </w:r>
      <w:r w:rsidR="005D5899" w:rsidRPr="008A4013">
        <w:t>simply precludes the existence of</w:t>
      </w:r>
      <w:r w:rsidRPr="008A4013">
        <w:t xml:space="preserve"> </w:t>
      </w:r>
      <w:r w:rsidR="005D5899" w:rsidRPr="008A4013">
        <w:t xml:space="preserve">anyone who does not meet the (white, </w:t>
      </w:r>
      <w:r w:rsidR="0085526A" w:rsidRPr="008A4013">
        <w:t xml:space="preserve">male, </w:t>
      </w:r>
      <w:r w:rsidR="005D5899" w:rsidRPr="008A4013">
        <w:t>middle-class, out and proud) urban queer stereotype</w:t>
      </w:r>
      <w:r w:rsidR="001E2721" w:rsidRPr="008A4013">
        <w:t>.</w:t>
      </w:r>
      <w:r w:rsidR="0085526A" w:rsidRPr="008A4013">
        <w:t xml:space="preserve"> As Thomas concludes,</w:t>
      </w:r>
      <w:r w:rsidR="00515267" w:rsidRPr="008A4013">
        <w:t xml:space="preserve"> </w:t>
      </w:r>
      <w:r w:rsidR="000C3B00" w:rsidRPr="008A4013">
        <w:t xml:space="preserve">the rivers and roads that demark the </w:t>
      </w:r>
      <w:r w:rsidR="00515267" w:rsidRPr="008A4013">
        <w:t xml:space="preserve">rural-urban </w:t>
      </w:r>
      <w:r w:rsidR="000C3B00" w:rsidRPr="008A4013">
        <w:t>divide “do</w:t>
      </w:r>
      <w:r w:rsidR="00515267" w:rsidRPr="008A4013">
        <w:t xml:space="preserve"> not speak of the success of this modernist project. Instead, they speak of the experience of marginality and privatization</w:t>
      </w:r>
      <w:r w:rsidR="000C3B00" w:rsidRPr="008A4013">
        <w:t>”</w:t>
      </w:r>
      <w:r w:rsidR="00515267" w:rsidRPr="008A4013">
        <w:t xml:space="preserve"> </w:t>
      </w:r>
      <w:r w:rsidR="00D05B0A" w:rsidRPr="008A4013">
        <w:fldChar w:fldCharType="begin"/>
      </w:r>
      <w:r w:rsidR="00841C69" w:rsidRPr="008A4013">
        <w:instrText xml:space="preserve"> ADDIN EN.CITE &lt;EndNote&gt;&lt;Cite&gt;&lt;Author&gt;Thomas&lt;/Author&gt;&lt;Year&gt;2002&lt;/Year&gt;&lt;RecNum&gt;199&lt;/RecNum&gt;&lt;Pages&gt;383&lt;/Pages&gt;&lt;DisplayText&gt;(Thomas 2002: 383)&lt;/DisplayText&gt;&lt;record&gt;&lt;rec-number&gt;199&lt;/rec-number&gt;&lt;foreign-keys&gt;&lt;key app="EN" db-id="x0x2x9vw3vz5wretwfnpsavdxe0w5pfpzees"&gt;199&lt;/key&gt;&lt;/foreign-keys&gt;&lt;ref-type name="Journal Article"&gt;17&lt;/ref-type&gt;&lt;contributors&gt;&lt;authors&gt;&lt;author&gt;Thomas, Philip&lt;/author&gt;&lt;/authors&gt;&lt;/contributors&gt;&lt;titles&gt;&lt;title&gt;The River, the road, and the rural-urban divide: A postcolonial moral geography from southeast Madagascar&lt;/title&gt;&lt;secondary-title&gt;American Ethnologist&lt;/secondary-title&gt;&lt;/titles&gt;&lt;periodical&gt;&lt;full-title&gt;American Ethnologist&lt;/full-title&gt;&lt;/periodical&gt;&lt;pages&gt;366-391&lt;/pages&gt;&lt;volume&gt;29&lt;/volume&gt;&lt;number&gt;2&lt;/number&gt;&lt;section&gt;366&lt;/section&gt;&lt;dates&gt;&lt;year&gt;2002&lt;/year&gt;&lt;/dates&gt;&lt;urls&gt;&lt;/urls&gt;&lt;/record&gt;&lt;/Cite&gt;&lt;/EndNote&gt;</w:instrText>
      </w:r>
      <w:r w:rsidR="00D05B0A" w:rsidRPr="008A4013">
        <w:fldChar w:fldCharType="separate"/>
      </w:r>
      <w:r w:rsidR="00D05B0A" w:rsidRPr="008A4013">
        <w:rPr>
          <w:noProof/>
        </w:rPr>
        <w:t>(</w:t>
      </w:r>
      <w:hyperlink w:anchor="_ENREF_38" w:tooltip="Thomas, 2002 #199" w:history="1">
        <w:r w:rsidR="00DE221F" w:rsidRPr="008A4013">
          <w:rPr>
            <w:noProof/>
          </w:rPr>
          <w:t>Thomas 2002: 383</w:t>
        </w:r>
      </w:hyperlink>
      <w:r w:rsidR="00D05B0A" w:rsidRPr="008A4013">
        <w:rPr>
          <w:noProof/>
        </w:rPr>
        <w:t>)</w:t>
      </w:r>
      <w:r w:rsidR="00D05B0A" w:rsidRPr="008A4013">
        <w:fldChar w:fldCharType="end"/>
      </w:r>
      <w:r w:rsidR="00D05B0A" w:rsidRPr="008A4013">
        <w:t>.</w:t>
      </w:r>
      <w:r w:rsidR="000C3B00" w:rsidRPr="008A4013">
        <w:t xml:space="preserve"> So much</w:t>
      </w:r>
      <w:r w:rsidR="005112FE" w:rsidRPr="008A4013">
        <w:t>, it seems,</w:t>
      </w:r>
      <w:r w:rsidR="000C3B00" w:rsidRPr="008A4013">
        <w:t xml:space="preserve"> may also be true of conceptual divides</w:t>
      </w:r>
      <w:r w:rsidR="00D707AC" w:rsidRPr="008A4013">
        <w:t>.</w:t>
      </w:r>
    </w:p>
    <w:p w14:paraId="6513715D" w14:textId="77777777" w:rsidR="00BB3F62" w:rsidRPr="008A4013" w:rsidRDefault="00BB3F62" w:rsidP="00C137CF">
      <w:pPr>
        <w:tabs>
          <w:tab w:val="left" w:pos="709"/>
        </w:tabs>
        <w:ind w:firstLine="0"/>
        <w:rPr>
          <w:b/>
        </w:rPr>
      </w:pPr>
    </w:p>
    <w:p w14:paraId="35F0EA8E" w14:textId="77777777" w:rsidR="001E2721" w:rsidRPr="008A4013" w:rsidRDefault="00B81C5B" w:rsidP="00C137CF">
      <w:pPr>
        <w:tabs>
          <w:tab w:val="left" w:pos="709"/>
        </w:tabs>
        <w:ind w:firstLine="0"/>
        <w:rPr>
          <w:b/>
        </w:rPr>
      </w:pPr>
      <w:r w:rsidRPr="008A4013">
        <w:rPr>
          <w:b/>
        </w:rPr>
        <w:t>4.4</w:t>
      </w:r>
      <w:r w:rsidR="001E2721" w:rsidRPr="008A4013">
        <w:rPr>
          <w:b/>
        </w:rPr>
        <w:t xml:space="preserve"> </w:t>
      </w:r>
      <w:r w:rsidR="000C3B00" w:rsidRPr="008A4013">
        <w:rPr>
          <w:b/>
        </w:rPr>
        <w:t>Good things come to those who wait?</w:t>
      </w:r>
      <w:r w:rsidR="002A2654" w:rsidRPr="008A4013">
        <w:rPr>
          <w:b/>
        </w:rPr>
        <w:t xml:space="preserve"> </w:t>
      </w:r>
    </w:p>
    <w:p w14:paraId="76632765" w14:textId="77777777" w:rsidR="004D31AC" w:rsidRPr="008A4013" w:rsidRDefault="004D31AC" w:rsidP="00C137CF">
      <w:pPr>
        <w:tabs>
          <w:tab w:val="left" w:pos="709"/>
        </w:tabs>
        <w:ind w:firstLine="0"/>
      </w:pPr>
      <w:r w:rsidRPr="008A4013">
        <w:rPr>
          <w:i/>
        </w:rPr>
        <w:t>Example Four</w:t>
      </w:r>
    </w:p>
    <w:p w14:paraId="54EB376A" w14:textId="77777777" w:rsidR="004D31AC" w:rsidRPr="008A4013" w:rsidRDefault="004D31AC" w:rsidP="00C137CF">
      <w:pPr>
        <w:tabs>
          <w:tab w:val="left" w:pos="709"/>
        </w:tabs>
        <w:spacing w:line="240" w:lineRule="auto"/>
        <w:ind w:left="284" w:right="284" w:firstLine="0"/>
        <w:outlineLvl w:val="0"/>
        <w:rPr>
          <w:u w:val="single"/>
        </w:rPr>
      </w:pPr>
      <w:r w:rsidRPr="008A4013">
        <w:rPr>
          <w:u w:val="single"/>
        </w:rPr>
        <w:t>Laypeople:</w:t>
      </w:r>
    </w:p>
    <w:p w14:paraId="5EB9C2BC" w14:textId="77777777" w:rsidR="003F0D87" w:rsidRPr="008A4013" w:rsidRDefault="003F0D87" w:rsidP="00C137CF">
      <w:pPr>
        <w:pStyle w:val="Quote"/>
        <w:spacing w:after="0"/>
        <w:ind w:left="284" w:right="284"/>
        <w:rPr>
          <w:i/>
        </w:rPr>
      </w:pPr>
      <w:r w:rsidRPr="008A4013">
        <w:rPr>
          <w:i/>
        </w:rPr>
        <w:t xml:space="preserve">“Just </w:t>
      </w:r>
      <w:r w:rsidRPr="008A4013">
        <w:rPr>
          <w:b/>
          <w:i/>
          <w:u w:val="single"/>
        </w:rPr>
        <w:t>tough it out</w:t>
      </w:r>
      <w:r w:rsidRPr="008A4013">
        <w:rPr>
          <w:i/>
        </w:rPr>
        <w:t>.”</w:t>
      </w:r>
    </w:p>
    <w:p w14:paraId="17708F59" w14:textId="77777777" w:rsidR="003F0D87" w:rsidRPr="008A4013" w:rsidRDefault="003F0D87" w:rsidP="00C137CF">
      <w:pPr>
        <w:pStyle w:val="Quote"/>
        <w:numPr>
          <w:ilvl w:val="0"/>
          <w:numId w:val="11"/>
        </w:numPr>
        <w:spacing w:after="0"/>
        <w:ind w:right="284"/>
      </w:pPr>
      <w:r w:rsidRPr="008A4013">
        <w:t>Anonymous A</w:t>
      </w:r>
    </w:p>
    <w:p w14:paraId="54381622" w14:textId="77777777" w:rsidR="003F0D87" w:rsidRPr="008A4013" w:rsidRDefault="003F0D87" w:rsidP="00C137CF">
      <w:pPr>
        <w:pStyle w:val="Quote"/>
        <w:spacing w:after="0"/>
        <w:ind w:left="0" w:right="284" w:firstLine="284"/>
        <w:rPr>
          <w:i/>
        </w:rPr>
      </w:pPr>
    </w:p>
    <w:p w14:paraId="06B5F72A" w14:textId="77777777" w:rsidR="004D31AC" w:rsidRPr="008A4013" w:rsidRDefault="004D31AC" w:rsidP="00C137CF">
      <w:pPr>
        <w:pStyle w:val="Quote"/>
        <w:spacing w:after="0"/>
        <w:ind w:left="0" w:right="284" w:firstLine="284"/>
        <w:rPr>
          <w:i/>
        </w:rPr>
      </w:pPr>
      <w:r w:rsidRPr="008A4013">
        <w:rPr>
          <w:i/>
        </w:rPr>
        <w:t xml:space="preserve">“It gets so much better, so </w:t>
      </w:r>
      <w:r w:rsidRPr="008A4013">
        <w:rPr>
          <w:b/>
          <w:i/>
          <w:u w:val="single"/>
        </w:rPr>
        <w:t>hang in there</w:t>
      </w:r>
      <w:r w:rsidRPr="008A4013">
        <w:rPr>
          <w:i/>
        </w:rPr>
        <w:t xml:space="preserve">, be smart” </w:t>
      </w:r>
    </w:p>
    <w:p w14:paraId="0DD7AD73" w14:textId="77777777" w:rsidR="004D31AC" w:rsidRPr="008A4013" w:rsidRDefault="004D31AC" w:rsidP="00C137CF">
      <w:pPr>
        <w:pStyle w:val="Quote"/>
        <w:numPr>
          <w:ilvl w:val="0"/>
          <w:numId w:val="11"/>
        </w:numPr>
        <w:spacing w:after="0"/>
        <w:ind w:right="284"/>
      </w:pPr>
      <w:r w:rsidRPr="008A4013">
        <w:t>Melissa</w:t>
      </w:r>
    </w:p>
    <w:p w14:paraId="2625C82E" w14:textId="77777777" w:rsidR="004D31AC" w:rsidRPr="008A4013" w:rsidRDefault="004D31AC" w:rsidP="00C137CF">
      <w:pPr>
        <w:pStyle w:val="Quote"/>
        <w:spacing w:after="0"/>
        <w:ind w:left="284" w:right="284"/>
        <w:rPr>
          <w:i/>
        </w:rPr>
      </w:pPr>
    </w:p>
    <w:p w14:paraId="127D576B" w14:textId="77777777" w:rsidR="004D31AC" w:rsidRPr="008A4013" w:rsidRDefault="004D31AC" w:rsidP="00C137CF">
      <w:pPr>
        <w:pStyle w:val="Quote"/>
        <w:spacing w:after="0"/>
        <w:ind w:left="284" w:right="284"/>
        <w:rPr>
          <w:i/>
        </w:rPr>
      </w:pPr>
      <w:r w:rsidRPr="008A4013">
        <w:rPr>
          <w:i/>
        </w:rPr>
        <w:t xml:space="preserve">“I’m two blocks away from the Hudson River Park where I go on a sunny day and see </w:t>
      </w:r>
      <w:r w:rsidRPr="008A4013">
        <w:rPr>
          <w:b/>
          <w:i/>
          <w:u w:val="single"/>
        </w:rPr>
        <w:t>gay couples</w:t>
      </w:r>
      <w:r w:rsidRPr="008A4013">
        <w:rPr>
          <w:i/>
        </w:rPr>
        <w:t xml:space="preserve"> of all shapes and sizes and colors </w:t>
      </w:r>
      <w:r w:rsidRPr="008A4013">
        <w:rPr>
          <w:b/>
          <w:i/>
          <w:u w:val="single"/>
        </w:rPr>
        <w:t>with their children</w:t>
      </w:r>
      <w:r w:rsidRPr="008A4013">
        <w:rPr>
          <w:i/>
        </w:rPr>
        <w:t xml:space="preserve">, bringing their children out to the park, which really shows a hopeful future for our country, and people like us specifically, and </w:t>
      </w:r>
      <w:r w:rsidRPr="008A4013">
        <w:rPr>
          <w:b/>
          <w:i/>
          <w:u w:val="single"/>
        </w:rPr>
        <w:t>what we can grow up to be</w:t>
      </w:r>
      <w:r w:rsidRPr="008A4013">
        <w:rPr>
          <w:i/>
        </w:rPr>
        <w:t>.”</w:t>
      </w:r>
    </w:p>
    <w:p w14:paraId="6D8F5B04" w14:textId="77777777" w:rsidR="004D31AC" w:rsidRPr="008A4013" w:rsidRDefault="004D31AC" w:rsidP="00C137CF">
      <w:pPr>
        <w:pStyle w:val="Quote"/>
        <w:numPr>
          <w:ilvl w:val="0"/>
          <w:numId w:val="11"/>
        </w:numPr>
        <w:spacing w:after="0"/>
        <w:ind w:right="284"/>
      </w:pPr>
      <w:r w:rsidRPr="008A4013">
        <w:t>Anonymous B</w:t>
      </w:r>
    </w:p>
    <w:p w14:paraId="2FA39CAB" w14:textId="77777777" w:rsidR="004D31AC" w:rsidRPr="008A4013" w:rsidRDefault="004D31AC" w:rsidP="00C137CF">
      <w:pPr>
        <w:tabs>
          <w:tab w:val="left" w:pos="709"/>
        </w:tabs>
        <w:spacing w:line="240" w:lineRule="auto"/>
        <w:ind w:right="284" w:firstLine="0"/>
        <w:outlineLvl w:val="0"/>
      </w:pPr>
    </w:p>
    <w:p w14:paraId="32BE1B79" w14:textId="77777777" w:rsidR="004D31AC" w:rsidRPr="008A4013" w:rsidRDefault="004D31AC" w:rsidP="00C137CF">
      <w:pPr>
        <w:tabs>
          <w:tab w:val="left" w:pos="284"/>
        </w:tabs>
        <w:spacing w:line="240" w:lineRule="auto"/>
        <w:ind w:right="284" w:firstLine="0"/>
        <w:outlineLvl w:val="0"/>
        <w:rPr>
          <w:u w:val="single"/>
        </w:rPr>
      </w:pPr>
      <w:r w:rsidRPr="008A4013">
        <w:tab/>
      </w:r>
      <w:r w:rsidRPr="008A4013">
        <w:rPr>
          <w:u w:val="single"/>
        </w:rPr>
        <w:t>Spokespeople:</w:t>
      </w:r>
    </w:p>
    <w:p w14:paraId="4230B225" w14:textId="77777777" w:rsidR="004D31AC" w:rsidRPr="008A4013" w:rsidRDefault="004D31AC" w:rsidP="00C137CF">
      <w:pPr>
        <w:tabs>
          <w:tab w:val="left" w:pos="709"/>
        </w:tabs>
        <w:spacing w:line="240" w:lineRule="auto"/>
        <w:ind w:left="284" w:right="284" w:firstLine="0"/>
      </w:pPr>
    </w:p>
    <w:p w14:paraId="612F1054" w14:textId="77777777" w:rsidR="004D31AC" w:rsidRPr="008A4013" w:rsidRDefault="004D31AC" w:rsidP="00C137CF">
      <w:pPr>
        <w:pStyle w:val="Quote"/>
        <w:spacing w:after="0"/>
        <w:ind w:left="284" w:right="284"/>
        <w:rPr>
          <w:i/>
        </w:rPr>
      </w:pPr>
      <w:r w:rsidRPr="008A4013">
        <w:rPr>
          <w:i/>
        </w:rPr>
        <w:t xml:space="preserve">“To my colleagues out there… I urge you, I implore you to </w:t>
      </w:r>
      <w:r w:rsidRPr="008A4013">
        <w:rPr>
          <w:b/>
          <w:i/>
          <w:u w:val="single"/>
        </w:rPr>
        <w:t>use your pulpit to speak out</w:t>
      </w:r>
      <w:r w:rsidRPr="008A4013">
        <w:rPr>
          <w:i/>
        </w:rPr>
        <w:t xml:space="preserve"> against homophobia, to speak out against discrimination and violence and bullying, and to </w:t>
      </w:r>
      <w:r w:rsidRPr="008A4013">
        <w:rPr>
          <w:b/>
          <w:i/>
          <w:u w:val="single"/>
        </w:rPr>
        <w:t>say to young people</w:t>
      </w:r>
      <w:r w:rsidRPr="008A4013">
        <w:rPr>
          <w:i/>
        </w:rPr>
        <w:t xml:space="preserve">, it gets better, and that they </w:t>
      </w:r>
      <w:r w:rsidRPr="008A4013">
        <w:rPr>
          <w:b/>
          <w:i/>
          <w:u w:val="single"/>
        </w:rPr>
        <w:t>are loved</w:t>
      </w:r>
      <w:r w:rsidRPr="008A4013">
        <w:rPr>
          <w:i/>
        </w:rPr>
        <w:t xml:space="preserve">, they </w:t>
      </w:r>
      <w:r w:rsidRPr="008A4013">
        <w:rPr>
          <w:b/>
          <w:i/>
          <w:u w:val="single"/>
        </w:rPr>
        <w:t>are accepted</w:t>
      </w:r>
      <w:r w:rsidRPr="008A4013">
        <w:rPr>
          <w:i/>
        </w:rPr>
        <w:t xml:space="preserve"> and welcomed and included into your community.” </w:t>
      </w:r>
    </w:p>
    <w:p w14:paraId="65924D04" w14:textId="77777777" w:rsidR="004D31AC" w:rsidRPr="008A4013" w:rsidRDefault="004D31AC" w:rsidP="00C137CF">
      <w:pPr>
        <w:pStyle w:val="Quote"/>
        <w:numPr>
          <w:ilvl w:val="0"/>
          <w:numId w:val="11"/>
        </w:numPr>
        <w:spacing w:after="0"/>
        <w:ind w:right="284"/>
      </w:pPr>
      <w:r w:rsidRPr="008A4013">
        <w:t xml:space="preserve">Reverend Debra Haffner, Executive Director of The Religious Institute (Unitarian Universalist) </w:t>
      </w:r>
    </w:p>
    <w:p w14:paraId="38A17EE0" w14:textId="77777777" w:rsidR="004D31AC" w:rsidRPr="008A4013" w:rsidRDefault="004D31AC" w:rsidP="00C137CF">
      <w:pPr>
        <w:spacing w:line="240" w:lineRule="auto"/>
        <w:ind w:left="284" w:firstLine="0"/>
        <w:rPr>
          <w:i/>
        </w:rPr>
      </w:pPr>
    </w:p>
    <w:p w14:paraId="268D2AD9" w14:textId="77777777" w:rsidR="004D31AC" w:rsidRPr="008A4013" w:rsidRDefault="004D31AC" w:rsidP="00C137CF">
      <w:pPr>
        <w:spacing w:line="240" w:lineRule="auto"/>
        <w:ind w:left="284" w:firstLine="0"/>
        <w:rPr>
          <w:i/>
        </w:rPr>
      </w:pPr>
      <w:r w:rsidRPr="008A4013">
        <w:rPr>
          <w:i/>
        </w:rPr>
        <w:lastRenderedPageBreak/>
        <w:t xml:space="preserve">“While it’s true that time and life experience and hard work help immeasurably, I </w:t>
      </w:r>
      <w:proofErr w:type="spellStart"/>
      <w:r w:rsidRPr="008A4013">
        <w:rPr>
          <w:i/>
        </w:rPr>
        <w:t>wanna</w:t>
      </w:r>
      <w:proofErr w:type="spellEnd"/>
      <w:r w:rsidRPr="008A4013">
        <w:rPr>
          <w:i/>
        </w:rPr>
        <w:t xml:space="preserve"> add to that conversation by talking about </w:t>
      </w:r>
      <w:r w:rsidRPr="008A4013">
        <w:rPr>
          <w:b/>
          <w:i/>
          <w:u w:val="single"/>
        </w:rPr>
        <w:t>things you can do now to start making things better now</w:t>
      </w:r>
      <w:r w:rsidR="00F25A33" w:rsidRPr="008A4013">
        <w:rPr>
          <w:i/>
        </w:rPr>
        <w:t>…”</w:t>
      </w:r>
    </w:p>
    <w:p w14:paraId="10B187A6" w14:textId="77777777" w:rsidR="004D31AC" w:rsidRPr="008A4013" w:rsidRDefault="004D31AC" w:rsidP="00C137CF">
      <w:pPr>
        <w:pStyle w:val="ListParagraph"/>
        <w:numPr>
          <w:ilvl w:val="0"/>
          <w:numId w:val="11"/>
        </w:numPr>
        <w:spacing w:line="240" w:lineRule="auto"/>
      </w:pPr>
      <w:r w:rsidRPr="008A4013">
        <w:t>Doug, Welcoming Committee at Congregation Beit Simchat Torah</w:t>
      </w:r>
    </w:p>
    <w:p w14:paraId="05ADA35B" w14:textId="77777777" w:rsidR="004D31AC" w:rsidRPr="008A4013" w:rsidRDefault="004D31AC" w:rsidP="00C137CF">
      <w:pPr>
        <w:spacing w:line="240" w:lineRule="auto"/>
        <w:ind w:firstLine="0"/>
      </w:pPr>
    </w:p>
    <w:p w14:paraId="71608870" w14:textId="77777777" w:rsidR="004D31AC" w:rsidRPr="008A4013" w:rsidRDefault="004D31AC" w:rsidP="00C137CF">
      <w:pPr>
        <w:spacing w:line="240" w:lineRule="auto"/>
        <w:ind w:left="284" w:firstLine="0"/>
        <w:rPr>
          <w:i/>
        </w:rPr>
      </w:pPr>
      <w:r w:rsidRPr="008A4013">
        <w:rPr>
          <w:i/>
        </w:rPr>
        <w:t xml:space="preserve">“God does not make a mistake. God loves you and has created you </w:t>
      </w:r>
      <w:r w:rsidRPr="008A4013">
        <w:rPr>
          <w:b/>
          <w:i/>
          <w:u w:val="single"/>
        </w:rPr>
        <w:t>the way you are</w:t>
      </w:r>
      <w:r w:rsidRPr="008A4013">
        <w:rPr>
          <w:i/>
        </w:rPr>
        <w:t>.”</w:t>
      </w:r>
    </w:p>
    <w:p w14:paraId="1F5F1B3D" w14:textId="77777777" w:rsidR="004D31AC" w:rsidRPr="008A4013" w:rsidRDefault="004D31AC" w:rsidP="00C137CF">
      <w:pPr>
        <w:pStyle w:val="ListParagraph"/>
        <w:numPr>
          <w:ilvl w:val="0"/>
          <w:numId w:val="11"/>
        </w:numPr>
        <w:spacing w:line="240" w:lineRule="auto"/>
      </w:pPr>
      <w:r w:rsidRPr="008A4013">
        <w:t>Reverend Weatherford, McKinley Presbyterian Memorial Church, Champaign, Illinois</w:t>
      </w:r>
    </w:p>
    <w:p w14:paraId="1EA4B207" w14:textId="77777777" w:rsidR="004D31AC" w:rsidRPr="008A4013" w:rsidRDefault="004D31AC" w:rsidP="00C137CF">
      <w:pPr>
        <w:spacing w:line="240" w:lineRule="auto"/>
      </w:pPr>
    </w:p>
    <w:p w14:paraId="2F4E793B" w14:textId="77777777" w:rsidR="00DF1C99" w:rsidRPr="008A4013" w:rsidRDefault="00DF1C99" w:rsidP="00C137CF">
      <w:pPr>
        <w:tabs>
          <w:tab w:val="left" w:pos="709"/>
        </w:tabs>
        <w:ind w:firstLine="0"/>
      </w:pPr>
      <w:r w:rsidRPr="008A4013">
        <w:t xml:space="preserve">Halberstam, discussing how ideology might dictate the way in which time is experienced and understood, argues: </w:t>
      </w:r>
    </w:p>
    <w:p w14:paraId="033C739C" w14:textId="7D59726A" w:rsidR="0063106E" w:rsidRPr="008A4013" w:rsidRDefault="00DF1C99" w:rsidP="00C137CF">
      <w:pPr>
        <w:tabs>
          <w:tab w:val="left" w:pos="709"/>
        </w:tabs>
        <w:spacing w:line="240" w:lineRule="auto"/>
        <w:ind w:left="1134" w:right="1134" w:firstLine="0"/>
      </w:pPr>
      <w:r w:rsidRPr="008A4013">
        <w:t xml:space="preserve">[I]n Western cultures, we chart the emergence of the adult from the dangerous and unruly period of adolescence as a desired process of maturation […] respectability, and notions of the normal on which it depends, may be upheld by a middle-class logic of reproductive temporality </w:t>
      </w:r>
      <w:r w:rsidR="008248C7" w:rsidRPr="008A4013">
        <w:fldChar w:fldCharType="begin"/>
      </w:r>
      <w:r w:rsidR="00B63259" w:rsidRPr="008A4013">
        <w:instrText xml:space="preserve"> ADDIN EN.CITE &lt;EndNote&gt;&lt;Cite ExcludeAuth="1"&gt;&lt;Author&gt;Halberstam&lt;/Author&gt;&lt;Year&gt;2005&lt;/Year&gt;&lt;RecNum&gt;53&lt;/RecNum&gt;&lt;Pages&gt;4&lt;/Pages&gt;&lt;DisplayText&gt;(2005: 4)&lt;/DisplayText&gt;&lt;record&gt;&lt;rec-number&gt;53&lt;/rec-number&gt;&lt;foreign-keys&gt;&lt;key app="EN" db-id="x0x2x9vw3vz5wretwfnpsavdxe0w5pfpzees"&gt;53&lt;/key&gt;&lt;/foreign-keys&gt;&lt;ref-type name="Book"&gt;6&lt;/ref-type&gt;&lt;contributors&gt;&lt;authors&gt;&lt;author&gt;Halberstam, Judith&lt;/author&gt;&lt;/authors&gt;&lt;/contributors&gt;&lt;titles&gt;&lt;title&gt;In a Queer Time and Place&lt;/title&gt;&lt;/titles&gt;&lt;dates&gt;&lt;year&gt;2005&lt;/year&gt;&lt;/dates&gt;&lt;pub-location&gt;New York and London&lt;/pub-location&gt;&lt;publisher&gt;NYU Press&lt;/publisher&gt;&lt;urls&gt;&lt;/urls&gt;&lt;/record&gt;&lt;/Cite&gt;&lt;/EndNote&gt;</w:instrText>
      </w:r>
      <w:r w:rsidR="008248C7" w:rsidRPr="008A4013">
        <w:fldChar w:fldCharType="separate"/>
      </w:r>
      <w:r w:rsidRPr="008A4013">
        <w:rPr>
          <w:noProof/>
        </w:rPr>
        <w:t>(</w:t>
      </w:r>
      <w:hyperlink w:anchor="_ENREF_16" w:tooltip="Halberstam, 2005 #53" w:history="1">
        <w:r w:rsidR="00DE221F" w:rsidRPr="008A4013">
          <w:rPr>
            <w:noProof/>
          </w:rPr>
          <w:t>2005: 4</w:t>
        </w:r>
      </w:hyperlink>
      <w:r w:rsidRPr="008A4013">
        <w:rPr>
          <w:noProof/>
        </w:rPr>
        <w:t>)</w:t>
      </w:r>
      <w:r w:rsidR="008248C7" w:rsidRPr="008A4013">
        <w:fldChar w:fldCharType="end"/>
      </w:r>
      <w:r w:rsidR="00143750" w:rsidRPr="008A4013">
        <w:t>.</w:t>
      </w:r>
    </w:p>
    <w:p w14:paraId="077C91B7" w14:textId="77777777" w:rsidR="00D359A7" w:rsidRPr="008A4013" w:rsidRDefault="00D359A7" w:rsidP="00C137CF">
      <w:pPr>
        <w:tabs>
          <w:tab w:val="left" w:pos="709"/>
        </w:tabs>
        <w:spacing w:line="240" w:lineRule="auto"/>
        <w:ind w:left="1134" w:right="1134" w:firstLine="0"/>
      </w:pPr>
    </w:p>
    <w:p w14:paraId="412BCEDC" w14:textId="780DC2C3" w:rsidR="00754B5B" w:rsidRPr="008A4013" w:rsidRDefault="00B81C5B" w:rsidP="00C137CF">
      <w:pPr>
        <w:tabs>
          <w:tab w:val="left" w:pos="709"/>
        </w:tabs>
        <w:ind w:firstLine="0"/>
        <w:rPr>
          <w:b/>
        </w:rPr>
      </w:pPr>
      <w:r w:rsidRPr="008A4013">
        <w:t xml:space="preserve">Halberstam </w:t>
      </w:r>
      <w:r w:rsidR="0063106E" w:rsidRPr="008A4013">
        <w:t>contrasts</w:t>
      </w:r>
      <w:r w:rsidRPr="008A4013">
        <w:t xml:space="preserve"> reproductive time with “queer time</w:t>
      </w:r>
      <w:r w:rsidR="00E54C7E" w:rsidRPr="008A4013">
        <w:t>,”</w:t>
      </w:r>
      <w:r w:rsidRPr="008A4013">
        <w:t xml:space="preserve"> other possible conceptions of temporality that subvert or contest dominant notions of lifespans</w:t>
      </w:r>
      <w:r w:rsidR="0087580D" w:rsidRPr="008A4013">
        <w:t xml:space="preserve"> and are experienced</w:t>
      </w:r>
      <w:r w:rsidR="0063106E" w:rsidRPr="008A4013">
        <w:t xml:space="preserve"> </w:t>
      </w:r>
      <w:r w:rsidRPr="008A4013">
        <w:t xml:space="preserve">by </w:t>
      </w:r>
      <w:r w:rsidR="0063106E" w:rsidRPr="008A4013">
        <w:t xml:space="preserve">those </w:t>
      </w:r>
      <w:r w:rsidRPr="008A4013">
        <w:t>living out of sync with “normative” ways of life</w:t>
      </w:r>
      <w:r w:rsidR="00495DB5" w:rsidRPr="008A4013">
        <w:t xml:space="preserve">, </w:t>
      </w:r>
      <w:r w:rsidR="00EE7286" w:rsidRPr="008A4013">
        <w:t>or</w:t>
      </w:r>
      <w:r w:rsidR="00495DB5" w:rsidRPr="008A4013">
        <w:t xml:space="preserve"> “living outside the logic of capital accumulation”</w:t>
      </w:r>
      <w:r w:rsidRPr="008A4013">
        <w:t xml:space="preserve"> </w:t>
      </w:r>
      <w:r w:rsidR="00D05B0A" w:rsidRPr="008A4013">
        <w:fldChar w:fldCharType="begin"/>
      </w:r>
      <w:r w:rsidR="00B63259" w:rsidRPr="008A4013">
        <w:instrText xml:space="preserve"> ADDIN EN.CITE &lt;EndNote&gt;&lt;Cite ExcludeAuth="1"&gt;&lt;Author&gt;Halberstam&lt;/Author&gt;&lt;Year&gt;2005&lt;/Year&gt;&lt;RecNum&gt;53&lt;/RecNum&gt;&lt;Pages&gt;10&lt;/Pages&gt;&lt;DisplayText&gt;(2005: 10)&lt;/DisplayText&gt;&lt;record&gt;&lt;rec-number&gt;53&lt;/rec-number&gt;&lt;foreign-keys&gt;&lt;key app="EN" db-id="x0x2x9vw3vz5wretwfnpsavdxe0w5pfpzees"&gt;53&lt;/key&gt;&lt;/foreign-keys&gt;&lt;ref-type name="Book"&gt;6&lt;/ref-type&gt;&lt;contributors&gt;&lt;authors&gt;&lt;author&gt;Halberstam, Judith&lt;/author&gt;&lt;/authors&gt;&lt;/contributors&gt;&lt;titles&gt;&lt;title&gt;In a Queer Time and Place&lt;/title&gt;&lt;/titles&gt;&lt;dates&gt;&lt;year&gt;2005&lt;/year&gt;&lt;/dates&gt;&lt;pub-location&gt;New York and London&lt;/pub-location&gt;&lt;publisher&gt;NYU Press&lt;/publisher&gt;&lt;urls&gt;&lt;/urls&gt;&lt;/record&gt;&lt;/Cite&gt;&lt;/EndNote&gt;</w:instrText>
      </w:r>
      <w:r w:rsidR="00D05B0A" w:rsidRPr="008A4013">
        <w:fldChar w:fldCharType="separate"/>
      </w:r>
      <w:r w:rsidR="00D05B0A" w:rsidRPr="008A4013">
        <w:rPr>
          <w:noProof/>
        </w:rPr>
        <w:t>(</w:t>
      </w:r>
      <w:hyperlink w:anchor="_ENREF_16" w:tooltip="Halberstam, 2005 #53" w:history="1">
        <w:r w:rsidR="00DE221F" w:rsidRPr="008A4013">
          <w:rPr>
            <w:noProof/>
          </w:rPr>
          <w:t>2005: 10</w:t>
        </w:r>
      </w:hyperlink>
      <w:r w:rsidR="00D05B0A" w:rsidRPr="008A4013">
        <w:rPr>
          <w:noProof/>
        </w:rPr>
        <w:t>)</w:t>
      </w:r>
      <w:r w:rsidR="00D05B0A" w:rsidRPr="008A4013">
        <w:fldChar w:fldCharType="end"/>
      </w:r>
      <w:r w:rsidRPr="008A4013">
        <w:t xml:space="preserve">. </w:t>
      </w:r>
      <w:r w:rsidR="00BB3F62" w:rsidRPr="008A4013">
        <w:t>I</w:t>
      </w:r>
      <w:r w:rsidR="0063106E" w:rsidRPr="008A4013">
        <w:t xml:space="preserve">n the IGBP videos here </w:t>
      </w:r>
      <w:r w:rsidR="008F1A59" w:rsidRPr="008A4013">
        <w:t>analyzed</w:t>
      </w:r>
      <w:r w:rsidR="00A456AF" w:rsidRPr="008A4013">
        <w:t>,</w:t>
      </w:r>
      <w:r w:rsidR="0063106E" w:rsidRPr="008A4013">
        <w:t xml:space="preserve"> </w:t>
      </w:r>
      <w:r w:rsidR="00BB3F62" w:rsidRPr="008A4013">
        <w:t xml:space="preserve">laypeople tend to reify </w:t>
      </w:r>
      <w:r w:rsidR="0063106E" w:rsidRPr="008A4013">
        <w:t xml:space="preserve">the </w:t>
      </w:r>
      <w:r w:rsidR="00BB3F62" w:rsidRPr="008A4013">
        <w:t xml:space="preserve">“paradigmatic markers of life experience” </w:t>
      </w:r>
      <w:r w:rsidR="00D05B0A" w:rsidRPr="008A4013">
        <w:fldChar w:fldCharType="begin"/>
      </w:r>
      <w:r w:rsidR="00B63259" w:rsidRPr="008A4013">
        <w:instrText xml:space="preserve"> ADDIN EN.CITE &lt;EndNote&gt;&lt;Cite&gt;&lt;Author&gt;Halberstam&lt;/Author&gt;&lt;Year&gt;2005&lt;/Year&gt;&lt;RecNum&gt;53&lt;/RecNum&gt;&lt;Pages&gt;2&lt;/Pages&gt;&lt;DisplayText&gt;(Halberstam 2005: 2)&lt;/DisplayText&gt;&lt;record&gt;&lt;rec-number&gt;53&lt;/rec-number&gt;&lt;foreign-keys&gt;&lt;key app="EN" db-id="x0x2x9vw3vz5wretwfnpsavdxe0w5pfpzees"&gt;53&lt;/key&gt;&lt;/foreign-keys&gt;&lt;ref-type name="Book"&gt;6&lt;/ref-type&gt;&lt;contributors&gt;&lt;authors&gt;&lt;author&gt;Halberstam, Judith&lt;/author&gt;&lt;/authors&gt;&lt;/contributors&gt;&lt;titles&gt;&lt;title&gt;In a Queer Time and Place&lt;/title&gt;&lt;/titles&gt;&lt;dates&gt;&lt;year&gt;2005&lt;/year&gt;&lt;/dates&gt;&lt;pub-location&gt;New York and London&lt;/pub-location&gt;&lt;publisher&gt;NYU Press&lt;/publisher&gt;&lt;urls&gt;&lt;/urls&gt;&lt;/record&gt;&lt;/Cite&gt;&lt;/EndNote&gt;</w:instrText>
      </w:r>
      <w:r w:rsidR="00D05B0A" w:rsidRPr="008A4013">
        <w:fldChar w:fldCharType="separate"/>
      </w:r>
      <w:r w:rsidR="00D05B0A" w:rsidRPr="008A4013">
        <w:rPr>
          <w:noProof/>
        </w:rPr>
        <w:t>(</w:t>
      </w:r>
      <w:hyperlink w:anchor="_ENREF_16" w:tooltip="Halberstam, 2005 #53" w:history="1">
        <w:r w:rsidR="00DE221F" w:rsidRPr="008A4013">
          <w:rPr>
            <w:noProof/>
          </w:rPr>
          <w:t>Halberstam 2005: 2</w:t>
        </w:r>
      </w:hyperlink>
      <w:r w:rsidR="00D05B0A" w:rsidRPr="008A4013">
        <w:rPr>
          <w:noProof/>
        </w:rPr>
        <w:t>)</w:t>
      </w:r>
      <w:r w:rsidR="00D05B0A" w:rsidRPr="008A4013">
        <w:fldChar w:fldCharType="end"/>
      </w:r>
      <w:r w:rsidR="00D05B0A" w:rsidRPr="008A4013">
        <w:t xml:space="preserve"> </w:t>
      </w:r>
      <w:r w:rsidR="0087580D" w:rsidRPr="008A4013">
        <w:t>of</w:t>
      </w:r>
      <w:r w:rsidR="00BB3F62" w:rsidRPr="008A4013">
        <w:t xml:space="preserve"> reproductive time</w:t>
      </w:r>
      <w:r w:rsidR="0063106E" w:rsidRPr="008A4013">
        <w:t xml:space="preserve"> as necessar</w:t>
      </w:r>
      <w:r w:rsidR="0087580D" w:rsidRPr="008A4013">
        <w:t>ily passed during an inevitable journey</w:t>
      </w:r>
      <w:r w:rsidR="0063106E" w:rsidRPr="008A4013">
        <w:t xml:space="preserve"> </w:t>
      </w:r>
      <w:r w:rsidR="0087580D" w:rsidRPr="008A4013">
        <w:t>towards a better life.</w:t>
      </w:r>
      <w:r w:rsidR="00BB3F62" w:rsidRPr="008A4013">
        <w:t xml:space="preserve"> </w:t>
      </w:r>
      <w:r w:rsidR="004F4390" w:rsidRPr="008A4013">
        <w:t xml:space="preserve">As Savage stressed in his original video, and the laypeople above echo, adolescent viewers should only “hang in there” and “tough it out” in the present, and only in the future does “it </w:t>
      </w:r>
      <w:r w:rsidR="00E54C7E" w:rsidRPr="008A4013">
        <w:t xml:space="preserve">gets better.” </w:t>
      </w:r>
      <w:r w:rsidR="0087580D" w:rsidRPr="008A4013">
        <w:t>S</w:t>
      </w:r>
      <w:r w:rsidR="00BB3F62" w:rsidRPr="008A4013">
        <w:t>pokespeople</w:t>
      </w:r>
      <w:r w:rsidR="0087580D" w:rsidRPr="008A4013">
        <w:t>, however</w:t>
      </w:r>
      <w:r w:rsidR="00754B5B" w:rsidRPr="008A4013">
        <w:t>,</w:t>
      </w:r>
      <w:r w:rsidR="00BB3F62" w:rsidRPr="008A4013">
        <w:t xml:space="preserve"> </w:t>
      </w:r>
      <w:r w:rsidR="0087580D" w:rsidRPr="008A4013">
        <w:t>frequently foreground viewers</w:t>
      </w:r>
      <w:r w:rsidR="00F01AAC" w:rsidRPr="008A4013">
        <w:t>’</w:t>
      </w:r>
      <w:r w:rsidR="0063106E" w:rsidRPr="008A4013">
        <w:t xml:space="preserve"> present</w:t>
      </w:r>
      <w:r w:rsidR="0087580D" w:rsidRPr="008A4013">
        <w:t xml:space="preserve"> abilities and opportunities </w:t>
      </w:r>
      <w:r w:rsidR="00754B5B" w:rsidRPr="008A4013">
        <w:t>to improve their circumstances in the now</w:t>
      </w:r>
      <w:r w:rsidR="00BB3F62" w:rsidRPr="008A4013">
        <w:t xml:space="preserve">. </w:t>
      </w:r>
      <w:r w:rsidR="00754B5B" w:rsidRPr="008A4013">
        <w:t>In doing so</w:t>
      </w:r>
      <w:r w:rsidR="00BB3F62" w:rsidRPr="008A4013">
        <w:t xml:space="preserve"> they assert that the </w:t>
      </w:r>
      <w:r w:rsidR="00754B5B" w:rsidRPr="008A4013">
        <w:t>promise</w:t>
      </w:r>
      <w:r w:rsidR="00BB3F62" w:rsidRPr="008A4013">
        <w:t xml:space="preserve"> implicit in “it gets bet</w:t>
      </w:r>
      <w:r w:rsidR="00754B5B" w:rsidRPr="008A4013">
        <w:t xml:space="preserve">ter” is in fact not guaranteed, which justifies passivity, </w:t>
      </w:r>
      <w:r w:rsidR="00BB3F62" w:rsidRPr="008A4013">
        <w:t xml:space="preserve">but </w:t>
      </w:r>
      <w:r w:rsidR="00754B5B" w:rsidRPr="008A4013">
        <w:t>rather must be</w:t>
      </w:r>
      <w:r w:rsidR="00BB3F62" w:rsidRPr="008A4013">
        <w:t xml:space="preserve"> obt</w:t>
      </w:r>
      <w:r w:rsidR="00754B5B" w:rsidRPr="008A4013">
        <w:t>ained through action</w:t>
      </w:r>
      <w:r w:rsidR="00BB3F62" w:rsidRPr="008A4013">
        <w:t>.</w:t>
      </w:r>
    </w:p>
    <w:p w14:paraId="48ABA7B0" w14:textId="23B65450" w:rsidR="00E925AC" w:rsidRPr="008A4013" w:rsidRDefault="00754B5B" w:rsidP="00C137CF">
      <w:pPr>
        <w:tabs>
          <w:tab w:val="left" w:pos="709"/>
        </w:tabs>
        <w:ind w:firstLine="0"/>
      </w:pPr>
      <w:r w:rsidRPr="008A4013">
        <w:rPr>
          <w:b/>
        </w:rPr>
        <w:tab/>
      </w:r>
      <w:r w:rsidR="00E541BB" w:rsidRPr="008A4013">
        <w:t xml:space="preserve">Laypeople, including the Anonymous speakers above, </w:t>
      </w:r>
      <w:r w:rsidR="00C25CBA" w:rsidRPr="008A4013">
        <w:t xml:space="preserve">repeatedly </w:t>
      </w:r>
      <w:r w:rsidR="008F1A59" w:rsidRPr="008A4013">
        <w:t>emphasize</w:t>
      </w:r>
      <w:r w:rsidR="00E541BB" w:rsidRPr="008A4013">
        <w:t xml:space="preserve"> that the passing of time is the</w:t>
      </w:r>
      <w:r w:rsidR="00C25CBA" w:rsidRPr="008A4013">
        <w:t xml:space="preserve"> not the obstacle but rather the</w:t>
      </w:r>
      <w:r w:rsidR="00E541BB" w:rsidRPr="008A4013">
        <w:t xml:space="preserve"> means through which </w:t>
      </w:r>
      <w:r w:rsidR="00EE7286" w:rsidRPr="008A4013">
        <w:t>“it gets better.”</w:t>
      </w:r>
      <w:r w:rsidR="00C25CBA" w:rsidRPr="008A4013">
        <w:t xml:space="preserve"> </w:t>
      </w:r>
      <w:r w:rsidR="00E541BB" w:rsidRPr="008A4013">
        <w:t>Andrew (</w:t>
      </w:r>
      <w:r w:rsidR="00E541BB" w:rsidRPr="008A4013">
        <w:rPr>
          <w:i/>
        </w:rPr>
        <w:t>Example Three</w:t>
      </w:r>
      <w:r w:rsidR="00E541BB" w:rsidRPr="008A4013">
        <w:t>)</w:t>
      </w:r>
      <w:r w:rsidR="00C25CBA" w:rsidRPr="008A4013">
        <w:t>, Chris and John (</w:t>
      </w:r>
      <w:r w:rsidR="00C25CBA" w:rsidRPr="008A4013">
        <w:rPr>
          <w:i/>
        </w:rPr>
        <w:t>Example Two</w:t>
      </w:r>
      <w:r w:rsidR="00C25CBA" w:rsidRPr="008A4013">
        <w:t>)</w:t>
      </w:r>
      <w:r w:rsidR="00E541BB" w:rsidRPr="008A4013">
        <w:t xml:space="preserve"> </w:t>
      </w:r>
      <w:r w:rsidR="00C25CBA" w:rsidRPr="008A4013">
        <w:t>all detail how</w:t>
      </w:r>
      <w:r w:rsidR="00E541BB" w:rsidRPr="008A4013">
        <w:t xml:space="preserve"> life improves with each passing stage: after high school, college will be a transformative experience that will </w:t>
      </w:r>
      <w:r w:rsidR="00E541BB" w:rsidRPr="008A4013">
        <w:lastRenderedPageBreak/>
        <w:t xml:space="preserve">prepare viewers for a “better” life </w:t>
      </w:r>
      <w:r w:rsidR="009F5F69" w:rsidRPr="008A4013">
        <w:t>as an adult</w:t>
      </w:r>
      <w:r w:rsidR="00C25CBA" w:rsidRPr="008A4013">
        <w:t>.</w:t>
      </w:r>
      <w:r w:rsidR="009F5F69" w:rsidRPr="008A4013">
        <w:t xml:space="preserve"> </w:t>
      </w:r>
      <w:r w:rsidR="00E541BB" w:rsidRPr="008A4013">
        <w:t xml:space="preserve">Laypeople not only repeatedly construct high school as a challenging life stage that nonetheless must be endured, but they frequently draw attention to the reward—the implicit “better” that awaits listeners—of a college degree (John, </w:t>
      </w:r>
      <w:r w:rsidR="00E541BB" w:rsidRPr="008A4013">
        <w:rPr>
          <w:i/>
        </w:rPr>
        <w:t>Example Two</w:t>
      </w:r>
      <w:r w:rsidR="00E541BB" w:rsidRPr="008A4013">
        <w:t xml:space="preserve">), enjoyable career (Andrew, </w:t>
      </w:r>
      <w:r w:rsidR="00E541BB" w:rsidRPr="008A4013">
        <w:rPr>
          <w:i/>
        </w:rPr>
        <w:t>Example One</w:t>
      </w:r>
      <w:r w:rsidR="00E541BB" w:rsidRPr="008A4013">
        <w:t>), city life and</w:t>
      </w:r>
      <w:r w:rsidRPr="008A4013">
        <w:t xml:space="preserve"> a nuclear two-</w:t>
      </w:r>
      <w:r w:rsidR="00E541BB" w:rsidRPr="008A4013">
        <w:t>parent family unit (Anonymous B</w:t>
      </w:r>
      <w:r w:rsidRPr="008A4013">
        <w:t xml:space="preserve">, </w:t>
      </w:r>
      <w:r w:rsidRPr="008A4013">
        <w:rPr>
          <w:i/>
        </w:rPr>
        <w:t>Example Four</w:t>
      </w:r>
      <w:r w:rsidR="00E541BB" w:rsidRPr="008A4013">
        <w:t xml:space="preserve">). </w:t>
      </w:r>
    </w:p>
    <w:p w14:paraId="3508578C" w14:textId="4CD33135" w:rsidR="00EE7286" w:rsidRPr="008A4013" w:rsidRDefault="00EE7286" w:rsidP="00C137CF">
      <w:pPr>
        <w:tabs>
          <w:tab w:val="left" w:pos="709"/>
        </w:tabs>
        <w:ind w:firstLine="0"/>
        <w:rPr>
          <w:b/>
        </w:rPr>
      </w:pPr>
      <w:r w:rsidRPr="008A4013">
        <w:tab/>
        <w:t xml:space="preserve">Maturation is here figured as both a necessary and inevitable aspect of “it” getting better. This maturity is frequently implied to include self-acceptance, which in turn is only fully realized through coming out, with college years apparently the optimum time to exit the closet. Here again, the assertion that “out” is “better” gives credence to </w:t>
      </w:r>
      <w:proofErr w:type="spellStart"/>
      <w:r w:rsidRPr="008A4013">
        <w:t>Decena’s</w:t>
      </w:r>
      <w:proofErr w:type="spellEnd"/>
      <w:r w:rsidRPr="008A4013">
        <w:t xml:space="preserve"> suggestion that the act of “coming out” has been subsumed into the rubric of dominant, homonormative values that increasingly mimic the linear life stages of heteronormative reproductive time. These laypeople’s positions thus rely upon and promote values that</w:t>
      </w:r>
      <w:r w:rsidR="00D37E32" w:rsidRPr="008A4013">
        <w:t>,</w:t>
      </w:r>
      <w:r w:rsidRPr="008A4013">
        <w:t xml:space="preserve"> Halberstam </w:t>
      </w:r>
      <w:r w:rsidR="00D37E32" w:rsidRPr="008A4013">
        <w:t>proposes,</w:t>
      </w:r>
      <w:r w:rsidRPr="008A4013">
        <w:t xml:space="preserve"> are </w:t>
      </w:r>
      <w:r w:rsidR="00D37E32" w:rsidRPr="008A4013">
        <w:t>countered—</w:t>
      </w:r>
      <w:r w:rsidRPr="008A4013">
        <w:t>or</w:t>
      </w:r>
      <w:r w:rsidR="00D37E32" w:rsidRPr="008A4013">
        <w:t xml:space="preserve"> queered—</w:t>
      </w:r>
      <w:r w:rsidRPr="008A4013">
        <w:t xml:space="preserve">through the notion of a “stretched-out adolescence” </w:t>
      </w:r>
      <w:r w:rsidR="00D05B0A" w:rsidRPr="008A4013">
        <w:fldChar w:fldCharType="begin"/>
      </w:r>
      <w:r w:rsidR="00B63259" w:rsidRPr="008A4013">
        <w:instrText xml:space="preserve"> ADDIN EN.CITE &lt;EndNote&gt;&lt;Cite ExcludeAuth="1"&gt;&lt;Author&gt;Halberstam&lt;/Author&gt;&lt;Year&gt;2005&lt;/Year&gt;&lt;RecNum&gt;53&lt;/RecNum&gt;&lt;Pages&gt;153&lt;/Pages&gt;&lt;DisplayText&gt;(2005: 153)&lt;/DisplayText&gt;&lt;record&gt;&lt;rec-number&gt;53&lt;/rec-number&gt;&lt;foreign-keys&gt;&lt;key app="EN" db-id="x0x2x9vw3vz5wretwfnpsavdxe0w5pfpzees"&gt;53&lt;/key&gt;&lt;/foreign-keys&gt;&lt;ref-type name="Book"&gt;6&lt;/ref-type&gt;&lt;contributors&gt;&lt;authors&gt;&lt;author&gt;Halberstam, Judith&lt;/author&gt;&lt;/authors&gt;&lt;/contributors&gt;&lt;titles&gt;&lt;title&gt;In a Queer Time and Place&lt;/title&gt;&lt;/titles&gt;&lt;dates&gt;&lt;year&gt;2005&lt;/year&gt;&lt;/dates&gt;&lt;pub-location&gt;New York and London&lt;/pub-location&gt;&lt;publisher&gt;NYU Press&lt;/publisher&gt;&lt;urls&gt;&lt;/urls&gt;&lt;/record&gt;&lt;/Cite&gt;&lt;/EndNote&gt;</w:instrText>
      </w:r>
      <w:r w:rsidR="00D05B0A" w:rsidRPr="008A4013">
        <w:fldChar w:fldCharType="separate"/>
      </w:r>
      <w:r w:rsidR="00D05B0A" w:rsidRPr="008A4013">
        <w:rPr>
          <w:noProof/>
        </w:rPr>
        <w:t>(</w:t>
      </w:r>
      <w:hyperlink w:anchor="_ENREF_16" w:tooltip="Halberstam, 2005 #53" w:history="1">
        <w:r w:rsidR="00DE221F" w:rsidRPr="008A4013">
          <w:rPr>
            <w:noProof/>
          </w:rPr>
          <w:t>2005: 153</w:t>
        </w:r>
      </w:hyperlink>
      <w:r w:rsidR="00D05B0A" w:rsidRPr="008A4013">
        <w:rPr>
          <w:noProof/>
        </w:rPr>
        <w:t>)</w:t>
      </w:r>
      <w:r w:rsidR="00D05B0A" w:rsidRPr="008A4013">
        <w:fldChar w:fldCharType="end"/>
      </w:r>
      <w:r w:rsidRPr="008A4013">
        <w:t>.</w:t>
      </w:r>
    </w:p>
    <w:p w14:paraId="2E1F4A63" w14:textId="393F3A88" w:rsidR="00E541BB" w:rsidRPr="008A4013" w:rsidRDefault="00CC45B3" w:rsidP="00C137CF">
      <w:pPr>
        <w:ind w:firstLine="720"/>
      </w:pPr>
      <w:r w:rsidRPr="008A4013">
        <w:t xml:space="preserve">Moreover, </w:t>
      </w:r>
      <w:r w:rsidR="00D37E32" w:rsidRPr="008A4013">
        <w:t>these laypeople’s</w:t>
      </w:r>
      <w:r w:rsidR="009F5F69" w:rsidRPr="008A4013">
        <w:t xml:space="preserve"> </w:t>
      </w:r>
      <w:r w:rsidR="00D37E32" w:rsidRPr="008A4013">
        <w:t xml:space="preserve">words </w:t>
      </w:r>
      <w:r w:rsidR="009F5F69" w:rsidRPr="008A4013">
        <w:t>echo the neoliberal stance that an industrious attitude and willingness to pay your dues</w:t>
      </w:r>
      <w:r w:rsidR="00495DB5" w:rsidRPr="008A4013">
        <w:t>,</w:t>
      </w:r>
      <w:r w:rsidR="00A456AF" w:rsidRPr="008A4013">
        <w:t xml:space="preserve"> </w:t>
      </w:r>
      <w:r w:rsidR="009F5F69" w:rsidRPr="008A4013">
        <w:t xml:space="preserve">rather than rock the boat, is the </w:t>
      </w:r>
      <w:r w:rsidR="00E925AC" w:rsidRPr="008A4013">
        <w:t xml:space="preserve">safest </w:t>
      </w:r>
      <w:r w:rsidR="009F5F69" w:rsidRPr="008A4013">
        <w:t xml:space="preserve">route to prosperity. Tacitly, </w:t>
      </w:r>
      <w:r w:rsidR="00D37E32" w:rsidRPr="008A4013">
        <w:t>they</w:t>
      </w:r>
      <w:r w:rsidR="009F5F69" w:rsidRPr="008A4013">
        <w:t xml:space="preserve"> </w:t>
      </w:r>
      <w:r w:rsidRPr="008A4013">
        <w:t>ass</w:t>
      </w:r>
      <w:r w:rsidR="00E33AFA" w:rsidRPr="008A4013">
        <w:t xml:space="preserve">ume </w:t>
      </w:r>
      <w:r w:rsidR="009F5F69" w:rsidRPr="008A4013">
        <w:t>their</w:t>
      </w:r>
      <w:r w:rsidR="009F5F69" w:rsidRPr="008A4013">
        <w:rPr>
          <w:b/>
        </w:rPr>
        <w:t xml:space="preserve"> </w:t>
      </w:r>
      <w:r w:rsidR="00E33AFA" w:rsidRPr="008A4013">
        <w:t>listeners both desire and have the abi</w:t>
      </w:r>
      <w:r w:rsidR="009F5F69" w:rsidRPr="008A4013">
        <w:t>lity to attend not only college</w:t>
      </w:r>
      <w:r w:rsidR="00754B5B" w:rsidRPr="008A4013">
        <w:t>,</w:t>
      </w:r>
      <w:r w:rsidR="00A456AF" w:rsidRPr="008A4013">
        <w:t xml:space="preserve"> but specifically</w:t>
      </w:r>
      <w:r w:rsidR="00E33AFA" w:rsidRPr="008A4013">
        <w:t xml:space="preserve"> </w:t>
      </w:r>
      <w:r w:rsidR="00A456AF" w:rsidRPr="008A4013">
        <w:t xml:space="preserve">a </w:t>
      </w:r>
      <w:r w:rsidR="00E33AFA" w:rsidRPr="008A4013">
        <w:t>campus-based college far from home. The g</w:t>
      </w:r>
      <w:r w:rsidRPr="008A4013">
        <w:t xml:space="preserve">ainful employment and purchasing power </w:t>
      </w:r>
      <w:r w:rsidR="00E33AFA" w:rsidRPr="008A4013">
        <w:t>that is projected by lay</w:t>
      </w:r>
      <w:r w:rsidR="009F5F69" w:rsidRPr="008A4013">
        <w:t>people as necessarily following</w:t>
      </w:r>
      <w:r w:rsidR="00E33AFA" w:rsidRPr="008A4013">
        <w:t xml:space="preserve"> deny </w:t>
      </w:r>
      <w:r w:rsidR="00EE7286" w:rsidRPr="008A4013">
        <w:t>very real</w:t>
      </w:r>
      <w:r w:rsidR="00E33AFA" w:rsidRPr="008A4013">
        <w:t xml:space="preserve"> </w:t>
      </w:r>
      <w:r w:rsidR="009F5F69" w:rsidRPr="008A4013">
        <w:t>barriers erected through pervasive</w:t>
      </w:r>
      <w:r w:rsidR="009F5F69" w:rsidRPr="008A4013">
        <w:rPr>
          <w:b/>
        </w:rPr>
        <w:t xml:space="preserve"> </w:t>
      </w:r>
      <w:r w:rsidR="00E33AFA" w:rsidRPr="008A4013">
        <w:t>structural c</w:t>
      </w:r>
      <w:r w:rsidR="009F5F69" w:rsidRPr="008A4013">
        <w:t xml:space="preserve">lass, race, able-bodied and </w:t>
      </w:r>
      <w:r w:rsidR="00E33AFA" w:rsidRPr="008A4013">
        <w:t>gender privileges in job, housing and commodity markets. When Savage and Miller discuss their happiest family moments, they respectively choose watching the sunrise in Paris and seeing their son learn to ski (Savage and Miller 2010). Such lu</w:t>
      </w:r>
      <w:r w:rsidR="00EE7286" w:rsidRPr="008A4013">
        <w:t xml:space="preserve">xury experiences, here presented as rewards for </w:t>
      </w:r>
      <w:r w:rsidR="00D37E32" w:rsidRPr="008A4013">
        <w:t>“tough[</w:t>
      </w:r>
      <w:proofErr w:type="spellStart"/>
      <w:r w:rsidR="00D37E32" w:rsidRPr="008A4013">
        <w:t>ing</w:t>
      </w:r>
      <w:proofErr w:type="spellEnd"/>
      <w:r w:rsidR="00D37E32" w:rsidRPr="008A4013">
        <w:t>] it out,”</w:t>
      </w:r>
      <w:r w:rsidR="00EE7286" w:rsidRPr="008A4013">
        <w:t xml:space="preserve"> are accessible </w:t>
      </w:r>
      <w:r w:rsidR="00D37E32" w:rsidRPr="008A4013">
        <w:t xml:space="preserve">only </w:t>
      </w:r>
      <w:r w:rsidR="00E33AFA" w:rsidRPr="008A4013">
        <w:t xml:space="preserve">to </w:t>
      </w:r>
      <w:r w:rsidR="00817BCA" w:rsidRPr="008A4013">
        <w:t xml:space="preserve">the </w:t>
      </w:r>
      <w:r w:rsidR="00D37E32" w:rsidRPr="008A4013">
        <w:t xml:space="preserve">privileged </w:t>
      </w:r>
      <w:r w:rsidR="00E33AFA" w:rsidRPr="008A4013">
        <w:t>few</w:t>
      </w:r>
      <w:r w:rsidR="00D37E32" w:rsidRPr="008A4013">
        <w:t>,</w:t>
      </w:r>
      <w:r w:rsidR="00817BCA" w:rsidRPr="008A4013">
        <w:t xml:space="preserve"> and </w:t>
      </w:r>
      <w:r w:rsidR="00D37E32" w:rsidRPr="008A4013">
        <w:t xml:space="preserve">thus </w:t>
      </w:r>
      <w:r w:rsidR="00817BCA" w:rsidRPr="008A4013">
        <w:t>act as hollow promises of how it assertively does get better</w:t>
      </w:r>
      <w:r w:rsidR="00D37E32" w:rsidRPr="008A4013">
        <w:t xml:space="preserve"> for all</w:t>
      </w:r>
      <w:r w:rsidR="00817BCA" w:rsidRPr="008A4013">
        <w:t>.</w:t>
      </w:r>
      <w:r w:rsidR="00754B5B" w:rsidRPr="008A4013">
        <w:t xml:space="preserve"> </w:t>
      </w:r>
      <w:r w:rsidR="009F5F69" w:rsidRPr="008A4013">
        <w:t xml:space="preserve"> </w:t>
      </w:r>
    </w:p>
    <w:p w14:paraId="017586B8" w14:textId="7478A959" w:rsidR="007628E8" w:rsidRPr="008A4013" w:rsidRDefault="00E541BB" w:rsidP="00C137CF">
      <w:pPr>
        <w:tabs>
          <w:tab w:val="left" w:pos="709"/>
        </w:tabs>
        <w:ind w:firstLine="0"/>
      </w:pPr>
      <w:r w:rsidRPr="008A4013">
        <w:lastRenderedPageBreak/>
        <w:tab/>
        <w:t xml:space="preserve">Spokespeople, in contrast, </w:t>
      </w:r>
      <w:r w:rsidR="002805C3" w:rsidRPr="008A4013">
        <w:t xml:space="preserve">tend to </w:t>
      </w:r>
      <w:r w:rsidR="008F1A59" w:rsidRPr="008A4013">
        <w:t>emphasize</w:t>
      </w:r>
      <w:r w:rsidRPr="008A4013">
        <w:t xml:space="preserve"> action and acceptance in the </w:t>
      </w:r>
      <w:r w:rsidR="00754B5B" w:rsidRPr="008A4013">
        <w:t>present, while</w:t>
      </w:r>
      <w:r w:rsidR="002805C3" w:rsidRPr="008A4013">
        <w:t xml:space="preserve"> add</w:t>
      </w:r>
      <w:r w:rsidR="00754B5B" w:rsidRPr="008A4013">
        <w:t xml:space="preserve">ing caveats </w:t>
      </w:r>
      <w:r w:rsidR="002805C3" w:rsidRPr="008A4013">
        <w:t>to their “it gets better” statements</w:t>
      </w:r>
      <w:r w:rsidRPr="008A4013">
        <w:t xml:space="preserve">. </w:t>
      </w:r>
      <w:r w:rsidR="0014723C" w:rsidRPr="008A4013">
        <w:t xml:space="preserve">As well as explicit calls for </w:t>
      </w:r>
      <w:r w:rsidR="007628E8" w:rsidRPr="008A4013">
        <w:t>viewers to take action now for themselves</w:t>
      </w:r>
      <w:r w:rsidR="001B1246" w:rsidRPr="008A4013">
        <w:t xml:space="preserve"> </w:t>
      </w:r>
      <w:r w:rsidR="007628E8" w:rsidRPr="008A4013">
        <w:t>(Doug</w:t>
      </w:r>
      <w:r w:rsidR="001B1246" w:rsidRPr="008A4013">
        <w:t xml:space="preserve">, </w:t>
      </w:r>
      <w:r w:rsidR="001B1246" w:rsidRPr="008A4013">
        <w:rPr>
          <w:i/>
        </w:rPr>
        <w:t>Example Four</w:t>
      </w:r>
      <w:r w:rsidR="007628E8" w:rsidRPr="008A4013">
        <w:t>), spokespeople also urge allies and community members in general to create supportive en</w:t>
      </w:r>
      <w:r w:rsidR="00201E0B" w:rsidRPr="008A4013">
        <w:t xml:space="preserve">vironments </w:t>
      </w:r>
      <w:r w:rsidR="00D96CA5" w:rsidRPr="008A4013">
        <w:t>for others (Reverend</w:t>
      </w:r>
      <w:r w:rsidR="00201E0B" w:rsidRPr="008A4013">
        <w:t xml:space="preserve"> Haff</w:t>
      </w:r>
      <w:r w:rsidR="007628E8" w:rsidRPr="008A4013">
        <w:t xml:space="preserve">ner, </w:t>
      </w:r>
      <w:r w:rsidR="007628E8" w:rsidRPr="008A4013">
        <w:rPr>
          <w:i/>
        </w:rPr>
        <w:t>Example Four</w:t>
      </w:r>
      <w:r w:rsidR="002805C3" w:rsidRPr="008A4013">
        <w:t xml:space="preserve">). While the potential to transcend abuses suffered </w:t>
      </w:r>
      <w:r w:rsidR="00B117EE" w:rsidRPr="008A4013">
        <w:t>does, and primarily in a theological sense, underpin</w:t>
      </w:r>
      <w:r w:rsidR="002805C3" w:rsidRPr="008A4013">
        <w:t xml:space="preserve"> spokespeople’s messages, emphasis is placed on collective, or social,</w:t>
      </w:r>
      <w:r w:rsidR="00B117EE" w:rsidRPr="008A4013">
        <w:t xml:space="preserve"> rather than an individual overcoming of oppression</w:t>
      </w:r>
      <w:r w:rsidR="002805C3" w:rsidRPr="008A4013">
        <w:t xml:space="preserve">. Spokespeople are </w:t>
      </w:r>
      <w:r w:rsidR="00B117EE" w:rsidRPr="008A4013">
        <w:t xml:space="preserve">thus </w:t>
      </w:r>
      <w:r w:rsidR="002805C3" w:rsidRPr="008A4013">
        <w:t>more likely to use</w:t>
      </w:r>
      <w:r w:rsidR="0014723C" w:rsidRPr="008A4013">
        <w:t xml:space="preserve"> the present </w:t>
      </w:r>
      <w:r w:rsidR="007628E8" w:rsidRPr="008A4013">
        <w:t>and present continuous, rather than the future tense</w:t>
      </w:r>
      <w:r w:rsidR="002805C3" w:rsidRPr="008A4013">
        <w:t>, when discussing “it” getting better</w:t>
      </w:r>
      <w:r w:rsidR="007628E8" w:rsidRPr="008A4013">
        <w:t>. After all, a</w:t>
      </w:r>
      <w:r w:rsidRPr="008A4013">
        <w:t xml:space="preserve">s </w:t>
      </w:r>
      <w:r w:rsidR="00B117EE" w:rsidRPr="008A4013">
        <w:t xml:space="preserve">“you are the way God made you” (Gene Robinson, </w:t>
      </w:r>
      <w:r w:rsidR="00B117EE" w:rsidRPr="008A4013">
        <w:rPr>
          <w:i/>
        </w:rPr>
        <w:t>Example One</w:t>
      </w:r>
      <w:r w:rsidR="00B117EE" w:rsidRPr="008A4013">
        <w:t xml:space="preserve">) and </w:t>
      </w:r>
      <w:r w:rsidR="00106A76" w:rsidRPr="008A4013">
        <w:t xml:space="preserve">“God loves you” </w:t>
      </w:r>
      <w:r w:rsidR="00B117EE" w:rsidRPr="008A4013">
        <w:t>right now</w:t>
      </w:r>
      <w:r w:rsidRPr="008A4013">
        <w:t xml:space="preserve">, it seems counter-intuitive to suggest that individuals must change, even through a process of maturation, in order for </w:t>
      </w:r>
      <w:r w:rsidR="00106A76" w:rsidRPr="008A4013">
        <w:t xml:space="preserve">their </w:t>
      </w:r>
      <w:r w:rsidR="00D37E32" w:rsidRPr="008A4013">
        <w:t>lives</w:t>
      </w:r>
      <w:r w:rsidRPr="008A4013">
        <w:t xml:space="preserve"> to improve.</w:t>
      </w:r>
    </w:p>
    <w:p w14:paraId="55C5E5CC" w14:textId="53976F77" w:rsidR="00D16B1A" w:rsidRPr="008A4013" w:rsidRDefault="00E925AC" w:rsidP="00C137CF">
      <w:pPr>
        <w:tabs>
          <w:tab w:val="left" w:pos="709"/>
        </w:tabs>
        <w:ind w:firstLine="0"/>
      </w:pPr>
      <w:r w:rsidRPr="008A4013">
        <w:rPr>
          <w:i/>
        </w:rPr>
        <w:tab/>
      </w:r>
      <w:r w:rsidR="00D16B1A" w:rsidRPr="008A4013">
        <w:t xml:space="preserve">Discussing </w:t>
      </w:r>
      <w:r w:rsidR="00CA77A3" w:rsidRPr="008A4013">
        <w:t xml:space="preserve">various </w:t>
      </w:r>
      <w:r w:rsidR="00D16B1A" w:rsidRPr="008A4013">
        <w:t xml:space="preserve">conceptions of “queer temporality” including Halberstam’s, </w:t>
      </w:r>
      <w:r w:rsidR="00D96CA5" w:rsidRPr="008A4013">
        <w:t xml:space="preserve">Tom </w:t>
      </w:r>
      <w:proofErr w:type="spellStart"/>
      <w:r w:rsidR="00D96CA5" w:rsidRPr="008A4013">
        <w:t>Boellstorff</w:t>
      </w:r>
      <w:proofErr w:type="spellEnd"/>
      <w:r w:rsidR="00D05B0A" w:rsidRPr="008A4013">
        <w:t xml:space="preserve"> </w:t>
      </w:r>
      <w:r w:rsidR="008248C7" w:rsidRPr="008A4013">
        <w:fldChar w:fldCharType="begin"/>
      </w:r>
      <w:r w:rsidR="00841C69" w:rsidRPr="008A4013">
        <w:instrText xml:space="preserve"> ADDIN EN.CITE &lt;EndNote&gt;&lt;Cite ExcludeAuth="1"&gt;&lt;Author&gt;Boellstorff&lt;/Author&gt;&lt;Year&gt;2007&lt;/Year&gt;&lt;RecNum&gt;281&lt;/RecNum&gt;&lt;DisplayText&gt;(2007)&lt;/DisplayText&gt;&lt;record&gt;&lt;rec-number&gt;281&lt;/rec-number&gt;&lt;foreign-keys&gt;&lt;key app="EN" db-id="x0x2x9vw3vz5wretwfnpsavdxe0w5pfpzees"&gt;281&lt;/key&gt;&lt;/foreign-keys&gt;&lt;ref-type name="Journal Article"&gt;17&lt;/ref-type&gt;&lt;contributors&gt;&lt;authors&gt;&lt;author&gt;Boellstorff, Tom&lt;/author&gt;&lt;/authors&gt;&lt;/contributors&gt;&lt;titles&gt;&lt;title&gt;When marriage falls: Queer coincidences in straight time&lt;/title&gt;&lt;secondary-title&gt;Gay and Lesbian Quarterly&lt;/secondary-title&gt;&lt;/titles&gt;&lt;periodical&gt;&lt;full-title&gt;Gay and Lesbian Quarterly&lt;/full-title&gt;&lt;/periodical&gt;&lt;pages&gt;227-248&lt;/pages&gt;&lt;volume&gt;13&lt;/volume&gt;&lt;number&gt;2-3&lt;/number&gt;&lt;dates&gt;&lt;year&gt;2007&lt;/year&gt;&lt;/dates&gt;&lt;urls&gt;&lt;related-urls&gt;&lt;url&gt;http://www.annualreviews.org/doi/abs/10.1146/annurev.anthro.36.081406.094421&lt;/url&gt;&lt;/related-urls&gt;&lt;/urls&gt;&lt;electronic-resource-num&gt;doi:10.1146/annurev.anthro.36.081406.094421&lt;/electronic-resource-num&gt;&lt;/record&gt;&lt;/Cite&gt;&lt;/EndNote&gt;</w:instrText>
      </w:r>
      <w:r w:rsidR="008248C7" w:rsidRPr="008A4013">
        <w:fldChar w:fldCharType="separate"/>
      </w:r>
      <w:r w:rsidR="00D96CA5" w:rsidRPr="008A4013">
        <w:rPr>
          <w:noProof/>
        </w:rPr>
        <w:t>(</w:t>
      </w:r>
      <w:hyperlink w:anchor="_ENREF_4" w:tooltip="Boellstorff, 2007 #281" w:history="1">
        <w:r w:rsidR="00DE221F" w:rsidRPr="008A4013">
          <w:rPr>
            <w:noProof/>
          </w:rPr>
          <w:t>2007</w:t>
        </w:r>
      </w:hyperlink>
      <w:r w:rsidR="00D96CA5" w:rsidRPr="008A4013">
        <w:rPr>
          <w:noProof/>
        </w:rPr>
        <w:t>)</w:t>
      </w:r>
      <w:r w:rsidR="008248C7" w:rsidRPr="008A4013">
        <w:fldChar w:fldCharType="end"/>
      </w:r>
      <w:r w:rsidR="00D16B1A" w:rsidRPr="008A4013">
        <w:t xml:space="preserve"> </w:t>
      </w:r>
      <w:r w:rsidRPr="008A4013">
        <w:t xml:space="preserve">notes that </w:t>
      </w:r>
      <w:r w:rsidR="00D16B1A" w:rsidRPr="008A4013">
        <w:t>all conceive of time as ultimately</w:t>
      </w:r>
      <w:r w:rsidRPr="008A4013">
        <w:t xml:space="preserve"> linear.</w:t>
      </w:r>
      <w:r w:rsidR="00D16B1A" w:rsidRPr="008A4013">
        <w:t xml:space="preserve"> Such thinking replicates, </w:t>
      </w:r>
      <w:r w:rsidR="00CA77A3" w:rsidRPr="008A4013">
        <w:t>he</w:t>
      </w:r>
      <w:r w:rsidR="00D16B1A" w:rsidRPr="008A4013">
        <w:t xml:space="preserve"> argues, the normative Western framework of “straight time</w:t>
      </w:r>
      <w:r w:rsidR="00D37E32" w:rsidRPr="008A4013">
        <w:t>,</w:t>
      </w:r>
      <w:r w:rsidR="00D16B1A" w:rsidRPr="008A4013">
        <w:t>”</w:t>
      </w:r>
      <w:r w:rsidR="00E678DC" w:rsidRPr="008A4013">
        <w:t xml:space="preserve"> an </w:t>
      </w:r>
      <w:r w:rsidR="00D16B1A" w:rsidRPr="008A4013">
        <w:t>“[e]</w:t>
      </w:r>
      <w:proofErr w:type="spellStart"/>
      <w:r w:rsidR="00D16B1A" w:rsidRPr="008A4013">
        <w:t>volutive</w:t>
      </w:r>
      <w:proofErr w:type="spellEnd"/>
      <w:r w:rsidR="00D16B1A" w:rsidRPr="008A4013">
        <w:t>, teleological, apocalyptic paranoid…nothing less than a millenarian temporality</w:t>
      </w:r>
      <w:r w:rsidR="00E678DC" w:rsidRPr="008A4013">
        <w:t xml:space="preserve">” </w:t>
      </w:r>
      <w:r w:rsidR="008248C7" w:rsidRPr="008A4013">
        <w:fldChar w:fldCharType="begin"/>
      </w:r>
      <w:r w:rsidR="00841C69" w:rsidRPr="008A4013">
        <w:instrText xml:space="preserve"> ADDIN EN.CITE &lt;EndNote&gt;&lt;Cite&gt;&lt;Author&gt;Boellstorff&lt;/Author&gt;&lt;Year&gt;2007&lt;/Year&gt;&lt;RecNum&gt;281&lt;/RecNum&gt;&lt;Pages&gt;231&lt;/Pages&gt;&lt;DisplayText&gt;(Boellstorff 2007: 231)&lt;/DisplayText&gt;&lt;record&gt;&lt;rec-number&gt;281&lt;/rec-number&gt;&lt;foreign-keys&gt;&lt;key app="EN" db-id="x0x2x9vw3vz5wretwfnpsavdxe0w5pfpzees"&gt;281&lt;/key&gt;&lt;/foreign-keys&gt;&lt;ref-type name="Journal Article"&gt;17&lt;/ref-type&gt;&lt;contributors&gt;&lt;authors&gt;&lt;author&gt;Boellstorff, Tom&lt;/author&gt;&lt;/authors&gt;&lt;/contributors&gt;&lt;titles&gt;&lt;title&gt;When marriage falls: Queer coincidences in straight time&lt;/title&gt;&lt;secondary-title&gt;Gay and Lesbian Quarterly&lt;/secondary-title&gt;&lt;/titles&gt;&lt;periodical&gt;&lt;full-title&gt;Gay and Lesbian Quarterly&lt;/full-title&gt;&lt;/periodical&gt;&lt;pages&gt;227-248&lt;/pages&gt;&lt;volume&gt;13&lt;/volume&gt;&lt;number&gt;2-3&lt;/number&gt;&lt;dates&gt;&lt;year&gt;2007&lt;/year&gt;&lt;/dates&gt;&lt;urls&gt;&lt;related-urls&gt;&lt;url&gt;http://www.annualreviews.org/doi/abs/10.1146/annurev.anthro.36.081406.094421&lt;/url&gt;&lt;/related-urls&gt;&lt;/urls&gt;&lt;electronic-resource-num&gt;doi:10.1146/annurev.anthro.36.081406.094421&lt;/electronic-resource-num&gt;&lt;/record&gt;&lt;/Cite&gt;&lt;/EndNote&gt;</w:instrText>
      </w:r>
      <w:r w:rsidR="008248C7" w:rsidRPr="008A4013">
        <w:fldChar w:fldCharType="separate"/>
      </w:r>
      <w:r w:rsidR="00D96CA5" w:rsidRPr="008A4013">
        <w:rPr>
          <w:noProof/>
        </w:rPr>
        <w:t>(</w:t>
      </w:r>
      <w:hyperlink w:anchor="_ENREF_4" w:tooltip="Boellstorff, 2007 #281" w:history="1">
        <w:r w:rsidR="00DE221F" w:rsidRPr="008A4013">
          <w:rPr>
            <w:noProof/>
          </w:rPr>
          <w:t>Boellstorff 2007: 231</w:t>
        </w:r>
      </w:hyperlink>
      <w:r w:rsidR="00D96CA5" w:rsidRPr="008A4013">
        <w:rPr>
          <w:noProof/>
        </w:rPr>
        <w:t>)</w:t>
      </w:r>
      <w:r w:rsidR="008248C7" w:rsidRPr="008A4013">
        <w:fldChar w:fldCharType="end"/>
      </w:r>
      <w:r w:rsidR="00CA77A3" w:rsidRPr="008A4013">
        <w:t xml:space="preserve">. </w:t>
      </w:r>
      <w:r w:rsidR="00D37E32" w:rsidRPr="008A4013">
        <w:t xml:space="preserve">Straight time, </w:t>
      </w:r>
      <w:proofErr w:type="spellStart"/>
      <w:r w:rsidR="00D37E32" w:rsidRPr="008A4013">
        <w:t>Boellstorff</w:t>
      </w:r>
      <w:proofErr w:type="spellEnd"/>
      <w:r w:rsidR="00D37E32" w:rsidRPr="008A4013">
        <w:t xml:space="preserve"> notes, forms the basis of both Christian conservative and progressive queer temporalities. </w:t>
      </w:r>
      <w:r w:rsidR="00CA77A3" w:rsidRPr="008A4013">
        <w:t xml:space="preserve">In seeking </w:t>
      </w:r>
      <w:r w:rsidR="00E678DC" w:rsidRPr="008A4013">
        <w:t xml:space="preserve">alternative </w:t>
      </w:r>
      <w:r w:rsidR="00CA77A3" w:rsidRPr="008A4013">
        <w:t xml:space="preserve">conceptions of time that </w:t>
      </w:r>
      <w:r w:rsidR="00E678DC" w:rsidRPr="008A4013">
        <w:t>might truly</w:t>
      </w:r>
      <w:r w:rsidR="00CA77A3" w:rsidRPr="008A4013">
        <w:t xml:space="preserve"> </w:t>
      </w:r>
      <w:r w:rsidR="00E678DC" w:rsidRPr="008A4013">
        <w:t>“queer”</w:t>
      </w:r>
      <w:r w:rsidR="00CA77A3" w:rsidRPr="008A4013">
        <w:t xml:space="preserve"> </w:t>
      </w:r>
      <w:r w:rsidR="00D37E32" w:rsidRPr="008A4013">
        <w:t xml:space="preserve">taken for granted </w:t>
      </w:r>
      <w:r w:rsidR="00CA77A3" w:rsidRPr="008A4013">
        <w:t xml:space="preserve">linear, or straight time, </w:t>
      </w:r>
      <w:proofErr w:type="spellStart"/>
      <w:r w:rsidR="00CA77A3" w:rsidRPr="008A4013">
        <w:t>Boellstorff</w:t>
      </w:r>
      <w:proofErr w:type="spellEnd"/>
      <w:r w:rsidR="00CA77A3" w:rsidRPr="008A4013">
        <w:t xml:space="preserve"> offers the</w:t>
      </w:r>
      <w:r w:rsidR="00E54C7E" w:rsidRPr="008A4013">
        <w:t xml:space="preserve"> example of “coincidental time,”</w:t>
      </w:r>
      <w:r w:rsidR="00CA77A3" w:rsidRPr="008A4013">
        <w:t xml:space="preserve"> </w:t>
      </w:r>
      <w:r w:rsidR="00D37E32" w:rsidRPr="008A4013">
        <w:t>which</w:t>
      </w:r>
      <w:r w:rsidR="00E678DC" w:rsidRPr="008A4013">
        <w:t xml:space="preserve"> allows for a</w:t>
      </w:r>
      <w:r w:rsidR="00CA77A3" w:rsidRPr="008A4013">
        <w:t xml:space="preserve"> </w:t>
      </w:r>
      <w:proofErr w:type="spellStart"/>
      <w:r w:rsidR="00CA77A3" w:rsidRPr="008A4013">
        <w:t>coevalness</w:t>
      </w:r>
      <w:proofErr w:type="spellEnd"/>
      <w:r w:rsidR="00CA77A3" w:rsidRPr="008A4013">
        <w:t xml:space="preserve"> of ent</w:t>
      </w:r>
      <w:r w:rsidR="00E678DC" w:rsidRPr="008A4013">
        <w:t xml:space="preserve">ities that straight time, </w:t>
      </w:r>
      <w:r w:rsidR="00CA77A3" w:rsidRPr="008A4013">
        <w:t xml:space="preserve">“unable to conceive of </w:t>
      </w:r>
      <w:proofErr w:type="spellStart"/>
      <w:r w:rsidR="00CA77A3" w:rsidRPr="008A4013">
        <w:t>copresence</w:t>
      </w:r>
      <w:proofErr w:type="spellEnd"/>
      <w:r w:rsidR="00CA77A3" w:rsidRPr="008A4013">
        <w:t xml:space="preserve"> without incorporation</w:t>
      </w:r>
      <w:r w:rsidR="00E678DC" w:rsidRPr="008A4013">
        <w:t>,</w:t>
      </w:r>
      <w:r w:rsidR="00CA77A3" w:rsidRPr="008A4013">
        <w:t>”</w:t>
      </w:r>
      <w:r w:rsidR="00E678DC" w:rsidRPr="008A4013">
        <w:t xml:space="preserve"> denies</w:t>
      </w:r>
      <w:r w:rsidR="00CA77A3" w:rsidRPr="008A4013">
        <w:t xml:space="preserve"> </w:t>
      </w:r>
      <w:r w:rsidR="008248C7" w:rsidRPr="008A4013">
        <w:fldChar w:fldCharType="begin"/>
      </w:r>
      <w:r w:rsidR="00841C69" w:rsidRPr="008A4013">
        <w:instrText xml:space="preserve"> ADDIN EN.CITE &lt;EndNote&gt;&lt;Cite&gt;&lt;Author&gt;Boellstorff&lt;/Author&gt;&lt;Year&gt;2007&lt;/Year&gt;&lt;RecNum&gt;281&lt;/RecNum&gt;&lt;Pages&gt;243&lt;/Pages&gt;&lt;DisplayText&gt;(Boellstorff 2007: 243)&lt;/DisplayText&gt;&lt;record&gt;&lt;rec-number&gt;281&lt;/rec-number&gt;&lt;foreign-keys&gt;&lt;key app="EN" db-id="x0x2x9vw3vz5wretwfnpsavdxe0w5pfpzees"&gt;281&lt;/key&gt;&lt;/foreign-keys&gt;&lt;ref-type name="Journal Article"&gt;17&lt;/ref-type&gt;&lt;contributors&gt;&lt;authors&gt;&lt;author&gt;Boellstorff, Tom&lt;/author&gt;&lt;/authors&gt;&lt;/contributors&gt;&lt;titles&gt;&lt;title&gt;When marriage falls: Queer coincidences in straight time&lt;/title&gt;&lt;secondary-title&gt;Gay and Lesbian Quarterly&lt;/secondary-title&gt;&lt;/titles&gt;&lt;periodical&gt;&lt;full-title&gt;Gay and Lesbian Quarterly&lt;/full-title&gt;&lt;/periodical&gt;&lt;pages&gt;227-248&lt;/pages&gt;&lt;volume&gt;13&lt;/volume&gt;&lt;number&gt;2-3&lt;/number&gt;&lt;dates&gt;&lt;year&gt;2007&lt;/year&gt;&lt;/dates&gt;&lt;urls&gt;&lt;related-urls&gt;&lt;url&gt;http://www.annualreviews.org/doi/abs/10.1146/annurev.anthro.36.081406.094421&lt;/url&gt;&lt;/related-urls&gt;&lt;/urls&gt;&lt;electronic-resource-num&gt;doi:10.1146/annurev.anthro.36.081406.094421&lt;/electronic-resource-num&gt;&lt;/record&gt;&lt;/Cite&gt;&lt;/EndNote&gt;</w:instrText>
      </w:r>
      <w:r w:rsidR="008248C7" w:rsidRPr="008A4013">
        <w:fldChar w:fldCharType="separate"/>
      </w:r>
      <w:r w:rsidR="00D96CA5" w:rsidRPr="008A4013">
        <w:rPr>
          <w:noProof/>
        </w:rPr>
        <w:t>(</w:t>
      </w:r>
      <w:hyperlink w:anchor="_ENREF_4" w:tooltip="Boellstorff, 2007 #281" w:history="1">
        <w:r w:rsidR="00DE221F" w:rsidRPr="008A4013">
          <w:rPr>
            <w:noProof/>
          </w:rPr>
          <w:t>Boellstorff 2007: 243</w:t>
        </w:r>
      </w:hyperlink>
      <w:r w:rsidR="00D96CA5" w:rsidRPr="008A4013">
        <w:rPr>
          <w:noProof/>
        </w:rPr>
        <w:t>)</w:t>
      </w:r>
      <w:r w:rsidR="008248C7" w:rsidRPr="008A4013">
        <w:fldChar w:fldCharType="end"/>
      </w:r>
      <w:r w:rsidR="00CA77A3" w:rsidRPr="008A4013">
        <w:t>.</w:t>
      </w:r>
      <w:r w:rsidR="00E678DC" w:rsidRPr="008A4013">
        <w:t xml:space="preserve"> </w:t>
      </w:r>
    </w:p>
    <w:p w14:paraId="240DB21E" w14:textId="77777777" w:rsidR="00E678DC" w:rsidRPr="008A4013" w:rsidRDefault="00E678DC" w:rsidP="00C137CF">
      <w:pPr>
        <w:tabs>
          <w:tab w:val="left" w:pos="709"/>
        </w:tabs>
        <w:ind w:firstLine="0"/>
        <w:rPr>
          <w:b/>
        </w:rPr>
      </w:pPr>
    </w:p>
    <w:p w14:paraId="3C76F361" w14:textId="77777777" w:rsidR="002805C3" w:rsidRPr="008A4013" w:rsidRDefault="002805C3" w:rsidP="00C137CF">
      <w:pPr>
        <w:tabs>
          <w:tab w:val="left" w:pos="709"/>
        </w:tabs>
        <w:ind w:firstLine="0"/>
        <w:rPr>
          <w:i/>
        </w:rPr>
      </w:pPr>
      <w:r w:rsidRPr="008A4013">
        <w:rPr>
          <w:i/>
        </w:rPr>
        <w:t>Example Five</w:t>
      </w:r>
    </w:p>
    <w:p w14:paraId="3A6398D8" w14:textId="77777777" w:rsidR="00C25CBA" w:rsidRPr="008A4013" w:rsidRDefault="007628E8" w:rsidP="00C137CF">
      <w:pPr>
        <w:pStyle w:val="Quote"/>
        <w:spacing w:after="0"/>
        <w:ind w:left="284" w:right="284"/>
        <w:rPr>
          <w:i/>
        </w:rPr>
      </w:pPr>
      <w:r w:rsidRPr="008A4013">
        <w:tab/>
      </w:r>
      <w:r w:rsidR="00C25CBA" w:rsidRPr="008A4013">
        <w:rPr>
          <w:i/>
        </w:rPr>
        <w:t xml:space="preserve">“God loves you </w:t>
      </w:r>
      <w:r w:rsidR="00C25CBA" w:rsidRPr="008A4013">
        <w:rPr>
          <w:b/>
          <w:i/>
          <w:u w:val="single"/>
        </w:rPr>
        <w:t>and</w:t>
      </w:r>
      <w:r w:rsidR="00C25CBA" w:rsidRPr="008A4013">
        <w:rPr>
          <w:i/>
        </w:rPr>
        <w:t xml:space="preserve"> it gets better”</w:t>
      </w:r>
    </w:p>
    <w:p w14:paraId="19EB70AF" w14:textId="77777777" w:rsidR="00C25CBA" w:rsidRPr="008A4013" w:rsidRDefault="00C25CBA" w:rsidP="00C137CF">
      <w:pPr>
        <w:pStyle w:val="Quote"/>
        <w:numPr>
          <w:ilvl w:val="0"/>
          <w:numId w:val="11"/>
        </w:numPr>
        <w:spacing w:after="0"/>
        <w:ind w:right="284"/>
      </w:pPr>
      <w:r w:rsidRPr="008A4013">
        <w:t>Rachel</w:t>
      </w:r>
    </w:p>
    <w:p w14:paraId="784EB7B9" w14:textId="77777777" w:rsidR="00C25CBA" w:rsidRPr="008A4013" w:rsidRDefault="00C25CBA" w:rsidP="00C137CF">
      <w:pPr>
        <w:tabs>
          <w:tab w:val="left" w:pos="709"/>
        </w:tabs>
        <w:ind w:firstLine="0"/>
      </w:pPr>
    </w:p>
    <w:p w14:paraId="7EEB1F5A" w14:textId="25CC94E2" w:rsidR="005014A6" w:rsidRPr="008A4013" w:rsidRDefault="00E678DC" w:rsidP="00C137CF">
      <w:pPr>
        <w:tabs>
          <w:tab w:val="left" w:pos="709"/>
        </w:tabs>
        <w:ind w:firstLine="0"/>
      </w:pPr>
      <w:r w:rsidRPr="008A4013">
        <w:lastRenderedPageBreak/>
        <w:t xml:space="preserve">While </w:t>
      </w:r>
      <w:proofErr w:type="spellStart"/>
      <w:r w:rsidRPr="008A4013">
        <w:t>Boellstorff</w:t>
      </w:r>
      <w:proofErr w:type="spellEnd"/>
      <w:r w:rsidRPr="008A4013">
        <w:t xml:space="preserve"> links straight time to “a fundamentally Christian metaphysics of time” </w:t>
      </w:r>
      <w:r w:rsidR="00D96CA5" w:rsidRPr="008A4013">
        <w:fldChar w:fldCharType="begin"/>
      </w:r>
      <w:r w:rsidR="00841C69" w:rsidRPr="008A4013">
        <w:instrText xml:space="preserve"> ADDIN EN.CITE &lt;EndNote&gt;&lt;Cite ExcludeAuth="1"&gt;&lt;Author&gt;Boellstorff&lt;/Author&gt;&lt;Year&gt;2007&lt;/Year&gt;&lt;RecNum&gt;281&lt;/RecNum&gt;&lt;Pages&gt;238&lt;/Pages&gt;&lt;DisplayText&gt;(2007: 238)&lt;/DisplayText&gt;&lt;record&gt;&lt;rec-number&gt;281&lt;/rec-number&gt;&lt;foreign-keys&gt;&lt;key app="EN" db-id="x0x2x9vw3vz5wretwfnpsavdxe0w5pfpzees"&gt;281&lt;/key&gt;&lt;/foreign-keys&gt;&lt;ref-type name="Journal Article"&gt;17&lt;/ref-type&gt;&lt;contributors&gt;&lt;authors&gt;&lt;author&gt;Boellstorff, Tom&lt;/author&gt;&lt;/authors&gt;&lt;/contributors&gt;&lt;titles&gt;&lt;title&gt;When marriage falls: Queer coincidences in straight time&lt;/title&gt;&lt;secondary-title&gt;Gay and Lesbian Quarterly&lt;/secondary-title&gt;&lt;/titles&gt;&lt;periodical&gt;&lt;full-title&gt;Gay and Lesbian Quarterly&lt;/full-title&gt;&lt;/periodical&gt;&lt;pages&gt;227-248&lt;/pages&gt;&lt;volume&gt;13&lt;/volume&gt;&lt;number&gt;2-3&lt;/number&gt;&lt;dates&gt;&lt;year&gt;2007&lt;/year&gt;&lt;/dates&gt;&lt;urls&gt;&lt;related-urls&gt;&lt;url&gt;http://www.annualreviews.org/doi/abs/10.1146/annurev.anthro.36.081406.094421&lt;/url&gt;&lt;/related-urls&gt;&lt;/urls&gt;&lt;electronic-resource-num&gt;doi:10.1146/annurev.anthro.36.081406.094421&lt;/electronic-resource-num&gt;&lt;/record&gt;&lt;/Cite&gt;&lt;/EndNote&gt;</w:instrText>
      </w:r>
      <w:r w:rsidR="00D96CA5" w:rsidRPr="008A4013">
        <w:fldChar w:fldCharType="separate"/>
      </w:r>
      <w:r w:rsidR="00D96CA5" w:rsidRPr="008A4013">
        <w:rPr>
          <w:noProof/>
        </w:rPr>
        <w:t>(</w:t>
      </w:r>
      <w:hyperlink w:anchor="_ENREF_4" w:tooltip="Boellstorff, 2007 #281" w:history="1">
        <w:r w:rsidR="00DE221F" w:rsidRPr="008A4013">
          <w:rPr>
            <w:noProof/>
          </w:rPr>
          <w:t>2007: 238</w:t>
        </w:r>
      </w:hyperlink>
      <w:r w:rsidR="00D96CA5" w:rsidRPr="008A4013">
        <w:rPr>
          <w:noProof/>
        </w:rPr>
        <w:t>)</w:t>
      </w:r>
      <w:r w:rsidR="00D96CA5" w:rsidRPr="008A4013">
        <w:fldChar w:fldCharType="end"/>
      </w:r>
      <w:r w:rsidR="00D96CA5" w:rsidRPr="008A4013">
        <w:t xml:space="preserve">, </w:t>
      </w:r>
      <w:r w:rsidRPr="008A4013">
        <w:t xml:space="preserve">the seamless yet paradoxical simultaneity of present and future tenses in the phrase, “God loves you and it gets better” arguably </w:t>
      </w:r>
      <w:r w:rsidR="007305E2" w:rsidRPr="008A4013">
        <w:t>“</w:t>
      </w:r>
      <w:r w:rsidRPr="008A4013">
        <w:t>queers</w:t>
      </w:r>
      <w:r w:rsidR="007305E2" w:rsidRPr="008A4013">
        <w:t>”</w:t>
      </w:r>
      <w:r w:rsidRPr="008A4013">
        <w:t xml:space="preserve"> straight time</w:t>
      </w:r>
      <w:r w:rsidR="007305E2" w:rsidRPr="008A4013">
        <w:t>: Those uttering this phrase understand the spiritual and material realities of the listener to be out of sync; co-incidental.</w:t>
      </w:r>
      <w:r w:rsidRPr="008A4013">
        <w:t xml:space="preserve"> </w:t>
      </w:r>
      <w:r w:rsidR="007305E2" w:rsidRPr="008A4013">
        <w:t>Thus they can present</w:t>
      </w:r>
      <w:r w:rsidRPr="008A4013">
        <w:t xml:space="preserve"> an unwavering constant, the always already true statement that “God loves you</w:t>
      </w:r>
      <w:r w:rsidR="00E54C7E" w:rsidRPr="008A4013">
        <w:t>,”</w:t>
      </w:r>
      <w:r w:rsidRPr="008A4013">
        <w:t xml:space="preserve"> </w:t>
      </w:r>
      <w:r w:rsidR="007305E2" w:rsidRPr="008A4013">
        <w:t>in parallel with</w:t>
      </w:r>
      <w:r w:rsidRPr="008A4013">
        <w:t xml:space="preserve"> </w:t>
      </w:r>
      <w:r w:rsidR="00E54C7E" w:rsidRPr="008A4013">
        <w:t>the</w:t>
      </w:r>
      <w:r w:rsidR="007305E2" w:rsidRPr="008A4013">
        <w:t xml:space="preserve"> future anterior</w:t>
      </w:r>
      <w:r w:rsidR="00832074" w:rsidRPr="008A4013">
        <w:t xml:space="preserve"> promise</w:t>
      </w:r>
      <w:r w:rsidR="00E54C7E" w:rsidRPr="008A4013">
        <w:t>, “it gets better.”</w:t>
      </w:r>
      <w:r w:rsidR="00832074" w:rsidRPr="008A4013">
        <w:t xml:space="preserve"> </w:t>
      </w:r>
    </w:p>
    <w:p w14:paraId="1D1EB64F" w14:textId="14C28267" w:rsidR="005014A6" w:rsidRPr="008A4013" w:rsidRDefault="005014A6" w:rsidP="00C137CF">
      <w:pPr>
        <w:tabs>
          <w:tab w:val="left" w:pos="709"/>
        </w:tabs>
        <w:ind w:firstLine="0"/>
      </w:pPr>
      <w:r w:rsidRPr="008A4013">
        <w:tab/>
      </w:r>
      <w:r w:rsidR="007305E2" w:rsidRPr="008A4013">
        <w:t xml:space="preserve">Notably, </w:t>
      </w:r>
      <w:proofErr w:type="spellStart"/>
      <w:r w:rsidRPr="008A4013">
        <w:t>Boellstorff</w:t>
      </w:r>
      <w:proofErr w:type="spellEnd"/>
      <w:r w:rsidRPr="008A4013">
        <w:t>, in his analysis of the millenarian temporality of straight time, concludes:</w:t>
      </w:r>
    </w:p>
    <w:p w14:paraId="6E0DF453" w14:textId="40AC6B13" w:rsidR="00F25A33" w:rsidRPr="008A4013" w:rsidRDefault="005014A6" w:rsidP="00C137CF">
      <w:pPr>
        <w:pStyle w:val="Quote"/>
        <w:spacing w:after="0"/>
      </w:pPr>
      <w:r w:rsidRPr="008A4013">
        <w:t>Because co-incidence is seemingly impossible on this linear course (not a field or a network, for instance), the presence of the present of straight time—its “here and now”—is depoliticized, not an immediacy. […] Agency must thereby inhere in a cataclysm to come, a moment of “liberation</w:t>
      </w:r>
      <w:r w:rsidR="00E54C7E" w:rsidRPr="008A4013">
        <w:t>.”</w:t>
      </w:r>
      <w:r w:rsidRPr="008A4013">
        <w:t xml:space="preserve"> </w:t>
      </w:r>
      <w:r w:rsidR="008248C7" w:rsidRPr="008A4013">
        <w:fldChar w:fldCharType="begin"/>
      </w:r>
      <w:r w:rsidR="00841C69" w:rsidRPr="008A4013">
        <w:instrText xml:space="preserve"> ADDIN EN.CITE &lt;EndNote&gt;&lt;Cite&gt;&lt;Author&gt;Boellstorff&lt;/Author&gt;&lt;Year&gt;2007&lt;/Year&gt;&lt;RecNum&gt;281&lt;/RecNum&gt;&lt;Pages&gt;232&lt;/Pages&gt;&lt;DisplayText&gt;(Boellstorff 2007: 232)&lt;/DisplayText&gt;&lt;record&gt;&lt;rec-number&gt;281&lt;/rec-number&gt;&lt;foreign-keys&gt;&lt;key app="EN" db-id="x0x2x9vw3vz5wretwfnpsavdxe0w5pfpzees"&gt;281&lt;/key&gt;&lt;/foreign-keys&gt;&lt;ref-type name="Journal Article"&gt;17&lt;/ref-type&gt;&lt;contributors&gt;&lt;authors&gt;&lt;author&gt;Boellstorff, Tom&lt;/author&gt;&lt;/authors&gt;&lt;/contributors&gt;&lt;titles&gt;&lt;title&gt;When marriage falls: Queer coincidences in straight time&lt;/title&gt;&lt;secondary-title&gt;Gay and Lesbian Quarterly&lt;/secondary-title&gt;&lt;/titles&gt;&lt;periodical&gt;&lt;full-title&gt;Gay and Lesbian Quarterly&lt;/full-title&gt;&lt;/periodical&gt;&lt;pages&gt;227-248&lt;/pages&gt;&lt;volume&gt;13&lt;/volume&gt;&lt;number&gt;2-3&lt;/number&gt;&lt;dates&gt;&lt;year&gt;2007&lt;/year&gt;&lt;/dates&gt;&lt;urls&gt;&lt;related-urls&gt;&lt;url&gt;http://www.annualreviews.org/doi/abs/10.1146/annurev.anthro.36.081406.094421&lt;/url&gt;&lt;/related-urls&gt;&lt;/urls&gt;&lt;electronic-resource-num&gt;doi:10.1146/annurev.anthro.36.081406.094421&lt;/electronic-resource-num&gt;&lt;/record&gt;&lt;/Cite&gt;&lt;/EndNote&gt;</w:instrText>
      </w:r>
      <w:r w:rsidR="008248C7" w:rsidRPr="008A4013">
        <w:fldChar w:fldCharType="separate"/>
      </w:r>
      <w:r w:rsidR="00D96CA5" w:rsidRPr="008A4013">
        <w:rPr>
          <w:noProof/>
        </w:rPr>
        <w:t>(</w:t>
      </w:r>
      <w:hyperlink w:anchor="_ENREF_4" w:tooltip="Boellstorff, 2007 #281" w:history="1">
        <w:r w:rsidR="00DE221F" w:rsidRPr="008A4013">
          <w:rPr>
            <w:noProof/>
          </w:rPr>
          <w:t>Boellstorff 2007: 232</w:t>
        </w:r>
      </w:hyperlink>
      <w:r w:rsidR="00D96CA5" w:rsidRPr="008A4013">
        <w:rPr>
          <w:noProof/>
        </w:rPr>
        <w:t>)</w:t>
      </w:r>
      <w:r w:rsidR="008248C7" w:rsidRPr="008A4013">
        <w:fldChar w:fldCharType="end"/>
      </w:r>
    </w:p>
    <w:p w14:paraId="251793F4" w14:textId="77777777" w:rsidR="00A17949" w:rsidRPr="009D4FFF" w:rsidRDefault="00A17949" w:rsidP="009D4FFF">
      <w:pPr>
        <w:rPr>
          <w:sz w:val="22"/>
          <w:lang w:val="en-GB"/>
        </w:rPr>
      </w:pPr>
    </w:p>
    <w:p w14:paraId="2862FB08" w14:textId="758426D1" w:rsidR="00E541BB" w:rsidRPr="008A4013" w:rsidRDefault="00C90213" w:rsidP="00C137CF">
      <w:pPr>
        <w:tabs>
          <w:tab w:val="left" w:pos="709"/>
        </w:tabs>
        <w:ind w:firstLine="0"/>
        <w:rPr>
          <w:b/>
        </w:rPr>
      </w:pPr>
      <w:r w:rsidRPr="008A4013">
        <w:t>In light of this analysis, t</w:t>
      </w:r>
      <w:r w:rsidR="00F25A33" w:rsidRPr="008A4013">
        <w:t xml:space="preserve">hose </w:t>
      </w:r>
      <w:r w:rsidR="007305E2" w:rsidRPr="008A4013">
        <w:t>arguing</w:t>
      </w:r>
      <w:r w:rsidRPr="008A4013">
        <w:t xml:space="preserve"> “it gets better”</w:t>
      </w:r>
      <w:r w:rsidR="00F25A33" w:rsidRPr="008A4013">
        <w:t xml:space="preserve"> is</w:t>
      </w:r>
      <w:r w:rsidR="005014A6" w:rsidRPr="008A4013">
        <w:t xml:space="preserve"> </w:t>
      </w:r>
      <w:r w:rsidR="00832074" w:rsidRPr="008A4013">
        <w:t>a</w:t>
      </w:r>
      <w:r w:rsidR="00F25A33" w:rsidRPr="008A4013">
        <w:t>n</w:t>
      </w:r>
      <w:r w:rsidR="00832074" w:rsidRPr="008A4013">
        <w:t xml:space="preserve"> </w:t>
      </w:r>
      <w:r w:rsidR="005014A6" w:rsidRPr="008A4013">
        <w:t>action-</w:t>
      </w:r>
      <w:r w:rsidR="00832074" w:rsidRPr="008A4013">
        <w:t xml:space="preserve">contingent </w:t>
      </w:r>
      <w:r w:rsidR="005014A6" w:rsidRPr="008A4013">
        <w:t>possibili</w:t>
      </w:r>
      <w:r w:rsidR="00F25A33" w:rsidRPr="008A4013">
        <w:t>ty co-incidental to the guarantee that “God loves you”</w:t>
      </w:r>
      <w:r w:rsidR="005014A6" w:rsidRPr="008A4013">
        <w:t xml:space="preserve"> </w:t>
      </w:r>
      <w:r w:rsidRPr="008A4013">
        <w:t>appear to be presenting a</w:t>
      </w:r>
      <w:r w:rsidR="00EF3B8A" w:rsidRPr="008A4013">
        <w:t xml:space="preserve"> somewhat</w:t>
      </w:r>
      <w:r w:rsidRPr="008A4013">
        <w:t xml:space="preserve"> queer conception of time. Yet w</w:t>
      </w:r>
      <w:r w:rsidR="00E541BB" w:rsidRPr="008A4013">
        <w:t xml:space="preserve">hile spokespeople </w:t>
      </w:r>
      <w:r w:rsidR="004F4390" w:rsidRPr="008A4013">
        <w:t>more frequently state</w:t>
      </w:r>
      <w:r w:rsidR="00832074" w:rsidRPr="008A4013">
        <w:t>:</w:t>
      </w:r>
      <w:r w:rsidR="00E541BB" w:rsidRPr="008A4013">
        <w:t xml:space="preserve"> </w:t>
      </w:r>
      <w:r w:rsidR="007628E8" w:rsidRPr="008A4013">
        <w:t>“God loves you</w:t>
      </w:r>
      <w:r w:rsidR="00832074" w:rsidRPr="008A4013">
        <w:t xml:space="preserve"> and it gets better</w:t>
      </w:r>
      <w:r w:rsidR="00E54C7E" w:rsidRPr="008A4013">
        <w:t>,</w:t>
      </w:r>
      <w:r w:rsidR="007628E8" w:rsidRPr="008A4013">
        <w:t>”</w:t>
      </w:r>
      <w:r w:rsidR="004F4390" w:rsidRPr="008A4013">
        <w:t xml:space="preserve"> the same</w:t>
      </w:r>
      <w:r w:rsidR="007628E8" w:rsidRPr="008A4013">
        <w:t xml:space="preserve"> </w:t>
      </w:r>
      <w:r w:rsidR="004F4390" w:rsidRPr="008A4013">
        <w:t>refrain is also</w:t>
      </w:r>
      <w:r w:rsidR="007628E8" w:rsidRPr="008A4013">
        <w:t xml:space="preserve"> </w:t>
      </w:r>
      <w:r w:rsidR="004F4390" w:rsidRPr="008A4013">
        <w:t xml:space="preserve">used </w:t>
      </w:r>
      <w:r w:rsidR="007628E8" w:rsidRPr="008A4013">
        <w:t xml:space="preserve">by </w:t>
      </w:r>
      <w:r w:rsidR="004F4390" w:rsidRPr="008A4013">
        <w:t xml:space="preserve">a number of </w:t>
      </w:r>
      <w:r w:rsidR="007628E8" w:rsidRPr="008A4013">
        <w:t>laypeop</w:t>
      </w:r>
      <w:r w:rsidR="00832074" w:rsidRPr="008A4013">
        <w:t>le in Faith IGBP videos.</w:t>
      </w:r>
      <w:r w:rsidR="00E541BB" w:rsidRPr="008A4013">
        <w:t xml:space="preserve"> Rachel</w:t>
      </w:r>
      <w:r w:rsidR="007628E8" w:rsidRPr="008A4013">
        <w:t xml:space="preserve"> (</w:t>
      </w:r>
      <w:r w:rsidR="007628E8" w:rsidRPr="008A4013">
        <w:rPr>
          <w:i/>
        </w:rPr>
        <w:t xml:space="preserve">Example </w:t>
      </w:r>
      <w:r w:rsidR="002805C3" w:rsidRPr="008A4013">
        <w:rPr>
          <w:i/>
        </w:rPr>
        <w:t>Five</w:t>
      </w:r>
      <w:r w:rsidR="007628E8" w:rsidRPr="008A4013">
        <w:t>)</w:t>
      </w:r>
      <w:r w:rsidR="00832074" w:rsidRPr="008A4013">
        <w:t xml:space="preserve">, a layperson, </w:t>
      </w:r>
      <w:r w:rsidR="00E541BB" w:rsidRPr="008A4013">
        <w:t xml:space="preserve">also states that: “before it </w:t>
      </w:r>
      <w:r w:rsidR="00E54C7E" w:rsidRPr="008A4013">
        <w:t>gets better, it will get worse,”</w:t>
      </w:r>
      <w:r w:rsidR="00E541BB" w:rsidRPr="008A4013">
        <w:t xml:space="preserve"> refuting the notion that improvement of life circumstances is an inevitable by-product of maturation. Rachel, in leaning away from certainty</w:t>
      </w:r>
      <w:r w:rsidR="007628E8" w:rsidRPr="008A4013">
        <w:t>,</w:t>
      </w:r>
      <w:r w:rsidR="00E541BB" w:rsidRPr="008A4013">
        <w:t xml:space="preserve"> </w:t>
      </w:r>
      <w:r w:rsidR="004F4390" w:rsidRPr="008A4013">
        <w:t xml:space="preserve">offers a reminder </w:t>
      </w:r>
      <w:r w:rsidR="00E541BB" w:rsidRPr="008A4013">
        <w:t>that the categories of ‘laypeople’ and ‘spokespeople’, while here serving an analytical purpose, are neither rigid nor discreet.</w:t>
      </w:r>
      <w:r w:rsidR="004F4390" w:rsidRPr="008A4013">
        <w:t xml:space="preserve"> </w:t>
      </w:r>
    </w:p>
    <w:p w14:paraId="78452484" w14:textId="5BF1563D" w:rsidR="00A50192" w:rsidRPr="008A4013" w:rsidRDefault="00572911" w:rsidP="00C137CF">
      <w:pPr>
        <w:tabs>
          <w:tab w:val="left" w:pos="709"/>
        </w:tabs>
        <w:ind w:firstLine="0"/>
      </w:pPr>
      <w:r w:rsidRPr="008A4013">
        <w:tab/>
      </w:r>
      <w:r w:rsidR="007305E2" w:rsidRPr="008A4013">
        <w:t>In fact</w:t>
      </w:r>
      <w:r w:rsidR="004F4390" w:rsidRPr="008A4013">
        <w:t xml:space="preserve">, </w:t>
      </w:r>
      <w:r w:rsidR="007305E2" w:rsidRPr="008A4013">
        <w:t>there are multiple</w:t>
      </w:r>
      <w:r w:rsidR="00A50192" w:rsidRPr="008A4013">
        <w:t xml:space="preserve"> themes </w:t>
      </w:r>
      <w:r w:rsidR="00EF3B8A" w:rsidRPr="008A4013">
        <w:t>in common between</w:t>
      </w:r>
      <w:r w:rsidR="00A50192" w:rsidRPr="008A4013">
        <w:t xml:space="preserve"> laypeople’s and spokespeople’s films. Most evident, and perhaps</w:t>
      </w:r>
      <w:r w:rsidR="002805C3" w:rsidRPr="008A4013">
        <w:t xml:space="preserve"> </w:t>
      </w:r>
      <w:r w:rsidRPr="008A4013">
        <w:t xml:space="preserve">the ultimate </w:t>
      </w:r>
      <w:r w:rsidR="002A44DA" w:rsidRPr="008A4013">
        <w:t>aim</w:t>
      </w:r>
      <w:r w:rsidRPr="008A4013">
        <w:t xml:space="preserve"> of </w:t>
      </w:r>
      <w:r w:rsidR="002805C3" w:rsidRPr="008A4013">
        <w:t>all IGBP video makers</w:t>
      </w:r>
      <w:r w:rsidR="00A50192" w:rsidRPr="008A4013">
        <w:t>, is the</w:t>
      </w:r>
      <w:r w:rsidRPr="008A4013">
        <w:t xml:space="preserve"> </w:t>
      </w:r>
      <w:r w:rsidR="00A50192" w:rsidRPr="008A4013">
        <w:t xml:space="preserve">desire </w:t>
      </w:r>
      <w:r w:rsidR="002A44DA" w:rsidRPr="008A4013">
        <w:t>to</w:t>
      </w:r>
      <w:r w:rsidRPr="008A4013">
        <w:t xml:space="preserve"> </w:t>
      </w:r>
      <w:r w:rsidR="002A44DA" w:rsidRPr="008A4013">
        <w:t>convince potential viewers</w:t>
      </w:r>
      <w:r w:rsidR="004C276E" w:rsidRPr="008A4013">
        <w:t xml:space="preserve"> tha</w:t>
      </w:r>
      <w:r w:rsidR="00A50192" w:rsidRPr="008A4013">
        <w:t xml:space="preserve">t “you have to live your life so that you are around for it to get amazing” </w:t>
      </w:r>
      <w:r w:rsidR="008248C7" w:rsidRPr="008A4013">
        <w:fldChar w:fldCharType="begin"/>
      </w:r>
      <w:r w:rsidR="00DE221F">
        <w:instrText xml:space="preserve"> ADDIN EN.CITE &lt;EndNote&gt;&lt;Cite&gt;&lt;Author&gt;Savage&lt;/Author&gt;&lt;Year&gt;2010&lt;/Year&gt;&lt;RecNum&gt;135&lt;/RecNum&gt;&lt;DisplayText&gt;(Savage &amp;amp; Miller 2010)&lt;/DisplayText&gt;&lt;record&gt;&lt;rec-number&gt;135&lt;/rec-number&gt;&lt;foreign-keys&gt;&lt;key app="EN" db-id="x0x2x9vw3vz5wretwfnpsavdxe0w5pfpzees"&gt;135&lt;/key&gt;&lt;/foreign-keys&gt;&lt;ref-type name="Online Multimedia"&gt;48&lt;/ref-type&gt;&lt;contributors&gt;&lt;authors&gt;&lt;author&gt;Savage, Dan&lt;/author&gt;&lt;author&gt;Miller, Terry&lt;/author&gt;&lt;/authors&gt;&lt;/contributors&gt;&lt;titles&gt;&lt;title&gt;It Gets Better: Dan and Terry&lt;/title&gt;&lt;/titles&gt;&lt;dates&gt;&lt;year&gt;2010&lt;/year&gt;&lt;pub-dates&gt;&lt;date&gt;February 12, 2012&lt;/date&gt;&lt;/pub-dates&gt;&lt;/dates&gt;&lt;work-type&gt;Video&lt;/work-type&gt;&lt;urls&gt;&lt;related-urls&gt;&lt;url&gt;&lt;style face="normal" font="Times" size="100%"&gt;www.youtube.com/watch?v=7IcVyvg2Qlo&lt;/style&gt;&lt;/url&gt;&lt;/related-urls&gt;&lt;/urls&gt;&lt;access-date&gt;February 12, 2012&lt;/access-date&gt;&lt;/record&gt;&lt;/Cite&gt;&lt;/EndNote&gt;</w:instrText>
      </w:r>
      <w:r w:rsidR="008248C7" w:rsidRPr="008A4013">
        <w:fldChar w:fldCharType="separate"/>
      </w:r>
      <w:r w:rsidR="0095658A" w:rsidRPr="008A4013">
        <w:rPr>
          <w:noProof/>
        </w:rPr>
        <w:t>(</w:t>
      </w:r>
      <w:hyperlink w:anchor="_ENREF_37" w:tooltip="Savage, 2010 #135" w:history="1">
        <w:r w:rsidR="00DE221F" w:rsidRPr="008A4013">
          <w:rPr>
            <w:noProof/>
          </w:rPr>
          <w:t>Savage &amp; Miller 2010</w:t>
        </w:r>
      </w:hyperlink>
      <w:r w:rsidR="0095658A" w:rsidRPr="008A4013">
        <w:rPr>
          <w:noProof/>
        </w:rPr>
        <w:t>)</w:t>
      </w:r>
      <w:r w:rsidR="008248C7" w:rsidRPr="008A4013">
        <w:fldChar w:fldCharType="end"/>
      </w:r>
      <w:r w:rsidR="00A50192" w:rsidRPr="008A4013">
        <w:t xml:space="preserve"> or, as Rev</w:t>
      </w:r>
      <w:r w:rsidR="00F01AAC" w:rsidRPr="008A4013">
        <w:t>erend</w:t>
      </w:r>
      <w:r w:rsidR="002805C3" w:rsidRPr="008A4013">
        <w:t xml:space="preserve"> Debra Haffner states</w:t>
      </w:r>
      <w:r w:rsidR="00A50192" w:rsidRPr="008A4013">
        <w:t xml:space="preserve"> more explicitly</w:t>
      </w:r>
      <w:r w:rsidR="00201E0B" w:rsidRPr="008A4013">
        <w:t xml:space="preserve"> in her message</w:t>
      </w:r>
      <w:r w:rsidR="004C276E" w:rsidRPr="008A4013">
        <w:t xml:space="preserve">: “suicide is never </w:t>
      </w:r>
      <w:r w:rsidR="003D6F7E" w:rsidRPr="008A4013">
        <w:t>an option</w:t>
      </w:r>
      <w:r w:rsidR="00E54C7E" w:rsidRPr="008A4013">
        <w:t>.”</w:t>
      </w:r>
      <w:r w:rsidR="00A50192" w:rsidRPr="008A4013">
        <w:t xml:space="preserve"> For Puar, </w:t>
      </w:r>
      <w:r w:rsidR="003D6F7E" w:rsidRPr="008A4013">
        <w:t>this position</w:t>
      </w:r>
      <w:r w:rsidR="00B50BB7" w:rsidRPr="008A4013">
        <w:t>, which underlies the IGBP as a whole,</w:t>
      </w:r>
      <w:r w:rsidR="003D6F7E" w:rsidRPr="008A4013">
        <w:t xml:space="preserve"> reifies </w:t>
      </w:r>
      <w:r w:rsidR="00B50BB7" w:rsidRPr="008A4013">
        <w:t>normative temporal understanding</w:t>
      </w:r>
      <w:r w:rsidR="002A2654" w:rsidRPr="008A4013">
        <w:t>s of life and death</w:t>
      </w:r>
      <w:r w:rsidR="00B50BB7" w:rsidRPr="008A4013">
        <w:t xml:space="preserve"> by positioning </w:t>
      </w:r>
      <w:r w:rsidR="003D6F7E" w:rsidRPr="008A4013">
        <w:t xml:space="preserve">suicide as </w:t>
      </w:r>
      <w:r w:rsidR="00B50BB7" w:rsidRPr="008A4013">
        <w:lastRenderedPageBreak/>
        <w:t xml:space="preserve">“the ultimate loss of life” </w:t>
      </w:r>
      <w:r w:rsidR="008248C7" w:rsidRPr="008A4013">
        <w:fldChar w:fldCharType="begin"/>
      </w:r>
      <w:r w:rsidR="00841C69" w:rsidRPr="008A4013">
        <w:instrText xml:space="preserve"> ADDIN EN.CITE &lt;EndNote&gt;&lt;Cite&gt;&lt;Author&gt;Puar&lt;/Author&gt;&lt;Year&gt;2011&lt;/Year&gt;&lt;RecNum&gt;202&lt;/RecNum&gt;&lt;Pages&gt;152&lt;/Pages&gt;&lt;DisplayText&gt;(Puar 2011: 152)&lt;/DisplayText&gt;&lt;record&gt;&lt;rec-number&gt;202&lt;/rec-number&gt;&lt;foreign-keys&gt;&lt;key app="EN" db-id="x0x2x9vw3vz5wretwfnpsavdxe0w5pfpzees"&gt;202&lt;/key&gt;&lt;/foreign-keys&gt;&lt;ref-type name="Journal Article"&gt;17&lt;/ref-type&gt;&lt;contributors&gt;&lt;authors&gt;&lt;author&gt;Puar, Jasbir K.&lt;/author&gt;&lt;/authors&gt;&lt;/contributors&gt;&lt;titles&gt;&lt;title&gt;Coda: The cost of getting better&lt;/title&gt;&lt;secondary-title&gt;Gay and Lesbian Quarterly&lt;/secondary-title&gt;&lt;/titles&gt;&lt;periodical&gt;&lt;full-title&gt;Gay and Lesbian Quarterly&lt;/full-title&gt;&lt;/periodical&gt;&lt;pages&gt;149-158&lt;/pages&gt;&lt;volume&gt;18&lt;/volume&gt;&lt;number&gt;1&lt;/number&gt;&lt;section&gt;149&lt;/section&gt;&lt;dates&gt;&lt;year&gt;2011&lt;/year&gt;&lt;/dates&gt;&lt;urls&gt;&lt;/urls&gt;&lt;/record&gt;&lt;/Cite&gt;&lt;/EndNote&gt;</w:instrText>
      </w:r>
      <w:r w:rsidR="008248C7" w:rsidRPr="008A4013">
        <w:fldChar w:fldCharType="separate"/>
      </w:r>
      <w:r w:rsidR="00A52215" w:rsidRPr="008A4013">
        <w:rPr>
          <w:noProof/>
        </w:rPr>
        <w:t>(</w:t>
      </w:r>
      <w:hyperlink w:anchor="_ENREF_33" w:tooltip="Puar, 2011 #202" w:history="1">
        <w:r w:rsidR="00DE221F" w:rsidRPr="008A4013">
          <w:rPr>
            <w:noProof/>
          </w:rPr>
          <w:t>Puar 2011: 152</w:t>
        </w:r>
      </w:hyperlink>
      <w:r w:rsidR="00A52215" w:rsidRPr="008A4013">
        <w:rPr>
          <w:noProof/>
        </w:rPr>
        <w:t>)</w:t>
      </w:r>
      <w:r w:rsidR="008248C7" w:rsidRPr="008A4013">
        <w:fldChar w:fldCharType="end"/>
      </w:r>
      <w:r w:rsidR="00B50BB7" w:rsidRPr="008A4013">
        <w:t xml:space="preserve">. </w:t>
      </w:r>
      <w:r w:rsidR="00EF3B8A" w:rsidRPr="008A4013">
        <w:t xml:space="preserve">In this light, “God loves you and it gets better” is only a partial queering of time. </w:t>
      </w:r>
    </w:p>
    <w:p w14:paraId="0F96C827" w14:textId="021349DC" w:rsidR="002A44DA" w:rsidRPr="008A4013" w:rsidRDefault="00A50192" w:rsidP="00C137CF">
      <w:pPr>
        <w:tabs>
          <w:tab w:val="left" w:pos="709"/>
        </w:tabs>
        <w:ind w:firstLine="0"/>
      </w:pPr>
      <w:r w:rsidRPr="008A4013">
        <w:tab/>
      </w:r>
      <w:r w:rsidR="00B50BB7" w:rsidRPr="008A4013">
        <w:t xml:space="preserve">Puar argues, </w:t>
      </w:r>
      <w:r w:rsidR="001F18CC" w:rsidRPr="008A4013">
        <w:t xml:space="preserve">drawing on Lauren </w:t>
      </w:r>
      <w:proofErr w:type="spellStart"/>
      <w:r w:rsidR="001F18CC" w:rsidRPr="008A4013">
        <w:t>Be</w:t>
      </w:r>
      <w:r w:rsidR="00E54C7E" w:rsidRPr="008A4013">
        <w:t>rlant’s</w:t>
      </w:r>
      <w:proofErr w:type="spellEnd"/>
      <w:r w:rsidR="00E54C7E" w:rsidRPr="008A4013">
        <w:t xml:space="preserve"> concept of “slow death,”</w:t>
      </w:r>
      <w:r w:rsidR="001F18CC" w:rsidRPr="008A4013">
        <w:t xml:space="preserve"> </w:t>
      </w:r>
      <w:r w:rsidR="002A2654" w:rsidRPr="008A4013">
        <w:t xml:space="preserve">that </w:t>
      </w:r>
      <w:r w:rsidR="001F18CC" w:rsidRPr="008A4013">
        <w:t>understanding suicide as both exceptional and objectionable</w:t>
      </w:r>
      <w:r w:rsidR="00B50BB7" w:rsidRPr="008A4013">
        <w:t xml:space="preserve"> obscures the profitable</w:t>
      </w:r>
      <w:r w:rsidR="001F18CC" w:rsidRPr="008A4013">
        <w:t>,</w:t>
      </w:r>
      <w:r w:rsidR="00B50BB7" w:rsidRPr="008A4013">
        <w:t xml:space="preserve"> “slow</w:t>
      </w:r>
      <w:r w:rsidR="001F18CC" w:rsidRPr="008A4013">
        <w:t xml:space="preserve"> death” that</w:t>
      </w:r>
      <w:r w:rsidR="00B50BB7" w:rsidRPr="008A4013">
        <w:t xml:space="preserve"> </w:t>
      </w:r>
      <w:r w:rsidR="001F18CC" w:rsidRPr="008A4013">
        <w:t>befalls populations under</w:t>
      </w:r>
      <w:r w:rsidR="00B50BB7" w:rsidRPr="008A4013">
        <w:t xml:space="preserve"> neoliberalism, </w:t>
      </w:r>
      <w:r w:rsidR="001F18CC" w:rsidRPr="008A4013">
        <w:t xml:space="preserve">where </w:t>
      </w:r>
      <w:r w:rsidR="00B50BB7" w:rsidRPr="008A4013">
        <w:t xml:space="preserve">bodily capacity is demanded of subjects simultaneously exposed to “the debilitating </w:t>
      </w:r>
      <w:proofErr w:type="spellStart"/>
      <w:r w:rsidR="00B50BB7" w:rsidRPr="008A4013">
        <w:t>ongoingness</w:t>
      </w:r>
      <w:proofErr w:type="spellEnd"/>
      <w:r w:rsidR="00B50BB7" w:rsidRPr="008A4013">
        <w:t xml:space="preserve"> of structural inequality and suffering”</w:t>
      </w:r>
      <w:r w:rsidR="001F18CC" w:rsidRPr="008A4013">
        <w:t xml:space="preserve"> and</w:t>
      </w:r>
      <w:r w:rsidR="00B50BB7" w:rsidRPr="008A4013">
        <w:t xml:space="preserve"> </w:t>
      </w:r>
      <w:r w:rsidR="001F18CC" w:rsidRPr="008A4013">
        <w:t xml:space="preserve">the medical industrial complex is wedded to finance capitalism </w:t>
      </w:r>
      <w:r w:rsidR="00D96CA5" w:rsidRPr="008A4013">
        <w:fldChar w:fldCharType="begin"/>
      </w:r>
      <w:r w:rsidR="00841C69" w:rsidRPr="008A4013">
        <w:instrText xml:space="preserve"> ADDIN EN.CITE &lt;EndNote&gt;&lt;Cite&gt;&lt;Author&gt;Puar&lt;/Author&gt;&lt;Year&gt;2011&lt;/Year&gt;&lt;RecNum&gt;202&lt;/RecNum&gt;&lt;Pages&gt;149&lt;/Pages&gt;&lt;DisplayText&gt;(Puar 2011: 149)&lt;/DisplayText&gt;&lt;record&gt;&lt;rec-number&gt;202&lt;/rec-number&gt;&lt;foreign-keys&gt;&lt;key app="EN" db-id="x0x2x9vw3vz5wretwfnpsavdxe0w5pfpzees"&gt;202&lt;/key&gt;&lt;/foreign-keys&gt;&lt;ref-type name="Journal Article"&gt;17&lt;/ref-type&gt;&lt;contributors&gt;&lt;authors&gt;&lt;author&gt;Puar, Jasbir K.&lt;/author&gt;&lt;/authors&gt;&lt;/contributors&gt;&lt;titles&gt;&lt;title&gt;Coda: The cost of getting better&lt;/title&gt;&lt;secondary-title&gt;Gay and Lesbian Quarterly&lt;/secondary-title&gt;&lt;/titles&gt;&lt;periodical&gt;&lt;full-title&gt;Gay and Lesbian Quarterly&lt;/full-title&gt;&lt;/periodical&gt;&lt;pages&gt;149-158&lt;/pages&gt;&lt;volume&gt;18&lt;/volume&gt;&lt;number&gt;1&lt;/number&gt;&lt;section&gt;149&lt;/section&gt;&lt;dates&gt;&lt;year&gt;2011&lt;/year&gt;&lt;/dates&gt;&lt;urls&gt;&lt;/urls&gt;&lt;/record&gt;&lt;/Cite&gt;&lt;/EndNote&gt;</w:instrText>
      </w:r>
      <w:r w:rsidR="00D96CA5" w:rsidRPr="008A4013">
        <w:fldChar w:fldCharType="separate"/>
      </w:r>
      <w:r w:rsidR="00D96CA5" w:rsidRPr="008A4013">
        <w:rPr>
          <w:noProof/>
        </w:rPr>
        <w:t>(</w:t>
      </w:r>
      <w:hyperlink w:anchor="_ENREF_33" w:tooltip="Puar, 2011 #202" w:history="1">
        <w:r w:rsidR="00DE221F" w:rsidRPr="008A4013">
          <w:rPr>
            <w:noProof/>
          </w:rPr>
          <w:t>Puar 2011: 149</w:t>
        </w:r>
      </w:hyperlink>
      <w:r w:rsidR="00D96CA5" w:rsidRPr="008A4013">
        <w:rPr>
          <w:noProof/>
        </w:rPr>
        <w:t>)</w:t>
      </w:r>
      <w:r w:rsidR="00D96CA5" w:rsidRPr="008A4013">
        <w:fldChar w:fldCharType="end"/>
      </w:r>
      <w:r w:rsidR="001F18CC" w:rsidRPr="008A4013">
        <w:t xml:space="preserve">. It is beyond the scope of this article to grapple with the </w:t>
      </w:r>
      <w:r w:rsidR="002A2654" w:rsidRPr="008A4013">
        <w:t>powerful and challenging question Puar raises</w:t>
      </w:r>
      <w:r w:rsidR="001F18CC" w:rsidRPr="008A4013">
        <w:t xml:space="preserve">, but her analysis presents a stark reminder </w:t>
      </w:r>
      <w:r w:rsidR="00201E0B" w:rsidRPr="008A4013">
        <w:t>of how</w:t>
      </w:r>
      <w:r w:rsidRPr="008A4013">
        <w:t xml:space="preserve"> normative, and thus increasingly neoliberal</w:t>
      </w:r>
      <w:r w:rsidR="002A2654" w:rsidRPr="008A4013">
        <w:t xml:space="preserve"> </w:t>
      </w:r>
      <w:r w:rsidRPr="008A4013">
        <w:t xml:space="preserve">values </w:t>
      </w:r>
      <w:r w:rsidR="002A2654" w:rsidRPr="008A4013">
        <w:t xml:space="preserve">may be </w:t>
      </w:r>
      <w:r w:rsidR="001F18CC" w:rsidRPr="008A4013">
        <w:t xml:space="preserve">suffused, in subtle forms and different manners, </w:t>
      </w:r>
      <w:r w:rsidR="002A2654" w:rsidRPr="008A4013">
        <w:t xml:space="preserve">within </w:t>
      </w:r>
      <w:r w:rsidR="001F18CC" w:rsidRPr="008A4013">
        <w:t>the ideological propositions of laypeople and spokespeople alike.</w:t>
      </w:r>
    </w:p>
    <w:p w14:paraId="26893EBC" w14:textId="77777777" w:rsidR="002A2654" w:rsidRPr="008A4013" w:rsidRDefault="002A2654" w:rsidP="00C137CF">
      <w:pPr>
        <w:tabs>
          <w:tab w:val="left" w:pos="709"/>
        </w:tabs>
        <w:spacing w:line="240" w:lineRule="auto"/>
        <w:ind w:firstLine="0"/>
        <w:rPr>
          <w:b/>
        </w:rPr>
      </w:pPr>
    </w:p>
    <w:p w14:paraId="7A387F78" w14:textId="77777777" w:rsidR="002A2654" w:rsidRPr="008A4013" w:rsidRDefault="002A2654" w:rsidP="00C137CF">
      <w:pPr>
        <w:tabs>
          <w:tab w:val="left" w:pos="709"/>
        </w:tabs>
        <w:spacing w:line="240" w:lineRule="auto"/>
        <w:ind w:firstLine="0"/>
      </w:pPr>
    </w:p>
    <w:p w14:paraId="647F223E" w14:textId="77777777" w:rsidR="001E2721" w:rsidRPr="008A4013" w:rsidRDefault="001E2721" w:rsidP="00C137CF">
      <w:pPr>
        <w:pStyle w:val="ListParagraph"/>
        <w:tabs>
          <w:tab w:val="left" w:pos="709"/>
        </w:tabs>
        <w:spacing w:line="240" w:lineRule="auto"/>
        <w:ind w:firstLine="0"/>
        <w:rPr>
          <w:b/>
        </w:rPr>
      </w:pPr>
    </w:p>
    <w:p w14:paraId="7C5183E7" w14:textId="77777777" w:rsidR="001E2721" w:rsidRPr="008A4013" w:rsidRDefault="001E2721" w:rsidP="00C137CF">
      <w:pPr>
        <w:tabs>
          <w:tab w:val="left" w:pos="709"/>
        </w:tabs>
        <w:spacing w:line="240" w:lineRule="auto"/>
        <w:ind w:firstLine="0"/>
        <w:rPr>
          <w:b/>
        </w:rPr>
      </w:pPr>
      <w:r w:rsidRPr="008A4013">
        <w:rPr>
          <w:b/>
        </w:rPr>
        <w:t xml:space="preserve">5. Conclusions </w:t>
      </w:r>
    </w:p>
    <w:p w14:paraId="5E3E3DE3" w14:textId="77777777" w:rsidR="00856AA0" w:rsidRPr="008A4013" w:rsidRDefault="00856AA0" w:rsidP="00C137CF">
      <w:pPr>
        <w:tabs>
          <w:tab w:val="left" w:pos="709"/>
        </w:tabs>
        <w:spacing w:line="240" w:lineRule="auto"/>
        <w:ind w:firstLine="0"/>
        <w:rPr>
          <w:b/>
        </w:rPr>
      </w:pPr>
    </w:p>
    <w:p w14:paraId="14D908CE" w14:textId="19027000" w:rsidR="00E93941" w:rsidRPr="008A4013" w:rsidRDefault="00574467" w:rsidP="00C137CF">
      <w:pPr>
        <w:tabs>
          <w:tab w:val="left" w:pos="709"/>
        </w:tabs>
        <w:ind w:firstLine="0"/>
      </w:pPr>
      <w:r w:rsidRPr="008A4013">
        <w:rPr>
          <w:rFonts w:eastAsia="Times New Roman"/>
        </w:rPr>
        <w:t>Writing for</w:t>
      </w:r>
      <w:r w:rsidR="00B73449" w:rsidRPr="008A4013">
        <w:rPr>
          <w:rFonts w:eastAsia="Times New Roman"/>
        </w:rPr>
        <w:t xml:space="preserve"> </w:t>
      </w:r>
      <w:r w:rsidRPr="008A4013">
        <w:rPr>
          <w:rFonts w:eastAsia="Times New Roman"/>
        </w:rPr>
        <w:t xml:space="preserve">British newspaper </w:t>
      </w:r>
      <w:r w:rsidR="00B73449" w:rsidRPr="008A4013">
        <w:rPr>
          <w:rFonts w:eastAsia="Times New Roman"/>
          <w:i/>
        </w:rPr>
        <w:t>The Guardian</w:t>
      </w:r>
      <w:r w:rsidRPr="008A4013">
        <w:rPr>
          <w:rFonts w:eastAsia="Times New Roman"/>
        </w:rPr>
        <w:t xml:space="preserve"> on IGBP and broader media attention prompted by gay teen suicide, </w:t>
      </w:r>
      <w:r w:rsidR="00B73449" w:rsidRPr="008A4013">
        <w:rPr>
          <w:rFonts w:eastAsia="Times New Roman"/>
        </w:rPr>
        <w:t xml:space="preserve">Puar </w:t>
      </w:r>
      <w:r w:rsidR="001F18CC" w:rsidRPr="008A4013">
        <w:rPr>
          <w:rFonts w:eastAsia="Times New Roman"/>
        </w:rPr>
        <w:t xml:space="preserve">presents a more easily </w:t>
      </w:r>
      <w:r w:rsidR="00201E0B" w:rsidRPr="008A4013">
        <w:rPr>
          <w:rFonts w:eastAsia="Times New Roman"/>
        </w:rPr>
        <w:t>accessible</w:t>
      </w:r>
      <w:r w:rsidR="001F18CC" w:rsidRPr="008A4013">
        <w:rPr>
          <w:rFonts w:eastAsia="Times New Roman"/>
        </w:rPr>
        <w:t xml:space="preserve"> </w:t>
      </w:r>
      <w:r w:rsidR="001F18CC" w:rsidRPr="008A4013">
        <w:t>critique</w:t>
      </w:r>
      <w:r w:rsidRPr="008A4013">
        <w:t xml:space="preserve"> </w:t>
      </w:r>
      <w:r w:rsidR="001F18CC" w:rsidRPr="008A4013">
        <w:t xml:space="preserve">of </w:t>
      </w:r>
      <w:r w:rsidRPr="008A4013">
        <w:t>IGBP as “</w:t>
      </w:r>
      <w:proofErr w:type="spellStart"/>
      <w:r w:rsidRPr="008A4013">
        <w:t>promot</w:t>
      </w:r>
      <w:proofErr w:type="spellEnd"/>
      <w:r w:rsidRPr="008A4013">
        <w:t>[</w:t>
      </w:r>
      <w:proofErr w:type="spellStart"/>
      <w:r w:rsidRPr="008A4013">
        <w:t>ing</w:t>
      </w:r>
      <w:proofErr w:type="spellEnd"/>
      <w:r w:rsidRPr="008A4013">
        <w:t xml:space="preserve">] a narrow version of gay identity that risks further </w:t>
      </w:r>
      <w:r w:rsidR="008F1A59" w:rsidRPr="008A4013">
        <w:t>marginalization</w:t>
      </w:r>
      <w:r w:rsidRPr="008A4013">
        <w:t xml:space="preserve">” </w:t>
      </w:r>
      <w:r w:rsidR="00D96CA5" w:rsidRPr="008A4013">
        <w:fldChar w:fldCharType="begin"/>
      </w:r>
      <w:r w:rsidR="001F21F3" w:rsidRPr="008A4013">
        <w:instrText xml:space="preserve"> ADDIN EN.CITE &lt;EndNote&gt;&lt;Cite ExcludeAuth="1"&gt;&lt;Author&gt;Puar&lt;/Author&gt;&lt;Year&gt;2010&lt;/Year&gt;&lt;RecNum&gt;201&lt;/RecNum&gt;&lt;DisplayText&gt;(2010)&lt;/DisplayText&gt;&lt;record&gt;&lt;rec-number&gt;201&lt;/rec-number&gt;&lt;foreign-keys&gt;&lt;key app="EN" db-id="x0x2x9vw3vz5wretwfnpsavdxe0w5pfpzees"&gt;201&lt;/key&gt;&lt;/foreign-keys&gt;&lt;ref-type name="Newspaper Article"&gt;23&lt;/ref-type&gt;&lt;contributors&gt;&lt;authors&gt;&lt;author&gt;Puar, Jasbir K.&lt;/author&gt;&lt;/authors&gt;&lt;/contributors&gt;&lt;titles&gt;&lt;title&gt;In the wake of it gets better&lt;/title&gt;&lt;secondary-title&gt;The Guardian&lt;/secondary-title&gt;&lt;/titles&gt;&lt;section&gt;Comment is Free&lt;/section&gt;&lt;dates&gt;&lt;year&gt;2010&lt;/year&gt;&lt;pub-dates&gt;&lt;date&gt;November 16, 2010&lt;/date&gt;&lt;/pub-dates&gt;&lt;/dates&gt;&lt;pub-location&gt;London&lt;/pub-location&gt;&lt;urls&gt;&lt;related-urls&gt;&lt;url&gt;&lt;style face="normal" font="Times" size="100%"&gt;http://www.guardian.co.uk/commentisfree/cifamerica/2010/nov/16/wake-it-gets-better-campaign&lt;/style&gt;&lt;/url&gt;&lt;/related-urls&gt;&lt;/urls&gt;&lt;access-date&gt;March 30, 2010&lt;/access-date&gt;&lt;/record&gt;&lt;/Cite&gt;&lt;/EndNote&gt;</w:instrText>
      </w:r>
      <w:r w:rsidR="00D96CA5" w:rsidRPr="008A4013">
        <w:fldChar w:fldCharType="separate"/>
      </w:r>
      <w:r w:rsidR="00D96CA5" w:rsidRPr="008A4013">
        <w:rPr>
          <w:noProof/>
        </w:rPr>
        <w:t>(</w:t>
      </w:r>
      <w:hyperlink w:anchor="_ENREF_32" w:tooltip="Puar, 2010 #201" w:history="1">
        <w:r w:rsidR="00DE221F" w:rsidRPr="008A4013">
          <w:rPr>
            <w:noProof/>
          </w:rPr>
          <w:t>2010</w:t>
        </w:r>
      </w:hyperlink>
      <w:r w:rsidR="00D96CA5" w:rsidRPr="008A4013">
        <w:rPr>
          <w:noProof/>
        </w:rPr>
        <w:t>)</w:t>
      </w:r>
      <w:r w:rsidR="00D96CA5" w:rsidRPr="008A4013">
        <w:fldChar w:fldCharType="end"/>
      </w:r>
      <w:r w:rsidRPr="008A4013">
        <w:t xml:space="preserve">. In doing so she </w:t>
      </w:r>
      <w:r w:rsidRPr="008A4013">
        <w:rPr>
          <w:rFonts w:eastAsia="Times New Roman"/>
        </w:rPr>
        <w:t xml:space="preserve">concurs with and </w:t>
      </w:r>
      <w:r w:rsidRPr="008A4013">
        <w:t>cites a number of bloggers, activists and cultural critics who argue the “upbeat” messaging of IGBP plays down the power and possibility of d</w:t>
      </w:r>
      <w:r w:rsidR="00C335B6" w:rsidRPr="008A4013">
        <w:t>issent</w:t>
      </w:r>
      <w:r w:rsidR="00321D71" w:rsidRPr="008A4013">
        <w:t xml:space="preserve"> </w:t>
      </w:r>
      <w:r w:rsidR="008248C7" w:rsidRPr="008A4013">
        <w:fldChar w:fldCharType="begin"/>
      </w:r>
      <w:r w:rsidR="00841C69" w:rsidRPr="008A4013">
        <w:instrText xml:space="preserve"> ADDIN EN.CITE &lt;EndNote&gt;&lt;Cite&gt;&lt;Author&gt;Girl&lt;/Author&gt;&lt;Year&gt;2010&lt;/Year&gt;&lt;RecNum&gt;206&lt;/RecNum&gt;&lt;DisplayText&gt;(Quiet Riot Girl 2010)&lt;/DisplayText&gt;&lt;record&gt;&lt;rec-number&gt;206&lt;/rec-number&gt;&lt;foreign-keys&gt;&lt;key app="EN" db-id="x0x2x9vw3vz5wretwfnpsavdxe0w5pfpzees"&gt;206&lt;/key&gt;&lt;/foreign-keys&gt;&lt;ref-type name="Blog"&gt;56&lt;/ref-type&gt;&lt;contributors&gt;&lt;authors&gt;&lt;author&gt;Quiet Riot Girl,&lt;/author&gt;&lt;/authors&gt;&lt;/contributors&gt;&lt;titles&gt;&lt;title&gt;It Gets Better: What does? For whom?&lt;/title&gt;&lt;secondary-title&gt;Quiet Riot Girl: The Thinking Crumpet&amp;apos;s Blogger&lt;/secondary-title&gt;&lt;/titles&gt;&lt;number&gt;06/10/2010&lt;/number&gt;&lt;dates&gt;&lt;year&gt;2010&lt;/year&gt;&lt;/dates&gt;&lt;urls&gt;&lt;related-urls&gt;&lt;url&gt;http://quietgirlriot.wordpress.com/2010/10/06/it-gets-better-what-does-for-whom/&lt;/url&gt;&lt;/related-urls&gt;&lt;/urls&gt;&lt;access-date&gt;March 30, 2012&lt;/access-date&gt;&lt;/record&gt;&lt;/Cite&gt;&lt;/EndNote&gt;</w:instrText>
      </w:r>
      <w:r w:rsidR="008248C7" w:rsidRPr="008A4013">
        <w:fldChar w:fldCharType="separate"/>
      </w:r>
      <w:r w:rsidR="00841C69" w:rsidRPr="008A4013">
        <w:rPr>
          <w:noProof/>
        </w:rPr>
        <w:t>(</w:t>
      </w:r>
      <w:hyperlink w:anchor="_ENREF_34" w:tooltip="Quiet Riot Girl, 2010 #206" w:history="1">
        <w:r w:rsidR="00DE221F" w:rsidRPr="008A4013">
          <w:rPr>
            <w:noProof/>
          </w:rPr>
          <w:t>Quiet Riot Girl 2010</w:t>
        </w:r>
      </w:hyperlink>
      <w:r w:rsidR="00841C69" w:rsidRPr="008A4013">
        <w:rPr>
          <w:noProof/>
        </w:rPr>
        <w:t>)</w:t>
      </w:r>
      <w:r w:rsidR="008248C7" w:rsidRPr="008A4013">
        <w:fldChar w:fldCharType="end"/>
      </w:r>
      <w:r w:rsidRPr="008A4013">
        <w:t>, is overwhelmingly dominated by white, gay, liberal, middle-c</w:t>
      </w:r>
      <w:r w:rsidR="00C335B6" w:rsidRPr="008A4013">
        <w:t xml:space="preserve">lass men </w:t>
      </w:r>
      <w:r w:rsidR="00D96CA5" w:rsidRPr="008A4013">
        <w:fldChar w:fldCharType="begin"/>
      </w:r>
      <w:r w:rsidR="001F21F3" w:rsidRPr="008A4013">
        <w:instrText xml:space="preserve"> ADDIN EN.CITE &lt;EndNote&gt;&lt;Cite&gt;&lt;Author&gt;Puar&lt;/Author&gt;&lt;Year&gt;2010&lt;/Year&gt;&lt;RecNum&gt;201&lt;/RecNum&gt;&lt;Prefix&gt;Diana Cage in &lt;/Prefix&gt;&lt;DisplayText&gt;(Diana Cage in Puar 2010)&lt;/DisplayText&gt;&lt;record&gt;&lt;rec-number&gt;201&lt;/rec-number&gt;&lt;foreign-keys&gt;&lt;key app="EN" db-id="x0x2x9vw3vz5wretwfnpsavdxe0w5pfpzees"&gt;201&lt;/key&gt;&lt;/foreign-keys&gt;&lt;ref-type name="Newspaper Article"&gt;23&lt;/ref-type&gt;&lt;contributors&gt;&lt;authors&gt;&lt;author&gt;Puar, Jasbir K.&lt;/author&gt;&lt;/authors&gt;&lt;/contributors&gt;&lt;titles&gt;&lt;title&gt;In the wake of it gets better&lt;/title&gt;&lt;secondary-title&gt;The Guardian&lt;/secondary-title&gt;&lt;/titles&gt;&lt;section&gt;Comment is Free&lt;/section&gt;&lt;dates&gt;&lt;year&gt;2010&lt;/year&gt;&lt;pub-dates&gt;&lt;date&gt;November 16, 2010&lt;/date&gt;&lt;/pub-dates&gt;&lt;/dates&gt;&lt;pub-location&gt;London&lt;/pub-location&gt;&lt;urls&gt;&lt;related-urls&gt;&lt;url&gt;&lt;style face="normal" font="Times" size="100%"&gt;http://www.guardian.co.uk/commentisfree/cifamerica/2010/nov/16/wake-it-gets-better-campaign&lt;/style&gt;&lt;/url&gt;&lt;/related-urls&gt;&lt;/urls&gt;&lt;access-date&gt;March 30, 2010&lt;/access-date&gt;&lt;/record&gt;&lt;/Cite&gt;&lt;/EndNote&gt;</w:instrText>
      </w:r>
      <w:r w:rsidR="00D96CA5" w:rsidRPr="008A4013">
        <w:fldChar w:fldCharType="separate"/>
      </w:r>
      <w:r w:rsidR="00D96CA5" w:rsidRPr="008A4013">
        <w:rPr>
          <w:noProof/>
        </w:rPr>
        <w:t>(</w:t>
      </w:r>
      <w:hyperlink w:anchor="_ENREF_32" w:tooltip="Puar, 2010 #201" w:history="1">
        <w:r w:rsidR="00DE221F" w:rsidRPr="008A4013">
          <w:rPr>
            <w:noProof/>
          </w:rPr>
          <w:t>Diana Cage in Puar 2010</w:t>
        </w:r>
      </w:hyperlink>
      <w:r w:rsidR="00D96CA5" w:rsidRPr="008A4013">
        <w:rPr>
          <w:noProof/>
        </w:rPr>
        <w:t>)</w:t>
      </w:r>
      <w:r w:rsidR="00D96CA5" w:rsidRPr="008A4013">
        <w:fldChar w:fldCharType="end"/>
      </w:r>
      <w:r w:rsidR="00D96CA5" w:rsidRPr="008A4013">
        <w:t xml:space="preserve">, </w:t>
      </w:r>
      <w:r w:rsidR="00321D71" w:rsidRPr="008A4013">
        <w:t xml:space="preserve">and plays down </w:t>
      </w:r>
      <w:r w:rsidR="00EB7E13" w:rsidRPr="008A4013">
        <w:t xml:space="preserve">the </w:t>
      </w:r>
      <w:r w:rsidR="00321D71" w:rsidRPr="008A4013">
        <w:t>racism, sexism and classism that exist</w:t>
      </w:r>
      <w:r w:rsidR="00EB7E13" w:rsidRPr="008A4013">
        <w:t>s</w:t>
      </w:r>
      <w:r w:rsidR="00321D71" w:rsidRPr="008A4013">
        <w:t xml:space="preserve"> in “urban gay enclave[s]” </w:t>
      </w:r>
      <w:r w:rsidR="008248C7" w:rsidRPr="008A4013">
        <w:fldChar w:fldCharType="begin"/>
      </w:r>
      <w:r w:rsidR="00841C69" w:rsidRPr="008A4013">
        <w:instrText xml:space="preserve"> ADDIN EN.CITE &lt;EndNote&gt;&lt;Cite&gt;&lt;Author&gt;Tseng&lt;/Author&gt;&lt;Year&gt;2010&lt;/Year&gt;&lt;RecNum&gt;205&lt;/RecNum&gt;&lt;DisplayText&gt;(Tseng 2010)&lt;/DisplayText&gt;&lt;record&gt;&lt;rec-number&gt;205&lt;/rec-number&gt;&lt;foreign-keys&gt;&lt;key app="EN" db-id="x0x2x9vw3vz5wretwfnpsavdxe0w5pfpzees"&gt;205&lt;/key&gt;&lt;/foreign-keys&gt;&lt;ref-type name="Blog"&gt;56&lt;/ref-type&gt;&lt;contributors&gt;&lt;authors&gt;&lt;author&gt;Tseng, Jason&lt;/author&gt;&lt;/authors&gt;&lt;secondary-authors&gt;&lt;author&gt;Blazucki, Sarah&lt;/author&gt;&lt;author&gt;Holmes, James&lt;/author&gt;&lt;author&gt;Tashlin, E. Winter&lt;/author&gt;&lt;/secondary-authors&gt;&lt;/contributors&gt;&lt;titles&gt;&lt;title&gt;Does it really get better?: A conscientious critique&lt;/title&gt;&lt;secondary-title&gt;The Bilerico Project&lt;/secondary-title&gt;&lt;/titles&gt;&lt;number&gt;03/10/10&lt;/number&gt;&lt;dates&gt;&lt;year&gt;2010&lt;/year&gt;&lt;/dates&gt;&lt;urls&gt;&lt;related-urls&gt;&lt;url&gt;http://www.bilerico.com/2010/10/does_it_really_get_better.php&lt;/url&gt;&lt;/related-urls&gt;&lt;/urls&gt;&lt;access-date&gt;March 30, 2012&lt;/access-date&gt;&lt;/record&gt;&lt;/Cite&gt;&lt;/EndNote&gt;</w:instrText>
      </w:r>
      <w:r w:rsidR="008248C7" w:rsidRPr="008A4013">
        <w:fldChar w:fldCharType="separate"/>
      </w:r>
      <w:r w:rsidR="00321D71" w:rsidRPr="008A4013">
        <w:rPr>
          <w:noProof/>
        </w:rPr>
        <w:t>(</w:t>
      </w:r>
      <w:hyperlink w:anchor="_ENREF_39" w:tooltip="Tseng, 2010 #205" w:history="1">
        <w:r w:rsidR="00DE221F" w:rsidRPr="008A4013">
          <w:rPr>
            <w:noProof/>
          </w:rPr>
          <w:t>Tseng 2010</w:t>
        </w:r>
      </w:hyperlink>
      <w:r w:rsidR="00321D71" w:rsidRPr="008A4013">
        <w:rPr>
          <w:noProof/>
        </w:rPr>
        <w:t>)</w:t>
      </w:r>
      <w:r w:rsidR="008248C7" w:rsidRPr="008A4013">
        <w:fldChar w:fldCharType="end"/>
      </w:r>
      <w:r w:rsidRPr="008A4013">
        <w:t xml:space="preserve">. </w:t>
      </w:r>
      <w:r w:rsidR="00C335B6" w:rsidRPr="008A4013">
        <w:rPr>
          <w:rFonts w:eastAsia="Times New Roman"/>
        </w:rPr>
        <w:t xml:space="preserve">Reflecting on these critiques, </w:t>
      </w:r>
      <w:r w:rsidR="00EF3B8A" w:rsidRPr="008A4013">
        <w:rPr>
          <w:rFonts w:eastAsia="Times New Roman"/>
        </w:rPr>
        <w:t>Puar</w:t>
      </w:r>
      <w:r w:rsidR="00E93941" w:rsidRPr="008A4013">
        <w:rPr>
          <w:rFonts w:eastAsia="Times New Roman"/>
        </w:rPr>
        <w:t xml:space="preserve"> asks</w:t>
      </w:r>
      <w:r w:rsidR="00B73449" w:rsidRPr="008A4013">
        <w:rPr>
          <w:rFonts w:eastAsia="Times New Roman"/>
        </w:rPr>
        <w:t xml:space="preserve"> rhetorically</w:t>
      </w:r>
      <w:r w:rsidR="00EF3B8A" w:rsidRPr="008A4013">
        <w:rPr>
          <w:rFonts w:eastAsia="Times New Roman"/>
        </w:rPr>
        <w:t>: “H</w:t>
      </w:r>
      <w:r w:rsidR="00E93941" w:rsidRPr="008A4013">
        <w:rPr>
          <w:rFonts w:eastAsia="Times New Roman"/>
        </w:rPr>
        <w:t xml:space="preserve">ow useful is it to imagine troubled gay youth might master their injury and turn blame and guilt into transgression, triumph, and all-American success?” </w:t>
      </w:r>
      <w:r w:rsidR="008248C7" w:rsidRPr="008A4013">
        <w:rPr>
          <w:rFonts w:eastAsia="Times New Roman"/>
        </w:rPr>
        <w:fldChar w:fldCharType="begin"/>
      </w:r>
      <w:r w:rsidR="001F21F3" w:rsidRPr="008A4013">
        <w:rPr>
          <w:rFonts w:eastAsia="Times New Roman"/>
        </w:rPr>
        <w:instrText xml:space="preserve"> ADDIN EN.CITE &lt;EndNote&gt;&lt;Cite ExcludeAuth="1"&gt;&lt;Author&gt;Puar&lt;/Author&gt;&lt;Year&gt;2010&lt;/Year&gt;&lt;RecNum&gt;201&lt;/RecNum&gt;&lt;DisplayText&gt;(2010)&lt;/DisplayText&gt;&lt;record&gt;&lt;rec-number&gt;201&lt;/rec-number&gt;&lt;foreign-keys&gt;&lt;key app="EN" db-id="x0x2x9vw3vz5wretwfnpsavdxe0w5pfpzees"&gt;201&lt;/key&gt;&lt;/foreign-keys&gt;&lt;ref-type name="Newspaper Article"&gt;23&lt;/ref-type&gt;&lt;contributors&gt;&lt;authors&gt;&lt;author&gt;Puar, Jasbir K.&lt;/author&gt;&lt;/authors&gt;&lt;/contributors&gt;&lt;titles&gt;&lt;title&gt;In the wake of it gets better&lt;/title&gt;&lt;secondary-title&gt;The Guardian&lt;/secondary-title&gt;&lt;/titles&gt;&lt;section&gt;Comment is Free&lt;/section&gt;&lt;dates&gt;&lt;year&gt;2010&lt;/year&gt;&lt;pub-dates&gt;&lt;date&gt;November 16, 2010&lt;/date&gt;&lt;/pub-dates&gt;&lt;/dates&gt;&lt;pub-location&gt;London&lt;/pub-location&gt;&lt;urls&gt;&lt;related-urls&gt;&lt;url&gt;&lt;style face="normal" font="Times" size="100%"&gt;http://www.guardian.co.uk/commentisfree/cifamerica/2010/nov/16/wake-it-gets-better-campaign&lt;/style&gt;&lt;/url&gt;&lt;/related-urls&gt;&lt;/urls&gt;&lt;access-date&gt;March 30, 2010&lt;/access-date&gt;&lt;/record&gt;&lt;/Cite&gt;&lt;/EndNote&gt;</w:instrText>
      </w:r>
      <w:r w:rsidR="008248C7" w:rsidRPr="008A4013">
        <w:rPr>
          <w:rFonts w:eastAsia="Times New Roman"/>
        </w:rPr>
        <w:fldChar w:fldCharType="separate"/>
      </w:r>
      <w:r w:rsidR="00DB329D" w:rsidRPr="008A4013">
        <w:rPr>
          <w:rFonts w:eastAsia="Times New Roman"/>
          <w:noProof/>
        </w:rPr>
        <w:t>(</w:t>
      </w:r>
      <w:hyperlink w:anchor="_ENREF_32" w:tooltip="Puar, 2010 #201" w:history="1">
        <w:r w:rsidR="00DE221F" w:rsidRPr="008A4013">
          <w:rPr>
            <w:rFonts w:eastAsia="Times New Roman"/>
            <w:noProof/>
          </w:rPr>
          <w:t>2010</w:t>
        </w:r>
      </w:hyperlink>
      <w:r w:rsidR="00DB329D" w:rsidRPr="008A4013">
        <w:rPr>
          <w:rFonts w:eastAsia="Times New Roman"/>
          <w:noProof/>
        </w:rPr>
        <w:t>)</w:t>
      </w:r>
      <w:r w:rsidR="008248C7" w:rsidRPr="008A4013">
        <w:rPr>
          <w:rFonts w:eastAsia="Times New Roman"/>
        </w:rPr>
        <w:fldChar w:fldCharType="end"/>
      </w:r>
      <w:r w:rsidR="00B73449" w:rsidRPr="008A4013">
        <w:rPr>
          <w:rFonts w:eastAsia="Times New Roman"/>
        </w:rPr>
        <w:t xml:space="preserve">. </w:t>
      </w:r>
    </w:p>
    <w:p w14:paraId="65338A6B" w14:textId="0DF8467E" w:rsidR="00C335B6" w:rsidRPr="008A4013" w:rsidRDefault="00C335B6" w:rsidP="00C137CF">
      <w:pPr>
        <w:tabs>
          <w:tab w:val="left" w:pos="709"/>
        </w:tabs>
        <w:ind w:firstLine="0"/>
      </w:pPr>
      <w:r w:rsidRPr="008A4013">
        <w:lastRenderedPageBreak/>
        <w:tab/>
      </w:r>
      <w:r w:rsidR="00572911" w:rsidRPr="008A4013">
        <w:t xml:space="preserve">Through </w:t>
      </w:r>
      <w:r w:rsidR="00726D0F" w:rsidRPr="008A4013">
        <w:t xml:space="preserve">this </w:t>
      </w:r>
      <w:r w:rsidR="00572911" w:rsidRPr="008A4013">
        <w:t>analysis,</w:t>
      </w:r>
      <w:r w:rsidRPr="008A4013">
        <w:t xml:space="preserve"> I have attempted to look into the </w:t>
      </w:r>
      <w:r w:rsidR="00572911" w:rsidRPr="008A4013">
        <w:t>alternative</w:t>
      </w:r>
      <w:r w:rsidRPr="008A4013">
        <w:t xml:space="preserve"> ideological discourses </w:t>
      </w:r>
      <w:r w:rsidR="00572911" w:rsidRPr="008A4013">
        <w:t xml:space="preserve">presented </w:t>
      </w:r>
      <w:r w:rsidR="00A50192" w:rsidRPr="008A4013">
        <w:t>with</w:t>
      </w:r>
      <w:r w:rsidR="00572911" w:rsidRPr="008A4013">
        <w:t xml:space="preserve">in </w:t>
      </w:r>
      <w:r w:rsidR="00A50192" w:rsidRPr="008A4013">
        <w:t xml:space="preserve">and between </w:t>
      </w:r>
      <w:r w:rsidR="00572911" w:rsidRPr="008A4013">
        <w:t>IGBP videos to ask: what other responsive reaction might be advocated</w:t>
      </w:r>
      <w:r w:rsidR="00A50192" w:rsidRPr="008A4013">
        <w:t xml:space="preserve"> to the project</w:t>
      </w:r>
      <w:r w:rsidR="00572911" w:rsidRPr="008A4013">
        <w:t xml:space="preserve">? </w:t>
      </w:r>
      <w:r w:rsidR="00A50192" w:rsidRPr="008A4013">
        <w:t>I do not believe that</w:t>
      </w:r>
      <w:r w:rsidR="00EF3B8A" w:rsidRPr="008A4013">
        <w:t xml:space="preserve"> an open and affirming</w:t>
      </w:r>
      <w:r w:rsidR="00A50192" w:rsidRPr="008A4013">
        <w:t xml:space="preserve"> theological </w:t>
      </w:r>
      <w:r w:rsidR="00EF3B8A" w:rsidRPr="008A4013">
        <w:t>perspective</w:t>
      </w:r>
      <w:r w:rsidR="00A50192" w:rsidRPr="008A4013">
        <w:t xml:space="preserve"> is the only or the most suitable means through which to counter homophobic discourses</w:t>
      </w:r>
      <w:r w:rsidR="00EF3B8A" w:rsidRPr="008A4013">
        <w:t xml:space="preserve">. </w:t>
      </w:r>
      <w:r w:rsidR="003A4F16" w:rsidRPr="008A4013">
        <w:t xml:space="preserve">Indeed, comparative analysis of speakers differently categorized and separated might yield further more compelling results. </w:t>
      </w:r>
      <w:r w:rsidR="00EF3B8A" w:rsidRPr="008A4013">
        <w:t>Yet i</w:t>
      </w:r>
      <w:r w:rsidR="00A50192" w:rsidRPr="008A4013">
        <w:t>n concluding</w:t>
      </w:r>
      <w:r w:rsidR="00572911" w:rsidRPr="008A4013">
        <w:t xml:space="preserve"> I want to gesture toward the potential </w:t>
      </w:r>
      <w:r w:rsidR="003A4F16" w:rsidRPr="008A4013">
        <w:t xml:space="preserve">political </w:t>
      </w:r>
      <w:r w:rsidR="00572911" w:rsidRPr="008A4013">
        <w:t>usefulness</w:t>
      </w:r>
      <w:r w:rsidR="005C57C2" w:rsidRPr="008A4013">
        <w:t>, as I see it,</w:t>
      </w:r>
      <w:r w:rsidR="00572911" w:rsidRPr="008A4013">
        <w:t xml:space="preserve"> of those messages that </w:t>
      </w:r>
      <w:r w:rsidR="00EF3B8A" w:rsidRPr="008A4013">
        <w:t>contest not only the oppressively homophobic positions taken up by the religious right</w:t>
      </w:r>
      <w:r w:rsidR="00572911" w:rsidRPr="008A4013">
        <w:t xml:space="preserve">, </w:t>
      </w:r>
      <w:r w:rsidR="00EF3B8A" w:rsidRPr="008A4013">
        <w:t>but also</w:t>
      </w:r>
      <w:r w:rsidR="00572911" w:rsidRPr="008A4013">
        <w:t xml:space="preserve"> </w:t>
      </w:r>
      <w:r w:rsidR="00EF3B8A" w:rsidRPr="008A4013">
        <w:t xml:space="preserve">the </w:t>
      </w:r>
      <w:r w:rsidR="003A4F16" w:rsidRPr="008A4013">
        <w:t xml:space="preserve">limiting </w:t>
      </w:r>
      <w:r w:rsidR="00EF3B8A" w:rsidRPr="008A4013">
        <w:t>neoliberal</w:t>
      </w:r>
      <w:r w:rsidR="00572911" w:rsidRPr="008A4013">
        <w:t xml:space="preserve"> narratives </w:t>
      </w:r>
      <w:r w:rsidR="00EF3B8A" w:rsidRPr="008A4013">
        <w:t>predominantly endorsed</w:t>
      </w:r>
      <w:r w:rsidR="00572911" w:rsidRPr="008A4013">
        <w:t xml:space="preserve"> by l</w:t>
      </w:r>
      <w:r w:rsidR="00EF3B8A" w:rsidRPr="008A4013">
        <w:t>aypeople</w:t>
      </w:r>
      <w:r w:rsidR="005C57C2" w:rsidRPr="008A4013">
        <w:t>,</w:t>
      </w:r>
      <w:r w:rsidR="003A4F16" w:rsidRPr="008A4013">
        <w:t xml:space="preserve"> and </w:t>
      </w:r>
      <w:r w:rsidR="005C57C2" w:rsidRPr="008A4013">
        <w:t xml:space="preserve">seemingly by </w:t>
      </w:r>
      <w:r w:rsidR="003A4F16" w:rsidRPr="008A4013">
        <w:t>IGBP</w:t>
      </w:r>
      <w:r w:rsidR="005C57C2" w:rsidRPr="008A4013">
        <w:t xml:space="preserve"> as a whole</w:t>
      </w:r>
      <w:r w:rsidR="00EF3B8A" w:rsidRPr="008A4013">
        <w:t>.</w:t>
      </w:r>
    </w:p>
    <w:p w14:paraId="055224EF" w14:textId="6B874032" w:rsidR="00856AA0" w:rsidRPr="008A4013" w:rsidRDefault="003A4F16" w:rsidP="00C137CF">
      <w:pPr>
        <w:tabs>
          <w:tab w:val="left" w:pos="709"/>
        </w:tabs>
        <w:ind w:firstLine="0"/>
      </w:pPr>
      <w:r w:rsidRPr="008A4013">
        <w:tab/>
        <w:t>By</w:t>
      </w:r>
      <w:r w:rsidR="00856AA0" w:rsidRPr="008A4013">
        <w:t xml:space="preserve"> separating and examining the messages of spokespeople and</w:t>
      </w:r>
      <w:r w:rsidR="0026793F" w:rsidRPr="008A4013">
        <w:t xml:space="preserve"> laypeople in IGBP Faith videos</w:t>
      </w:r>
      <w:r w:rsidR="00726D0F" w:rsidRPr="008A4013">
        <w:t>,</w:t>
      </w:r>
      <w:r w:rsidR="00856AA0" w:rsidRPr="008A4013">
        <w:t xml:space="preserve"> I have shown that these anti-</w:t>
      </w:r>
      <w:r w:rsidR="00DB4283" w:rsidRPr="008A4013">
        <w:t xml:space="preserve">homophobic </w:t>
      </w:r>
      <w:r w:rsidR="00856AA0" w:rsidRPr="008A4013">
        <w:t>bullying messages are frequently ste</w:t>
      </w:r>
      <w:bookmarkStart w:id="0" w:name="_GoBack"/>
      <w:bookmarkEnd w:id="0"/>
      <w:r w:rsidR="00CE0A66" w:rsidRPr="008A4013">
        <w:t>e</w:t>
      </w:r>
      <w:r w:rsidR="00856AA0" w:rsidRPr="008A4013">
        <w:t xml:space="preserve">ped in neoliberal ideological assumptions, emphasizing individualist, material success as </w:t>
      </w:r>
      <w:r w:rsidR="00EB7E13" w:rsidRPr="008A4013">
        <w:t xml:space="preserve">demarcating </w:t>
      </w:r>
      <w:r w:rsidR="00856AA0" w:rsidRPr="008A4013">
        <w:t xml:space="preserve">a “better” life. For laypeople emphasis is </w:t>
      </w:r>
      <w:r w:rsidR="002A2E30" w:rsidRPr="008A4013">
        <w:t>usually placed on the “I” the speaker and, moreover, i</w:t>
      </w:r>
      <w:r w:rsidR="00856AA0" w:rsidRPr="008A4013">
        <w:t>ndividuals’ concerns are presumed to be the betterment of their own circumstance, rather than that of the general public. Hence, “being out” is almost everywhere cited as being central to the improvement of life circumstances.</w:t>
      </w:r>
    </w:p>
    <w:p w14:paraId="3B5F942E" w14:textId="34956E2C" w:rsidR="00E66C91" w:rsidRPr="008A4013" w:rsidRDefault="001E2721" w:rsidP="00C137CF">
      <w:pPr>
        <w:tabs>
          <w:tab w:val="left" w:pos="709"/>
        </w:tabs>
        <w:ind w:firstLine="0"/>
      </w:pPr>
      <w:r w:rsidRPr="008A4013">
        <w:tab/>
      </w:r>
      <w:r w:rsidR="00856AA0" w:rsidRPr="008A4013">
        <w:t>Target listeners are furthermore encouraged to be passive, rather than active part</w:t>
      </w:r>
      <w:r w:rsidR="003A4F16" w:rsidRPr="008A4013">
        <w:t>icipants in “it getting better.”</w:t>
      </w:r>
      <w:r w:rsidR="00856AA0" w:rsidRPr="008A4013">
        <w:t xml:space="preserve"> </w:t>
      </w:r>
      <w:r w:rsidR="003A4F16" w:rsidRPr="008A4013">
        <w:t>They are told to “tough it out,”</w:t>
      </w:r>
      <w:r w:rsidR="00856AA0" w:rsidRPr="008A4013">
        <w:t xml:space="preserve"> at least until they are old enough to move to an urban setting. There is an implicit assumption that life-trajectory will follow a particular pattern (which includes college attendance) that inevitably leads to this eventuality. These speakers stress that youth is hellish and adulthood, simply, “better</w:t>
      </w:r>
      <w:r w:rsidR="00E54C7E" w:rsidRPr="008A4013">
        <w:t>.”</w:t>
      </w:r>
      <w:r w:rsidR="00856AA0" w:rsidRPr="008A4013">
        <w:t xml:space="preserve"> As such, as well as belying a neoliberal ideology, these videos project a moral geographic mapping of the U</w:t>
      </w:r>
      <w:r w:rsidR="00E66C91" w:rsidRPr="008A4013">
        <w:t>.</w:t>
      </w:r>
      <w:r w:rsidR="00856AA0" w:rsidRPr="008A4013">
        <w:t>S</w:t>
      </w:r>
      <w:r w:rsidR="00E66C91" w:rsidRPr="008A4013">
        <w:t>.</w:t>
      </w:r>
      <w:r w:rsidR="00856AA0" w:rsidRPr="008A4013">
        <w:t>, explicitly associating homophobia with rural settings</w:t>
      </w:r>
      <w:r w:rsidR="003A4F16" w:rsidRPr="008A4013">
        <w:t>, and reify the heteronormative conception of “reproductive time”</w:t>
      </w:r>
      <w:r w:rsidR="00D96CA5" w:rsidRPr="008A4013">
        <w:t xml:space="preserve"> </w:t>
      </w:r>
      <w:r w:rsidR="00D96CA5" w:rsidRPr="008A4013">
        <w:fldChar w:fldCharType="begin"/>
      </w:r>
      <w:r w:rsidR="00B63259" w:rsidRPr="008A4013">
        <w:instrText xml:space="preserve"> ADDIN EN.CITE &lt;EndNote&gt;&lt;Cite&gt;&lt;Author&gt;Halberstam&lt;/Author&gt;&lt;Year&gt;2005&lt;/Year&gt;&lt;RecNum&gt;53&lt;/RecNum&gt;&lt;DisplayText&gt;(Halberstam 2005)&lt;/DisplayText&gt;&lt;record&gt;&lt;rec-number&gt;53&lt;/rec-number&gt;&lt;foreign-keys&gt;&lt;key app="EN" db-id="x0x2x9vw3vz5wretwfnpsavdxe0w5pfpzees"&gt;53&lt;/key&gt;&lt;/foreign-keys&gt;&lt;ref-type name="Book"&gt;6&lt;/ref-type&gt;&lt;contributors&gt;&lt;authors&gt;&lt;author&gt;Halberstam, Judith&lt;/author&gt;&lt;/authors&gt;&lt;/contributors&gt;&lt;titles&gt;&lt;title&gt;In a Queer Time and Place&lt;/title&gt;&lt;/titles&gt;&lt;dates&gt;&lt;year&gt;2005&lt;/year&gt;&lt;/dates&gt;&lt;pub-location&gt;New York and London&lt;/pub-location&gt;&lt;publisher&gt;NYU Press&lt;/publisher&gt;&lt;urls&gt;&lt;/urls&gt;&lt;/record&gt;&lt;/Cite&gt;&lt;/EndNote&gt;</w:instrText>
      </w:r>
      <w:r w:rsidR="00D96CA5" w:rsidRPr="008A4013">
        <w:fldChar w:fldCharType="separate"/>
      </w:r>
      <w:r w:rsidR="00D96CA5" w:rsidRPr="008A4013">
        <w:rPr>
          <w:noProof/>
        </w:rPr>
        <w:t>(</w:t>
      </w:r>
      <w:hyperlink w:anchor="_ENREF_16" w:tooltip="Halberstam, 2005 #53" w:history="1">
        <w:r w:rsidR="00DE221F" w:rsidRPr="008A4013">
          <w:rPr>
            <w:noProof/>
          </w:rPr>
          <w:t>Halberstam 2005</w:t>
        </w:r>
      </w:hyperlink>
      <w:r w:rsidR="00D96CA5" w:rsidRPr="008A4013">
        <w:rPr>
          <w:noProof/>
        </w:rPr>
        <w:t>)</w:t>
      </w:r>
      <w:r w:rsidR="00D96CA5" w:rsidRPr="008A4013">
        <w:fldChar w:fldCharType="end"/>
      </w:r>
      <w:r w:rsidR="00856AA0" w:rsidRPr="008A4013">
        <w:t xml:space="preserve">. This move </w:t>
      </w:r>
      <w:r w:rsidR="00856AA0" w:rsidRPr="008A4013">
        <w:lastRenderedPageBreak/>
        <w:t>disenfranchises those non-urban</w:t>
      </w:r>
      <w:r w:rsidR="003A4F16" w:rsidRPr="008A4013">
        <w:t>, non-adult</w:t>
      </w:r>
      <w:r w:rsidR="00856AA0" w:rsidRPr="008A4013">
        <w:t xml:space="preserve"> communities actively seeking to tackle homophobia and obscures inci</w:t>
      </w:r>
      <w:r w:rsidR="003A4F16" w:rsidRPr="008A4013">
        <w:t>dences of anti-gay harassment experienced by adults both within and outside of</w:t>
      </w:r>
      <w:r w:rsidR="00856AA0" w:rsidRPr="008A4013">
        <w:t xml:space="preserve"> urban spaces.</w:t>
      </w:r>
    </w:p>
    <w:p w14:paraId="5CC47AC2" w14:textId="09C76E08" w:rsidR="00E66C91" w:rsidRPr="008A4013" w:rsidRDefault="00E66C91" w:rsidP="00C137CF">
      <w:pPr>
        <w:tabs>
          <w:tab w:val="left" w:pos="709"/>
        </w:tabs>
        <w:ind w:firstLine="0"/>
      </w:pPr>
      <w:r w:rsidRPr="008A4013">
        <w:tab/>
      </w:r>
      <w:r w:rsidR="001E2721" w:rsidRPr="008A4013">
        <w:t>In sum, laypeople</w:t>
      </w:r>
      <w:r w:rsidRPr="008A4013">
        <w:t xml:space="preserve"> tend to</w:t>
      </w:r>
      <w:r w:rsidR="001E2721" w:rsidRPr="008A4013">
        <w:t xml:space="preserve"> exhibit values that conservative columnist William Safire, has </w:t>
      </w:r>
      <w:r w:rsidR="00E420B2" w:rsidRPr="008A4013">
        <w:t>hailed</w:t>
      </w:r>
      <w:r w:rsidR="001E2721" w:rsidRPr="008A4013">
        <w:t xml:space="preserve"> as: “</w:t>
      </w:r>
      <w:proofErr w:type="spellStart"/>
      <w:r w:rsidR="001E2721" w:rsidRPr="008A4013">
        <w:t>includ</w:t>
      </w:r>
      <w:proofErr w:type="spellEnd"/>
      <w:r w:rsidR="001E2721" w:rsidRPr="008A4013">
        <w:t>[</w:t>
      </w:r>
      <w:proofErr w:type="spellStart"/>
      <w:r w:rsidR="001E2721" w:rsidRPr="008A4013">
        <w:t>ing</w:t>
      </w:r>
      <w:proofErr w:type="spellEnd"/>
      <w:r w:rsidR="001E2721" w:rsidRPr="008A4013">
        <w:t xml:space="preserve">] self-reliance over community dependence, intervention over isolation, self discipline over society’s regulation, finding pleasure in work rather </w:t>
      </w:r>
      <w:r w:rsidR="00D96CA5" w:rsidRPr="008A4013">
        <w:t xml:space="preserve">than working to find pleasure“ </w:t>
      </w:r>
      <w:r w:rsidR="00D96CA5" w:rsidRPr="008A4013">
        <w:fldChar w:fldCharType="begin"/>
      </w:r>
      <w:r w:rsidR="00D96CA5" w:rsidRPr="008A4013">
        <w:instrText xml:space="preserve"> ADDIN EN.CITE &lt;EndNote&gt;&lt;Cite&gt;&lt;Author&gt;Ong&lt;/Author&gt;&lt;Year&gt;2006&lt;/Year&gt;&lt;RecNum&gt;44&lt;/RecNum&gt;&lt;Prefix&gt;quoted in &lt;/Prefix&gt;&lt;Pages&gt;2&lt;/Pages&gt;&lt;DisplayText&gt;(quoted in Ong 2006: 2)&lt;/DisplayText&gt;&lt;record&gt;&lt;rec-number&gt;44&lt;/rec-number&gt;&lt;foreign-keys&gt;&lt;key app="EN" db-id="x0x2x9vw3vz5wretwfnpsavdxe0w5pfpzees"&gt;44&lt;/key&gt;&lt;/foreign-keys&gt;&lt;ref-type name="Book"&gt;6&lt;/ref-type&gt;&lt;contributors&gt;&lt;authors&gt;&lt;author&gt;Aihwa Ong&lt;/author&gt;&lt;/authors&gt;&lt;/contributors&gt;&lt;titles&gt;&lt;title&gt;Neoliberalism as Exception: Mutations in Citizenship and Sovereignty&lt;/title&gt;&lt;/titles&gt;&lt;dates&gt;&lt;year&gt;2006&lt;/year&gt;&lt;/dates&gt;&lt;pub-location&gt;Durham&lt;/pub-location&gt;&lt;publisher&gt;Duke University Press&lt;/publisher&gt;&lt;urls&gt;&lt;/urls&gt;&lt;/record&gt;&lt;/Cite&gt;&lt;/EndNote&gt;</w:instrText>
      </w:r>
      <w:r w:rsidR="00D96CA5" w:rsidRPr="008A4013">
        <w:fldChar w:fldCharType="separate"/>
      </w:r>
      <w:r w:rsidR="00D96CA5" w:rsidRPr="008A4013">
        <w:rPr>
          <w:noProof/>
        </w:rPr>
        <w:t>(</w:t>
      </w:r>
      <w:hyperlink w:anchor="_ENREF_29" w:tooltip="Ong, 2006 #44" w:history="1">
        <w:r w:rsidR="00DE221F" w:rsidRPr="008A4013">
          <w:rPr>
            <w:noProof/>
          </w:rPr>
          <w:t>quoted in Ong 2006: 2</w:t>
        </w:r>
      </w:hyperlink>
      <w:r w:rsidR="00D96CA5" w:rsidRPr="008A4013">
        <w:rPr>
          <w:noProof/>
        </w:rPr>
        <w:t>)</w:t>
      </w:r>
      <w:r w:rsidR="00D96CA5" w:rsidRPr="008A4013">
        <w:fldChar w:fldCharType="end"/>
      </w:r>
      <w:r w:rsidR="001E2721" w:rsidRPr="008A4013">
        <w:t xml:space="preserve">. Ong, reading “neoconservative” as </w:t>
      </w:r>
      <w:r w:rsidR="00E420B2" w:rsidRPr="008A4013">
        <w:t xml:space="preserve">now </w:t>
      </w:r>
      <w:r w:rsidR="003A4F16" w:rsidRPr="008A4013">
        <w:t>synonymous with “neoliberal,”</w:t>
      </w:r>
      <w:r w:rsidR="001E2721" w:rsidRPr="008A4013">
        <w:t xml:space="preserve"> cites President G.W. Bush as stressing the importance of “making every citizen an agent of his or her own destiny” </w:t>
      </w:r>
      <w:r w:rsidR="00D96CA5" w:rsidRPr="008A4013">
        <w:fldChar w:fldCharType="begin"/>
      </w:r>
      <w:r w:rsidR="00D96CA5" w:rsidRPr="008A4013">
        <w:instrText xml:space="preserve"> ADDIN EN.CITE &lt;EndNote&gt;&lt;Cite&gt;&lt;Author&gt;Ong&lt;/Author&gt;&lt;Year&gt;2006&lt;/Year&gt;&lt;RecNum&gt;44&lt;/RecNum&gt;&lt;Prefix&gt;quoted in &lt;/Prefix&gt;&lt;Pages&gt;2&lt;/Pages&gt;&lt;DisplayText&gt;(quoted in Ong 2006: 2)&lt;/DisplayText&gt;&lt;record&gt;&lt;rec-number&gt;44&lt;/rec-number&gt;&lt;foreign-keys&gt;&lt;key app="EN" db-id="x0x2x9vw3vz5wretwfnpsavdxe0w5pfpzees"&gt;44&lt;/key&gt;&lt;/foreign-keys&gt;&lt;ref-type name="Book"&gt;6&lt;/ref-type&gt;&lt;contributors&gt;&lt;authors&gt;&lt;author&gt;Aihwa Ong&lt;/author&gt;&lt;/authors&gt;&lt;/contributors&gt;&lt;titles&gt;&lt;title&gt;Neoliberalism as Exception: Mutations in Citizenship and Sovereignty&lt;/title&gt;&lt;/titles&gt;&lt;dates&gt;&lt;year&gt;2006&lt;/year&gt;&lt;/dates&gt;&lt;pub-location&gt;Durham&lt;/pub-location&gt;&lt;publisher&gt;Duke University Press&lt;/publisher&gt;&lt;urls&gt;&lt;/urls&gt;&lt;/record&gt;&lt;/Cite&gt;&lt;/EndNote&gt;</w:instrText>
      </w:r>
      <w:r w:rsidR="00D96CA5" w:rsidRPr="008A4013">
        <w:fldChar w:fldCharType="separate"/>
      </w:r>
      <w:r w:rsidR="00D96CA5" w:rsidRPr="008A4013">
        <w:rPr>
          <w:noProof/>
        </w:rPr>
        <w:t>(</w:t>
      </w:r>
      <w:hyperlink w:anchor="_ENREF_29" w:tooltip="Ong, 2006 #44" w:history="1">
        <w:r w:rsidR="00DE221F" w:rsidRPr="008A4013">
          <w:rPr>
            <w:noProof/>
          </w:rPr>
          <w:t>quoted in Ong 2006: 2</w:t>
        </w:r>
      </w:hyperlink>
      <w:r w:rsidR="00D96CA5" w:rsidRPr="008A4013">
        <w:rPr>
          <w:noProof/>
        </w:rPr>
        <w:t>)</w:t>
      </w:r>
      <w:r w:rsidR="00D96CA5" w:rsidRPr="008A4013">
        <w:fldChar w:fldCharType="end"/>
      </w:r>
      <w:r w:rsidR="001E2721" w:rsidRPr="008A4013">
        <w:t xml:space="preserve">. </w:t>
      </w:r>
      <w:r w:rsidR="00856AA0" w:rsidRPr="008A4013">
        <w:t>Bush’s seemingly paradoxical conjoining of agency and destiny is analogous to the sentiments expressed by the laypeople examined in this study</w:t>
      </w:r>
      <w:r w:rsidR="002A2E30" w:rsidRPr="008A4013">
        <w:t>, which appear to promote a “trickle down” equality</w:t>
      </w:r>
      <w:r w:rsidRPr="008A4013">
        <w:t xml:space="preserve"> </w:t>
      </w:r>
      <w:r w:rsidR="002A2E30" w:rsidRPr="008A4013">
        <w:t xml:space="preserve">that overlooks pervasive social </w:t>
      </w:r>
      <w:r w:rsidR="00C90213" w:rsidRPr="008A4013">
        <w:t>prejudice</w:t>
      </w:r>
      <w:r w:rsidR="002A2E30" w:rsidRPr="008A4013">
        <w:t xml:space="preserve"> beyond homophobia as creating barriers to a “better” life.</w:t>
      </w:r>
    </w:p>
    <w:p w14:paraId="78A63A57" w14:textId="641BE694" w:rsidR="00856AA0" w:rsidRPr="008A4013" w:rsidRDefault="00E66C91" w:rsidP="00C137CF">
      <w:pPr>
        <w:tabs>
          <w:tab w:val="left" w:pos="709"/>
        </w:tabs>
        <w:ind w:firstLine="0"/>
      </w:pPr>
      <w:r w:rsidRPr="008A4013">
        <w:tab/>
      </w:r>
      <w:r w:rsidR="00856AA0" w:rsidRPr="008A4013">
        <w:t xml:space="preserve">If Ong is right in asserting that “this neoliberal view of citizenship also has the moral support of evangelical Christian groups” </w:t>
      </w:r>
      <w:r w:rsidR="00D96CA5" w:rsidRPr="008A4013">
        <w:fldChar w:fldCharType="begin"/>
      </w:r>
      <w:r w:rsidR="00D96CA5" w:rsidRPr="008A4013">
        <w:instrText xml:space="preserve"> ADDIN EN.CITE &lt;EndNote&gt;&lt;Cite ExcludeAuth="1"&gt;&lt;Author&gt;Ong&lt;/Author&gt;&lt;Year&gt;2006&lt;/Year&gt;&lt;RecNum&gt;44&lt;/RecNum&gt;&lt;Pages&gt;2&lt;/Pages&gt;&lt;DisplayText&gt;(2006: 2)&lt;/DisplayText&gt;&lt;record&gt;&lt;rec-number&gt;44&lt;/rec-number&gt;&lt;foreign-keys&gt;&lt;key app="EN" db-id="x0x2x9vw3vz5wretwfnpsavdxe0w5pfpzees"&gt;44&lt;/key&gt;&lt;/foreign-keys&gt;&lt;ref-type name="Book"&gt;6&lt;/ref-type&gt;&lt;contributors&gt;&lt;authors&gt;&lt;author&gt;Aihwa Ong&lt;/author&gt;&lt;/authors&gt;&lt;/contributors&gt;&lt;titles&gt;&lt;title&gt;Neoliberalism as Exception: Mutations in Citizenship and Sovereignty&lt;/title&gt;&lt;/titles&gt;&lt;dates&gt;&lt;year&gt;2006&lt;/year&gt;&lt;/dates&gt;&lt;pub-location&gt;Durham&lt;/pub-location&gt;&lt;publisher&gt;Duke University Press&lt;/publisher&gt;&lt;urls&gt;&lt;/urls&gt;&lt;/record&gt;&lt;/Cite&gt;&lt;/EndNote&gt;</w:instrText>
      </w:r>
      <w:r w:rsidR="00D96CA5" w:rsidRPr="008A4013">
        <w:fldChar w:fldCharType="separate"/>
      </w:r>
      <w:r w:rsidR="00D96CA5" w:rsidRPr="008A4013">
        <w:rPr>
          <w:noProof/>
        </w:rPr>
        <w:t>(</w:t>
      </w:r>
      <w:hyperlink w:anchor="_ENREF_29" w:tooltip="Ong, 2006 #44" w:history="1">
        <w:r w:rsidR="00DE221F" w:rsidRPr="008A4013">
          <w:rPr>
            <w:noProof/>
          </w:rPr>
          <w:t>2006: 2</w:t>
        </w:r>
      </w:hyperlink>
      <w:r w:rsidR="00D96CA5" w:rsidRPr="008A4013">
        <w:rPr>
          <w:noProof/>
        </w:rPr>
        <w:t>)</w:t>
      </w:r>
      <w:r w:rsidR="00D96CA5" w:rsidRPr="008A4013">
        <w:fldChar w:fldCharType="end"/>
      </w:r>
      <w:r w:rsidR="00856AA0" w:rsidRPr="008A4013">
        <w:t>, it seems unlikely that the ostensible messages of hope offered by laypeople can really contest homophobic attitudes perpe</w:t>
      </w:r>
      <w:r w:rsidR="003A4F16" w:rsidRPr="008A4013">
        <w:t>tuated by the religious right: A</w:t>
      </w:r>
      <w:r w:rsidR="00856AA0" w:rsidRPr="008A4013">
        <w:t xml:space="preserve">ny appeal or effort to conform to a neoliberal model of the good citizen is doomed to fail on moral grounds since that message is already endorsed </w:t>
      </w:r>
      <w:r w:rsidR="00AD038D" w:rsidRPr="008A4013">
        <w:t>by conservative Christian politicians</w:t>
      </w:r>
      <w:r w:rsidR="00856AA0" w:rsidRPr="008A4013">
        <w:t>.</w:t>
      </w:r>
      <w:r w:rsidRPr="008A4013">
        <w:t xml:space="preserve"> </w:t>
      </w:r>
    </w:p>
    <w:p w14:paraId="587E3DAA" w14:textId="15A2701B" w:rsidR="003A4F16" w:rsidRPr="008A4013" w:rsidRDefault="00856AA0" w:rsidP="00C137CF">
      <w:pPr>
        <w:tabs>
          <w:tab w:val="left" w:pos="709"/>
        </w:tabs>
        <w:ind w:firstLine="0"/>
      </w:pPr>
      <w:r w:rsidRPr="008A4013">
        <w:tab/>
      </w:r>
      <w:r w:rsidR="007030D0" w:rsidRPr="008A4013">
        <w:t xml:space="preserve">However, for those speaking on behalf of faith-based </w:t>
      </w:r>
      <w:r w:rsidR="008F1A59" w:rsidRPr="008A4013">
        <w:t>organizations</w:t>
      </w:r>
      <w:r w:rsidR="001E2721" w:rsidRPr="008A4013">
        <w:t xml:space="preserve">, emphasis is conversely placed on “you” the listener, who is encouraged to be active in the transformation of his or her life circumstances. These speakers are more likely to note other oppressed peoples and agitate for broad, social change rather than individual escapism. </w:t>
      </w:r>
      <w:r w:rsidR="007030D0" w:rsidRPr="008A4013">
        <w:t>As such, t</w:t>
      </w:r>
      <w:r w:rsidR="001E2721" w:rsidRPr="008A4013">
        <w:t xml:space="preserve">hey refute neoliberal ideological standpoints while also actively challenging and opposing homophobic attitudes, religiously or otherwise informed. </w:t>
      </w:r>
      <w:r w:rsidR="00B227F4" w:rsidRPr="008A4013">
        <w:t xml:space="preserve">While the theological bent of their </w:t>
      </w:r>
      <w:r w:rsidR="00B227F4" w:rsidRPr="008A4013">
        <w:lastRenderedPageBreak/>
        <w:t>argument might not appeal to all target listeners, their advocacy of social transformation tow</w:t>
      </w:r>
      <w:r w:rsidR="008F1A59" w:rsidRPr="008A4013">
        <w:t>ards genuine acceptance of LGBT</w:t>
      </w:r>
      <w:r w:rsidR="00B227F4" w:rsidRPr="008A4013">
        <w:t xml:space="preserve"> people, rather than individual escape to an ostensibly gay-friendly environ is notably different. It suggests that the IGBP, and perhaps other mainstream gay rights movement which appear to </w:t>
      </w:r>
      <w:r w:rsidR="008F1A59" w:rsidRPr="008A4013">
        <w:t>emphasize</w:t>
      </w:r>
      <w:r w:rsidR="000D1888" w:rsidRPr="008A4013">
        <w:t>,</w:t>
      </w:r>
      <w:r w:rsidR="00B227F4" w:rsidRPr="008A4013">
        <w:t xml:space="preserve"> at first blush, </w:t>
      </w:r>
      <w:r w:rsidR="000D1888" w:rsidRPr="008A4013">
        <w:t>social rec</w:t>
      </w:r>
      <w:r w:rsidR="008F1A59" w:rsidRPr="008A4013">
        <w:t>ognition and acceptance of normative LGBT</w:t>
      </w:r>
      <w:r w:rsidR="000D1888" w:rsidRPr="008A4013">
        <w:t xml:space="preserve"> </w:t>
      </w:r>
      <w:r w:rsidR="008F1A59" w:rsidRPr="008A4013">
        <w:t xml:space="preserve">lives </w:t>
      </w:r>
      <w:r w:rsidR="000D1888" w:rsidRPr="008A4013">
        <w:t xml:space="preserve">over </w:t>
      </w:r>
      <w:r w:rsidR="008F1A59" w:rsidRPr="008A4013">
        <w:t xml:space="preserve">broader </w:t>
      </w:r>
      <w:r w:rsidR="000D1888" w:rsidRPr="008A4013">
        <w:t>social justice</w:t>
      </w:r>
      <w:r w:rsidR="008F1A59" w:rsidRPr="008A4013">
        <w:t>s</w:t>
      </w:r>
      <w:r w:rsidR="00B227F4" w:rsidRPr="008A4013">
        <w:t xml:space="preserve">, might </w:t>
      </w:r>
      <w:r w:rsidR="008F1A59" w:rsidRPr="008A4013">
        <w:t>also create</w:t>
      </w:r>
      <w:r w:rsidR="00F61430" w:rsidRPr="008A4013">
        <w:t xml:space="preserve"> space for a politics </w:t>
      </w:r>
      <w:r w:rsidR="008F1A59" w:rsidRPr="008A4013">
        <w:t xml:space="preserve">of redistribution, a coupling </w:t>
      </w:r>
      <w:r w:rsidR="00F61430" w:rsidRPr="008A4013">
        <w:t>Nancy Fraser</w:t>
      </w:r>
      <w:r w:rsidR="000D1888" w:rsidRPr="008A4013">
        <w:t xml:space="preserve"> </w:t>
      </w:r>
      <w:r w:rsidR="008248C7" w:rsidRPr="008A4013">
        <w:fldChar w:fldCharType="begin"/>
      </w:r>
      <w:r w:rsidR="000D1888" w:rsidRPr="008A4013">
        <w:instrText xml:space="preserve"> ADDIN EN.CITE &lt;EndNote&gt;&lt;Cite ExcludeAuth="1"&gt;&lt;Author&gt;Fraser&lt;/Author&gt;&lt;Year&gt;2000&lt;/Year&gt;&lt;RecNum&gt;282&lt;/RecNum&gt;&lt;DisplayText&gt;(2000)&lt;/DisplayText&gt;&lt;record&gt;&lt;rec-number&gt;282&lt;/rec-number&gt;&lt;foreign-keys&gt;&lt;key app="EN" db-id="x0x2x9vw3vz5wretwfnpsavdxe0w5pfpzees"&gt;282&lt;/key&gt;&lt;/foreign-keys&gt;&lt;ref-type name="Magazine Article"&gt;19&lt;/ref-type&gt;&lt;contributors&gt;&lt;authors&gt;&lt;author&gt;Fraser, Nancy&lt;/author&gt;&lt;/authors&gt;&lt;/contributors&gt;&lt;titles&gt;&lt;title&gt;Rethinking Recognition&lt;/title&gt;&lt;secondary-title&gt;New Left Review&lt;/secondary-title&gt;&lt;/titles&gt;&lt;pages&gt;107-120&lt;/pages&gt;&lt;volume&gt;3&lt;/volume&gt;&lt;dates&gt;&lt;year&gt;2000&lt;/year&gt;&lt;pub-dates&gt;&lt;date&gt;May-June, 2000&lt;/date&gt;&lt;/pub-dates&gt;&lt;/dates&gt;&lt;pub-location&gt;London&lt;/pub-location&gt;&lt;urls&gt;&lt;/urls&gt;&lt;/record&gt;&lt;/Cite&gt;&lt;/EndNote&gt;</w:instrText>
      </w:r>
      <w:r w:rsidR="008248C7" w:rsidRPr="008A4013">
        <w:fldChar w:fldCharType="separate"/>
      </w:r>
      <w:r w:rsidR="000D1888" w:rsidRPr="008A4013">
        <w:rPr>
          <w:noProof/>
        </w:rPr>
        <w:t>(</w:t>
      </w:r>
      <w:hyperlink w:anchor="_ENREF_13" w:tooltip="Fraser, 2000 #282" w:history="1">
        <w:r w:rsidR="00DE221F" w:rsidRPr="008A4013">
          <w:rPr>
            <w:noProof/>
          </w:rPr>
          <w:t>2000</w:t>
        </w:r>
      </w:hyperlink>
      <w:r w:rsidR="000D1888" w:rsidRPr="008A4013">
        <w:rPr>
          <w:noProof/>
        </w:rPr>
        <w:t>)</w:t>
      </w:r>
      <w:r w:rsidR="008248C7" w:rsidRPr="008A4013">
        <w:fldChar w:fldCharType="end"/>
      </w:r>
      <w:r w:rsidR="00F61430" w:rsidRPr="008A4013">
        <w:t xml:space="preserve"> suggests </w:t>
      </w:r>
      <w:r w:rsidR="000D1888" w:rsidRPr="008A4013">
        <w:t>is</w:t>
      </w:r>
      <w:r w:rsidR="003A4F16" w:rsidRPr="008A4013">
        <w:t xml:space="preserve"> politically</w:t>
      </w:r>
      <w:r w:rsidR="000D1888" w:rsidRPr="008A4013">
        <w:t xml:space="preserve"> necessary, </w:t>
      </w:r>
      <w:r w:rsidR="008F1A59" w:rsidRPr="008A4013">
        <w:t>while “queering</w:t>
      </w:r>
      <w:r w:rsidR="000D1888" w:rsidRPr="008A4013">
        <w:t xml:space="preserve">” </w:t>
      </w:r>
      <w:r w:rsidR="008F1A59" w:rsidRPr="008A4013">
        <w:t>societal norms</w:t>
      </w:r>
      <w:r w:rsidR="000D1888" w:rsidRPr="008A4013">
        <w:t xml:space="preserve"> in unexpected ways. </w:t>
      </w:r>
    </w:p>
    <w:p w14:paraId="0B385B58" w14:textId="3497CE61" w:rsidR="00506E75" w:rsidRPr="008A4013" w:rsidRDefault="003A4F16" w:rsidP="00C137CF">
      <w:pPr>
        <w:tabs>
          <w:tab w:val="left" w:pos="709"/>
        </w:tabs>
        <w:ind w:firstLine="0"/>
      </w:pPr>
      <w:r w:rsidRPr="008A4013">
        <w:tab/>
      </w:r>
      <w:r w:rsidR="00F61430" w:rsidRPr="008A4013">
        <w:t xml:space="preserve">As it stands, the balance between a neoliberal </w:t>
      </w:r>
      <w:r w:rsidR="009A5E83" w:rsidRPr="008A4013">
        <w:t>propensity</w:t>
      </w:r>
      <w:r w:rsidR="00F61430" w:rsidRPr="008A4013">
        <w:t xml:space="preserve"> for recognition and a more socially minded call for redistribution of rights, wealth and opportunity is not quite even: in the sample </w:t>
      </w:r>
      <w:r w:rsidR="008F1A59" w:rsidRPr="008A4013">
        <w:t>analyzed</w:t>
      </w:r>
      <w:r w:rsidR="00F61430" w:rsidRPr="008A4013">
        <w:t xml:space="preserve"> herein, laypeople outnumbered spokespeople two to one.</w:t>
      </w:r>
      <w:r w:rsidR="009E0F8C" w:rsidRPr="008A4013">
        <w:t xml:space="preserve"> </w:t>
      </w:r>
      <w:r w:rsidR="00EF5240" w:rsidRPr="008A4013">
        <w:t xml:space="preserve">Yet there is enough evidence to suggest, </w:t>
      </w:r>
      <w:r w:rsidR="008F1A59" w:rsidRPr="008A4013">
        <w:t>as</w:t>
      </w:r>
      <w:r w:rsidR="00EF5240" w:rsidRPr="008A4013">
        <w:t xml:space="preserve"> </w:t>
      </w:r>
      <w:r w:rsidR="00506E75" w:rsidRPr="008A4013">
        <w:t xml:space="preserve">Leitner, Sheppard </w:t>
      </w:r>
      <w:r w:rsidR="00506E75" w:rsidRPr="008A4013">
        <w:rPr>
          <w:i/>
        </w:rPr>
        <w:t>et al.</w:t>
      </w:r>
      <w:r w:rsidR="008F1A59" w:rsidRPr="008A4013">
        <w:t xml:space="preserve"> conclude</w:t>
      </w:r>
      <w:r w:rsidR="00506E75" w:rsidRPr="008A4013">
        <w:t xml:space="preserve"> regarding co</w:t>
      </w:r>
      <w:r w:rsidR="00EB7E13" w:rsidRPr="008A4013">
        <w:t xml:space="preserve">ntestations to neoliberalism’s </w:t>
      </w:r>
      <w:r w:rsidR="00506E75" w:rsidRPr="008A4013">
        <w:t>near-hegemonic grip</w:t>
      </w:r>
      <w:r w:rsidR="00EF5240" w:rsidRPr="008A4013">
        <w:t>, that</w:t>
      </w:r>
      <w:r w:rsidR="00506E75" w:rsidRPr="008A4013">
        <w:t xml:space="preserve">: “Revolution often occurs when least expected” </w:t>
      </w:r>
      <w:r w:rsidR="00D96CA5" w:rsidRPr="008A4013">
        <w:fldChar w:fldCharType="begin"/>
      </w:r>
      <w:r w:rsidR="00841C69" w:rsidRPr="008A4013">
        <w:instrText xml:space="preserve"> ADDIN EN.CITE &lt;EndNote&gt;&lt;Cite ExcludeAuth="1"&gt;&lt;Author&gt;Leitner&lt;/Author&gt;&lt;Year&gt;2003&lt;/Year&gt;&lt;RecNum&gt;43&lt;/RecNum&gt;&lt;Pages&gt;22&lt;/Pages&gt;&lt;DisplayText&gt;(2003: 22)&lt;/DisplayText&gt;&lt;record&gt;&lt;rec-number&gt;43&lt;/rec-number&gt;&lt;foreign-keys&gt;&lt;key app="EN" db-id="x0x2x9vw3vz5wretwfnpsavdxe0w5pfpzees"&gt;43&lt;/key&gt;&lt;/foreign-keys&gt;&lt;ref-type name="Book Section"&gt;5&lt;/ref-type&gt;&lt;contributors&gt;&lt;authors&gt;&lt;author&gt;Leitner, Helga&lt;/author&gt;&lt;author&gt;Sheppard, Eric&lt;/author&gt;&lt;author&gt;Sziarto, Kristen&lt;/author&gt;&lt;author&gt;Mariganti, Anant&lt;/author&gt;&lt;/authors&gt;&lt;secondary-authors&gt;&lt;author&gt;Helga Leitner, Jamie Peck and Eric Sheppard&lt;/author&gt;&lt;/secondary-authors&gt;&lt;/contributors&gt;&lt;titles&gt;&lt;title&gt;Contesting urban futures: Decentering neoliberalism&lt;/title&gt;&lt;secondary-title&gt;Contesting Neoliberalism: Urban Frontiers&lt;/secondary-title&gt;&lt;/titles&gt;&lt;pages&gt;1-25&lt;/pages&gt;&lt;dates&gt;&lt;year&gt;2003&lt;/year&gt;&lt;/dates&gt;&lt;pub-location&gt;New York&lt;/pub-location&gt;&lt;publisher&gt;Guilford Press&lt;/publisher&gt;&lt;urls&gt;&lt;/urls&gt;&lt;/record&gt;&lt;/Cite&gt;&lt;/EndNote&gt;</w:instrText>
      </w:r>
      <w:r w:rsidR="00D96CA5" w:rsidRPr="008A4013">
        <w:fldChar w:fldCharType="separate"/>
      </w:r>
      <w:r w:rsidR="00841C69" w:rsidRPr="008A4013">
        <w:rPr>
          <w:noProof/>
        </w:rPr>
        <w:t>(</w:t>
      </w:r>
      <w:hyperlink w:anchor="_ENREF_24" w:tooltip="Leitner, 2003 #43" w:history="1">
        <w:r w:rsidR="00DE221F" w:rsidRPr="008A4013">
          <w:rPr>
            <w:noProof/>
          </w:rPr>
          <w:t>2003: 22</w:t>
        </w:r>
      </w:hyperlink>
      <w:r w:rsidR="00841C69" w:rsidRPr="008A4013">
        <w:rPr>
          <w:noProof/>
        </w:rPr>
        <w:t>)</w:t>
      </w:r>
      <w:r w:rsidR="00D96CA5" w:rsidRPr="008A4013">
        <w:fldChar w:fldCharType="end"/>
      </w:r>
      <w:r w:rsidR="00506E75" w:rsidRPr="008A4013">
        <w:t>. I agree: this study implies th</w:t>
      </w:r>
      <w:r w:rsidR="00EF5240" w:rsidRPr="008A4013">
        <w:t xml:space="preserve">at </w:t>
      </w:r>
      <w:r w:rsidR="0026793F" w:rsidRPr="008A4013">
        <w:t xml:space="preserve">spokespeople for </w:t>
      </w:r>
      <w:r w:rsidR="00EF5240" w:rsidRPr="008A4013">
        <w:t xml:space="preserve">faith-based </w:t>
      </w:r>
      <w:r w:rsidR="00946CB6" w:rsidRPr="008A4013">
        <w:t>organizations</w:t>
      </w:r>
      <w:r w:rsidR="00EF5240" w:rsidRPr="008A4013">
        <w:t xml:space="preserve"> </w:t>
      </w:r>
      <w:r w:rsidR="0026793F" w:rsidRPr="008A4013">
        <w:t>might</w:t>
      </w:r>
      <w:r w:rsidR="00506E75" w:rsidRPr="008A4013">
        <w:t xml:space="preserve"> offer </w:t>
      </w:r>
      <w:r w:rsidR="00EF5240" w:rsidRPr="008A4013">
        <w:t xml:space="preserve">an important </w:t>
      </w:r>
      <w:r w:rsidR="00506E75" w:rsidRPr="008A4013">
        <w:t xml:space="preserve">riposte to homophobic discourses </w:t>
      </w:r>
      <w:r w:rsidR="00EF5240" w:rsidRPr="008A4013">
        <w:t>steeped</w:t>
      </w:r>
      <w:r w:rsidR="00506E75" w:rsidRPr="008A4013">
        <w:t xml:space="preserve"> in religious rhetoric</w:t>
      </w:r>
      <w:r w:rsidR="00EF5240" w:rsidRPr="008A4013">
        <w:t xml:space="preserve">, while </w:t>
      </w:r>
      <w:r w:rsidR="0026793F" w:rsidRPr="008A4013">
        <w:t xml:space="preserve">also </w:t>
      </w:r>
      <w:r w:rsidR="009E0F8C" w:rsidRPr="008A4013">
        <w:t xml:space="preserve">potentially </w:t>
      </w:r>
      <w:r w:rsidR="00EF5240" w:rsidRPr="008A4013">
        <w:t xml:space="preserve">creating space for </w:t>
      </w:r>
      <w:r w:rsidR="009E0F8C" w:rsidRPr="008A4013">
        <w:t>more imaginative and accessible conceptions of “better” than neoliberalism allows</w:t>
      </w:r>
      <w:r w:rsidR="00506E75" w:rsidRPr="008A4013">
        <w:t>. It is a reassuring irony.</w:t>
      </w:r>
    </w:p>
    <w:p w14:paraId="6C75BF08" w14:textId="0444584C" w:rsidR="001E2721" w:rsidRPr="008A4013" w:rsidRDefault="001E2721" w:rsidP="00C137CF">
      <w:pPr>
        <w:spacing w:line="240" w:lineRule="auto"/>
        <w:ind w:firstLine="0"/>
      </w:pPr>
      <w:r w:rsidRPr="008A4013">
        <w:br w:type="page"/>
      </w:r>
    </w:p>
    <w:p w14:paraId="1E143208" w14:textId="5482A94A" w:rsidR="007030D0" w:rsidRPr="008A4013" w:rsidRDefault="007030D0" w:rsidP="006859C5">
      <w:pPr>
        <w:pStyle w:val="EndNoteBi"/>
        <w:rPr>
          <w:b/>
        </w:rPr>
      </w:pPr>
      <w:r w:rsidRPr="008A4013">
        <w:rPr>
          <w:b/>
        </w:rPr>
        <w:lastRenderedPageBreak/>
        <w:t>Bibliography</w:t>
      </w:r>
    </w:p>
    <w:p w14:paraId="3FD1E532" w14:textId="77777777" w:rsidR="00DE221F" w:rsidRPr="00DE221F" w:rsidRDefault="008248C7" w:rsidP="00DE221F">
      <w:pPr>
        <w:pStyle w:val="EndNoteBi"/>
        <w:spacing w:after="360"/>
        <w:rPr>
          <w:rFonts w:ascii="Times" w:hAnsi="Times"/>
          <w:noProof/>
        </w:rPr>
      </w:pPr>
      <w:r w:rsidRPr="008A4013">
        <w:fldChar w:fldCharType="begin"/>
      </w:r>
      <w:r w:rsidR="001E2721" w:rsidRPr="008A4013">
        <w:instrText xml:space="preserve"> ADDIN EN.REFLIST </w:instrText>
      </w:r>
      <w:r w:rsidRPr="008A4013">
        <w:fldChar w:fldCharType="separate"/>
      </w:r>
      <w:bookmarkStart w:id="1" w:name="_ENREF_1"/>
      <w:r w:rsidR="00DE221F" w:rsidRPr="00DE221F">
        <w:rPr>
          <w:rFonts w:ascii="Times" w:hAnsi="Times"/>
          <w:noProof/>
        </w:rPr>
        <w:t xml:space="preserve">Ahearn, Laura. 2012. </w:t>
      </w:r>
      <w:r w:rsidR="00DE221F" w:rsidRPr="00DE221F">
        <w:rPr>
          <w:rFonts w:ascii="Times" w:hAnsi="Times"/>
          <w:i/>
          <w:noProof/>
        </w:rPr>
        <w:t>Living Language: An Introduction to Linguistic Anthropology</w:t>
      </w:r>
      <w:r w:rsidR="00DE221F" w:rsidRPr="00DE221F">
        <w:rPr>
          <w:rFonts w:ascii="Times" w:hAnsi="Times"/>
          <w:noProof/>
        </w:rPr>
        <w:t>. Malden MA: Blackwell.</w:t>
      </w:r>
      <w:bookmarkEnd w:id="1"/>
    </w:p>
    <w:p w14:paraId="7DBFA066" w14:textId="77777777" w:rsidR="00DE221F" w:rsidRPr="00DE221F" w:rsidRDefault="00DE221F" w:rsidP="00DE221F">
      <w:pPr>
        <w:pStyle w:val="EndNoteBi"/>
        <w:spacing w:after="360"/>
        <w:rPr>
          <w:rFonts w:ascii="Times" w:hAnsi="Times"/>
          <w:noProof/>
        </w:rPr>
      </w:pPr>
      <w:bookmarkStart w:id="2" w:name="_ENREF_2"/>
      <w:r w:rsidRPr="00DE221F">
        <w:rPr>
          <w:rFonts w:ascii="Times" w:hAnsi="Times"/>
          <w:noProof/>
        </w:rPr>
        <w:t xml:space="preserve">Althusser, Louis. 1971. Ideology and ideological state apparatus (notes toward an investigation). In </w:t>
      </w:r>
      <w:r w:rsidRPr="00DE221F">
        <w:rPr>
          <w:rFonts w:ascii="Times" w:hAnsi="Times"/>
          <w:i/>
          <w:noProof/>
        </w:rPr>
        <w:t>Lenin and Philosophy and Other Essays</w:t>
      </w:r>
      <w:r w:rsidRPr="00DE221F">
        <w:rPr>
          <w:rFonts w:ascii="Times" w:hAnsi="Times"/>
          <w:noProof/>
        </w:rPr>
        <w:t>. 127-186. New York: Monthly Review Press.</w:t>
      </w:r>
      <w:bookmarkEnd w:id="2"/>
    </w:p>
    <w:p w14:paraId="72FDE5D6" w14:textId="77777777" w:rsidR="00DE221F" w:rsidRPr="00DE221F" w:rsidRDefault="00DE221F" w:rsidP="00DE221F">
      <w:pPr>
        <w:pStyle w:val="EndNoteBi"/>
        <w:spacing w:after="360"/>
        <w:rPr>
          <w:rFonts w:ascii="Times" w:hAnsi="Times"/>
          <w:noProof/>
        </w:rPr>
      </w:pPr>
      <w:bookmarkStart w:id="3" w:name="_ENREF_3"/>
      <w:r w:rsidRPr="00DE221F">
        <w:rPr>
          <w:rFonts w:ascii="Times" w:hAnsi="Times"/>
          <w:noProof/>
        </w:rPr>
        <w:t xml:space="preserve">Baker, Paul. 2008. “Eligible” bachelors and “frustrated’ spinsters: Corpus linguistics, gender and language. In </w:t>
      </w:r>
      <w:r w:rsidRPr="00DE221F">
        <w:rPr>
          <w:rFonts w:ascii="Times" w:hAnsi="Times"/>
          <w:i/>
          <w:noProof/>
        </w:rPr>
        <w:t>Gender and Language Research Methodologies</w:t>
      </w:r>
      <w:r w:rsidRPr="00DE221F">
        <w:rPr>
          <w:rFonts w:ascii="Times" w:hAnsi="Times"/>
          <w:noProof/>
        </w:rPr>
        <w:t>. K. Harrington, L. Litosseliti, H. Sauntson &amp; J. Sunderland, (eds). 73-87. London: Palgrave.</w:t>
      </w:r>
      <w:bookmarkEnd w:id="3"/>
    </w:p>
    <w:p w14:paraId="4226C829" w14:textId="77777777" w:rsidR="00DE221F" w:rsidRPr="00DE221F" w:rsidRDefault="00DE221F" w:rsidP="00DE221F">
      <w:pPr>
        <w:pStyle w:val="EndNoteBi"/>
        <w:spacing w:after="360"/>
        <w:rPr>
          <w:rFonts w:ascii="Times" w:hAnsi="Times"/>
          <w:noProof/>
        </w:rPr>
      </w:pPr>
      <w:bookmarkStart w:id="4" w:name="_ENREF_4"/>
      <w:r w:rsidRPr="00DE221F">
        <w:rPr>
          <w:rFonts w:ascii="Times" w:hAnsi="Times"/>
          <w:noProof/>
        </w:rPr>
        <w:t xml:space="preserve">Boellstorff, Tom. 2007. When marriage falls: Queer coincidences in straight time. </w:t>
      </w:r>
      <w:r w:rsidRPr="00DE221F">
        <w:rPr>
          <w:rFonts w:ascii="Times" w:hAnsi="Times"/>
          <w:i/>
          <w:noProof/>
        </w:rPr>
        <w:t>Gay and Lesbian Quarterly</w:t>
      </w:r>
      <w:r w:rsidRPr="00DE221F">
        <w:rPr>
          <w:rFonts w:ascii="Times" w:hAnsi="Times"/>
          <w:noProof/>
        </w:rPr>
        <w:t xml:space="preserve"> 13(2-3): 227-248.</w:t>
      </w:r>
      <w:bookmarkEnd w:id="4"/>
    </w:p>
    <w:p w14:paraId="6C8E6FDF" w14:textId="77777777" w:rsidR="00DE221F" w:rsidRPr="00DE221F" w:rsidRDefault="00DE221F" w:rsidP="00DE221F">
      <w:pPr>
        <w:pStyle w:val="EndNoteBi"/>
        <w:spacing w:after="360"/>
        <w:rPr>
          <w:rFonts w:ascii="Times" w:hAnsi="Times"/>
          <w:noProof/>
        </w:rPr>
      </w:pPr>
      <w:bookmarkStart w:id="5" w:name="_ENREF_5"/>
      <w:r w:rsidRPr="00DE221F">
        <w:rPr>
          <w:rFonts w:ascii="Times" w:hAnsi="Times"/>
          <w:noProof/>
        </w:rPr>
        <w:t xml:space="preserve">Brown, Gavin. 2012. Homonormativity: A metropolitan concept that denigrates ordinary gay lives. </w:t>
      </w:r>
      <w:r w:rsidRPr="00DE221F">
        <w:rPr>
          <w:rFonts w:ascii="Times" w:hAnsi="Times"/>
          <w:i/>
          <w:noProof/>
        </w:rPr>
        <w:t>Journal of Homosexuality</w:t>
      </w:r>
      <w:r w:rsidRPr="00DE221F">
        <w:rPr>
          <w:rFonts w:ascii="Times" w:hAnsi="Times"/>
          <w:noProof/>
        </w:rPr>
        <w:t xml:space="preserve"> 59(7): 1065-1072.</w:t>
      </w:r>
      <w:bookmarkEnd w:id="5"/>
    </w:p>
    <w:p w14:paraId="1020FDD2" w14:textId="77777777" w:rsidR="00DE221F" w:rsidRPr="00DE221F" w:rsidRDefault="00DE221F" w:rsidP="00DE221F">
      <w:pPr>
        <w:pStyle w:val="EndNoteBi"/>
        <w:spacing w:after="360"/>
        <w:rPr>
          <w:rFonts w:ascii="Times" w:hAnsi="Times"/>
          <w:noProof/>
        </w:rPr>
      </w:pPr>
      <w:bookmarkStart w:id="6" w:name="_ENREF_6"/>
      <w:r w:rsidRPr="00DE221F">
        <w:rPr>
          <w:rFonts w:ascii="Times" w:hAnsi="Times"/>
          <w:noProof/>
        </w:rPr>
        <w:t xml:space="preserve">Decena, Carlos Ulises. 2008. Tacit subjects. </w:t>
      </w:r>
      <w:r w:rsidRPr="00DE221F">
        <w:rPr>
          <w:rFonts w:ascii="Times" w:hAnsi="Times"/>
          <w:i/>
          <w:noProof/>
        </w:rPr>
        <w:t>Gay and Lesbian Quarterly</w:t>
      </w:r>
      <w:r w:rsidRPr="00DE221F">
        <w:rPr>
          <w:rFonts w:ascii="Times" w:hAnsi="Times"/>
          <w:noProof/>
        </w:rPr>
        <w:t xml:space="preserve"> 14(2-3): 339-359.</w:t>
      </w:r>
      <w:bookmarkEnd w:id="6"/>
    </w:p>
    <w:p w14:paraId="30A53E6A" w14:textId="20052ED0" w:rsidR="00DE221F" w:rsidRPr="00DE221F" w:rsidRDefault="00DE221F" w:rsidP="00DE221F">
      <w:pPr>
        <w:pStyle w:val="EndNoteBi"/>
        <w:spacing w:after="360"/>
        <w:rPr>
          <w:rFonts w:ascii="Times" w:hAnsi="Times"/>
          <w:noProof/>
        </w:rPr>
      </w:pPr>
      <w:bookmarkStart w:id="7" w:name="_ENREF_7"/>
      <w:r w:rsidRPr="00DE221F">
        <w:rPr>
          <w:rFonts w:ascii="Times" w:hAnsi="Times"/>
          <w:noProof/>
        </w:rPr>
        <w:t xml:space="preserve">Donaldson, Rob. 2012. RGOD2: What LGBT people might expect from a Mormon president. </w:t>
      </w:r>
      <w:r w:rsidRPr="00DE221F">
        <w:rPr>
          <w:rFonts w:ascii="Times" w:hAnsi="Times"/>
          <w:i/>
          <w:noProof/>
        </w:rPr>
        <w:t>San Diego Gay and Lesbian News</w:t>
      </w:r>
      <w:r w:rsidRPr="00DE221F">
        <w:rPr>
          <w:rFonts w:ascii="Times" w:hAnsi="Times"/>
          <w:noProof/>
        </w:rPr>
        <w:t>. April 20, 2012. &lt;</w:t>
      </w:r>
      <w:hyperlink r:id="rId9" w:history="1">
        <w:r w:rsidRPr="00DE221F">
          <w:rPr>
            <w:rStyle w:val="Hyperlink"/>
            <w:noProof/>
          </w:rPr>
          <w:t>http://www.sdgln.com/social/2012/04/20/rgod2-what-lgbt-people-might-expect-mormon-president-mitt-romney</w:t>
        </w:r>
      </w:hyperlink>
      <w:r w:rsidRPr="00DE221F">
        <w:rPr>
          <w:rFonts w:ascii="Times" w:hAnsi="Times"/>
          <w:noProof/>
        </w:rPr>
        <w:t>&gt; (April 20, 2012)</w:t>
      </w:r>
      <w:bookmarkEnd w:id="7"/>
    </w:p>
    <w:p w14:paraId="72AA1AE8" w14:textId="77777777" w:rsidR="00DE221F" w:rsidRPr="00DE221F" w:rsidRDefault="00DE221F" w:rsidP="00DE221F">
      <w:pPr>
        <w:pStyle w:val="EndNoteBi"/>
        <w:spacing w:after="360"/>
        <w:rPr>
          <w:rFonts w:ascii="Times" w:hAnsi="Times"/>
          <w:noProof/>
        </w:rPr>
      </w:pPr>
      <w:bookmarkStart w:id="8" w:name="_ENREF_8"/>
      <w:r w:rsidRPr="00DE221F">
        <w:rPr>
          <w:rFonts w:ascii="Times" w:hAnsi="Times"/>
          <w:noProof/>
        </w:rPr>
        <w:t xml:space="preserve">Duggan, Lisa. 2002. The new homormativity: The sexual politics of neoliberalism. In </w:t>
      </w:r>
      <w:r w:rsidRPr="00DE221F">
        <w:rPr>
          <w:rFonts w:ascii="Times" w:hAnsi="Times"/>
          <w:i/>
          <w:noProof/>
        </w:rPr>
        <w:t>Materializing Democracy: Toward a Revitalized Cultural Politics</w:t>
      </w:r>
      <w:r w:rsidRPr="00DE221F">
        <w:rPr>
          <w:rFonts w:ascii="Times" w:hAnsi="Times"/>
          <w:noProof/>
        </w:rPr>
        <w:t>. R. Castronovo &amp; D.D. Nelson, (eds). Durham, NC: Duke University Press.</w:t>
      </w:r>
      <w:bookmarkEnd w:id="8"/>
    </w:p>
    <w:p w14:paraId="150A281B" w14:textId="77777777" w:rsidR="00DE221F" w:rsidRPr="00DE221F" w:rsidRDefault="00DE221F" w:rsidP="00DE221F">
      <w:pPr>
        <w:pStyle w:val="EndNoteBi"/>
        <w:spacing w:after="360"/>
        <w:rPr>
          <w:rFonts w:ascii="Times" w:hAnsi="Times"/>
          <w:noProof/>
        </w:rPr>
      </w:pPr>
      <w:bookmarkStart w:id="9" w:name="_ENREF_9"/>
      <w:r w:rsidRPr="00DE221F">
        <w:rPr>
          <w:rFonts w:ascii="Times" w:hAnsi="Times"/>
          <w:noProof/>
        </w:rPr>
        <w:t xml:space="preserve">Earle, Sarah &amp; Sharp, Keith. 2007. </w:t>
      </w:r>
      <w:r w:rsidRPr="00DE221F">
        <w:rPr>
          <w:rFonts w:ascii="Times" w:hAnsi="Times"/>
          <w:i/>
          <w:noProof/>
        </w:rPr>
        <w:t>Sex in Cyberspace: Men Who Pay for Sex</w:t>
      </w:r>
      <w:r w:rsidRPr="00DE221F">
        <w:rPr>
          <w:rFonts w:ascii="Times" w:hAnsi="Times"/>
          <w:noProof/>
        </w:rPr>
        <w:t>. Aldershot: Ashgate.</w:t>
      </w:r>
      <w:bookmarkEnd w:id="9"/>
    </w:p>
    <w:p w14:paraId="1AC9BE6A" w14:textId="77777777" w:rsidR="00DE221F" w:rsidRPr="00DE221F" w:rsidRDefault="00DE221F" w:rsidP="00DE221F">
      <w:pPr>
        <w:pStyle w:val="EndNoteBi"/>
        <w:spacing w:after="360"/>
        <w:rPr>
          <w:rFonts w:ascii="Times" w:hAnsi="Times"/>
          <w:noProof/>
        </w:rPr>
      </w:pPr>
      <w:bookmarkStart w:id="10" w:name="_ENREF_10"/>
      <w:r w:rsidRPr="00DE221F">
        <w:rPr>
          <w:rFonts w:ascii="Times" w:hAnsi="Times"/>
          <w:noProof/>
        </w:rPr>
        <w:t xml:space="preserve">Fairclough, Norman. 2003. </w:t>
      </w:r>
      <w:r w:rsidRPr="00DE221F">
        <w:rPr>
          <w:rFonts w:ascii="Times" w:hAnsi="Times"/>
          <w:i/>
          <w:noProof/>
        </w:rPr>
        <w:t>Analysing Discourse: Textual analysis for social research</w:t>
      </w:r>
      <w:r w:rsidRPr="00DE221F">
        <w:rPr>
          <w:rFonts w:ascii="Times" w:hAnsi="Times"/>
          <w:noProof/>
        </w:rPr>
        <w:t>. London and New York: Routledge.</w:t>
      </w:r>
      <w:bookmarkEnd w:id="10"/>
    </w:p>
    <w:p w14:paraId="6DD20A8E" w14:textId="77777777" w:rsidR="00DE221F" w:rsidRPr="00DE221F" w:rsidRDefault="00DE221F" w:rsidP="00DE221F">
      <w:pPr>
        <w:pStyle w:val="EndNoteBi"/>
        <w:spacing w:after="360"/>
        <w:rPr>
          <w:rFonts w:ascii="Times" w:hAnsi="Times"/>
          <w:noProof/>
        </w:rPr>
      </w:pPr>
      <w:bookmarkStart w:id="11" w:name="_ENREF_11"/>
      <w:r w:rsidRPr="00DE221F">
        <w:rPr>
          <w:rFonts w:ascii="Times" w:hAnsi="Times"/>
          <w:noProof/>
        </w:rPr>
        <w:t xml:space="preserve">—. 2012. Critical discourse analysis. In </w:t>
      </w:r>
      <w:r w:rsidRPr="00DE221F">
        <w:rPr>
          <w:rFonts w:ascii="Times" w:hAnsi="Times"/>
          <w:i/>
          <w:noProof/>
        </w:rPr>
        <w:t>The Routledge Handbook of Discourse Analysis</w:t>
      </w:r>
      <w:r w:rsidRPr="00DE221F">
        <w:rPr>
          <w:rFonts w:ascii="Times" w:hAnsi="Times"/>
          <w:noProof/>
        </w:rPr>
        <w:t>. J.P. Gee &amp; M. Haniford, (eds). 9-20. London: Routledge.</w:t>
      </w:r>
      <w:bookmarkEnd w:id="11"/>
    </w:p>
    <w:p w14:paraId="7406D259" w14:textId="7FB4D1D8" w:rsidR="00DE221F" w:rsidRPr="00DE221F" w:rsidRDefault="00DE221F" w:rsidP="00DE221F">
      <w:pPr>
        <w:pStyle w:val="EndNoteBi"/>
        <w:spacing w:after="360"/>
        <w:rPr>
          <w:rFonts w:ascii="Times" w:hAnsi="Times"/>
          <w:noProof/>
        </w:rPr>
      </w:pPr>
      <w:bookmarkStart w:id="12" w:name="_ENREF_12"/>
      <w:r w:rsidRPr="00DE221F">
        <w:rPr>
          <w:rFonts w:ascii="Times" w:hAnsi="Times"/>
          <w:noProof/>
        </w:rPr>
        <w:t xml:space="preserve">Foderaro, Lisa W. 2010. Private moment made public, then a fatal jump. </w:t>
      </w:r>
      <w:r w:rsidRPr="00DE221F">
        <w:rPr>
          <w:rFonts w:ascii="Times" w:hAnsi="Times"/>
          <w:i/>
          <w:noProof/>
        </w:rPr>
        <w:t>The New York Times</w:t>
      </w:r>
      <w:r w:rsidRPr="00DE221F">
        <w:rPr>
          <w:rFonts w:ascii="Times" w:hAnsi="Times"/>
          <w:noProof/>
        </w:rPr>
        <w:t>. September 29, 2010. &lt;</w:t>
      </w:r>
      <w:hyperlink r:id="rId10" w:history="1">
        <w:r w:rsidRPr="00DE221F">
          <w:rPr>
            <w:rStyle w:val="Hyperlink"/>
            <w:noProof/>
          </w:rPr>
          <w:t>http://www.nytimes.com/2010/09/30/nyregion/30suicide.html?_r=0</w:t>
        </w:r>
      </w:hyperlink>
      <w:r w:rsidRPr="00DE221F">
        <w:rPr>
          <w:rFonts w:ascii="Times" w:hAnsi="Times"/>
          <w:noProof/>
        </w:rPr>
        <w:t>&gt; (April 2, 2012)</w:t>
      </w:r>
      <w:bookmarkEnd w:id="12"/>
    </w:p>
    <w:p w14:paraId="2C9C3C5D" w14:textId="77777777" w:rsidR="00DE221F" w:rsidRPr="00DE221F" w:rsidRDefault="00DE221F" w:rsidP="00DE221F">
      <w:pPr>
        <w:pStyle w:val="EndNoteBi"/>
        <w:spacing w:after="360"/>
        <w:rPr>
          <w:rFonts w:ascii="Times" w:hAnsi="Times"/>
          <w:noProof/>
        </w:rPr>
      </w:pPr>
      <w:bookmarkStart w:id="13" w:name="_ENREF_13"/>
      <w:r w:rsidRPr="00DE221F">
        <w:rPr>
          <w:rFonts w:ascii="Times" w:hAnsi="Times"/>
          <w:noProof/>
        </w:rPr>
        <w:t xml:space="preserve">Fraser, Nancy. 2000. Rethinking Recognition. </w:t>
      </w:r>
      <w:r w:rsidRPr="00DE221F">
        <w:rPr>
          <w:rFonts w:ascii="Times" w:hAnsi="Times"/>
          <w:i/>
          <w:noProof/>
        </w:rPr>
        <w:t>New Left Review</w:t>
      </w:r>
      <w:r w:rsidRPr="00DE221F">
        <w:rPr>
          <w:rFonts w:ascii="Times" w:hAnsi="Times"/>
          <w:noProof/>
        </w:rPr>
        <w:t xml:space="preserve">. 3 May-June, 2000: 107-120. </w:t>
      </w:r>
      <w:bookmarkEnd w:id="13"/>
    </w:p>
    <w:p w14:paraId="61484BA1" w14:textId="77777777" w:rsidR="00DE221F" w:rsidRPr="00DE221F" w:rsidRDefault="00DE221F" w:rsidP="00DE221F">
      <w:pPr>
        <w:pStyle w:val="EndNoteBi"/>
        <w:spacing w:after="360"/>
        <w:rPr>
          <w:rFonts w:ascii="Times" w:hAnsi="Times"/>
          <w:noProof/>
        </w:rPr>
      </w:pPr>
      <w:bookmarkStart w:id="14" w:name="_ENREF_14"/>
      <w:r w:rsidRPr="00DE221F">
        <w:rPr>
          <w:rFonts w:ascii="Times" w:hAnsi="Times"/>
          <w:noProof/>
        </w:rPr>
        <w:lastRenderedPageBreak/>
        <w:t xml:space="preserve">Graeber, David. 2009. Neoliberalism, or the bureaucratization of the world. In </w:t>
      </w:r>
      <w:r w:rsidRPr="00DE221F">
        <w:rPr>
          <w:rFonts w:ascii="Times" w:hAnsi="Times"/>
          <w:i/>
          <w:noProof/>
        </w:rPr>
        <w:t>The Insecure American: How We Got Here and What We Should Do About It</w:t>
      </w:r>
      <w:r w:rsidRPr="00DE221F">
        <w:rPr>
          <w:rFonts w:ascii="Times" w:hAnsi="Times"/>
          <w:noProof/>
        </w:rPr>
        <w:t>. H. Gusterson &amp; C. Besteman, (eds). 79-96. Berkeley: University of California Press.</w:t>
      </w:r>
      <w:bookmarkEnd w:id="14"/>
    </w:p>
    <w:p w14:paraId="4BBD71A4" w14:textId="77777777" w:rsidR="00DE221F" w:rsidRPr="00DE221F" w:rsidRDefault="00DE221F" w:rsidP="00DE221F">
      <w:pPr>
        <w:pStyle w:val="EndNoteBi"/>
        <w:spacing w:after="360"/>
        <w:rPr>
          <w:rFonts w:ascii="Times" w:hAnsi="Times"/>
          <w:noProof/>
        </w:rPr>
      </w:pPr>
      <w:bookmarkStart w:id="15" w:name="_ENREF_15"/>
      <w:r w:rsidRPr="00DE221F">
        <w:rPr>
          <w:rFonts w:ascii="Times" w:hAnsi="Times"/>
          <w:noProof/>
        </w:rPr>
        <w:t xml:space="preserve">Gray, Mary L. 2009. </w:t>
      </w:r>
      <w:r w:rsidRPr="00DE221F">
        <w:rPr>
          <w:rFonts w:ascii="Times" w:hAnsi="Times"/>
          <w:i/>
          <w:noProof/>
        </w:rPr>
        <w:t>Out in the Country: Youth, Media, and Queer Visibility in Rural America</w:t>
      </w:r>
      <w:r w:rsidRPr="00DE221F">
        <w:rPr>
          <w:rFonts w:ascii="Times" w:hAnsi="Times"/>
          <w:noProof/>
        </w:rPr>
        <w:t>. New York: New York University Press.</w:t>
      </w:r>
      <w:bookmarkEnd w:id="15"/>
    </w:p>
    <w:p w14:paraId="2BB1AE27" w14:textId="77777777" w:rsidR="00DE221F" w:rsidRPr="00DE221F" w:rsidRDefault="00DE221F" w:rsidP="00DE221F">
      <w:pPr>
        <w:pStyle w:val="EndNoteBi"/>
        <w:spacing w:after="360"/>
        <w:rPr>
          <w:rFonts w:ascii="Times" w:hAnsi="Times"/>
          <w:noProof/>
        </w:rPr>
      </w:pPr>
      <w:bookmarkStart w:id="16" w:name="_ENREF_16"/>
      <w:r w:rsidRPr="00DE221F">
        <w:rPr>
          <w:rFonts w:ascii="Times" w:hAnsi="Times"/>
          <w:noProof/>
        </w:rPr>
        <w:t xml:space="preserve">Halberstam, Judith. 2005. </w:t>
      </w:r>
      <w:r w:rsidRPr="00DE221F">
        <w:rPr>
          <w:rFonts w:ascii="Times" w:hAnsi="Times"/>
          <w:i/>
          <w:noProof/>
        </w:rPr>
        <w:t>In a Queer Time and Place</w:t>
      </w:r>
      <w:r w:rsidRPr="00DE221F">
        <w:rPr>
          <w:rFonts w:ascii="Times" w:hAnsi="Times"/>
          <w:noProof/>
        </w:rPr>
        <w:t>. New York and London: NYU Press.</w:t>
      </w:r>
      <w:bookmarkEnd w:id="16"/>
    </w:p>
    <w:p w14:paraId="64CC00C4" w14:textId="77777777" w:rsidR="00DE221F" w:rsidRPr="00DE221F" w:rsidRDefault="00DE221F" w:rsidP="00DE221F">
      <w:pPr>
        <w:pStyle w:val="EndNoteBi"/>
        <w:spacing w:after="360"/>
        <w:rPr>
          <w:rFonts w:ascii="Times" w:hAnsi="Times"/>
          <w:noProof/>
        </w:rPr>
      </w:pPr>
      <w:bookmarkStart w:id="17" w:name="_ENREF_17"/>
      <w:r w:rsidRPr="00DE221F">
        <w:rPr>
          <w:rFonts w:ascii="Times" w:hAnsi="Times"/>
          <w:noProof/>
        </w:rPr>
        <w:t>Hall, Stuart. 2001. Encoding/Decoding. In</w:t>
      </w:r>
      <w:r w:rsidRPr="00DE221F">
        <w:rPr>
          <w:rFonts w:ascii="Times" w:hAnsi="Times"/>
          <w:i/>
          <w:noProof/>
        </w:rPr>
        <w:t xml:space="preserve"> Media and Cultural Studies: Key Work</w:t>
      </w:r>
      <w:r w:rsidRPr="00DE221F">
        <w:rPr>
          <w:rFonts w:ascii="Times" w:hAnsi="Times"/>
          <w:noProof/>
        </w:rPr>
        <w:t>. M.G. Durham &amp; D.M. Kellner, (eds). Malden MA: Blackwell.</w:t>
      </w:r>
      <w:bookmarkEnd w:id="17"/>
    </w:p>
    <w:p w14:paraId="006E50FF" w14:textId="77777777" w:rsidR="00DE221F" w:rsidRPr="00DE221F" w:rsidRDefault="00DE221F" w:rsidP="00DE221F">
      <w:pPr>
        <w:pStyle w:val="EndNoteBi"/>
        <w:spacing w:after="360"/>
        <w:rPr>
          <w:rFonts w:ascii="Times" w:hAnsi="Times"/>
          <w:noProof/>
        </w:rPr>
      </w:pPr>
      <w:bookmarkStart w:id="18" w:name="_ENREF_18"/>
      <w:r w:rsidRPr="00DE221F">
        <w:rPr>
          <w:rFonts w:ascii="Times" w:hAnsi="Times"/>
          <w:noProof/>
        </w:rPr>
        <w:t xml:space="preserve">Harvey, David. 2005. </w:t>
      </w:r>
      <w:r w:rsidRPr="00DE221F">
        <w:rPr>
          <w:rFonts w:ascii="Times" w:hAnsi="Times"/>
          <w:i/>
          <w:noProof/>
        </w:rPr>
        <w:t>A Brief History of Neoliberalism</w:t>
      </w:r>
      <w:r w:rsidRPr="00DE221F">
        <w:rPr>
          <w:rFonts w:ascii="Times" w:hAnsi="Times"/>
          <w:noProof/>
        </w:rPr>
        <w:t>. New York: Oxford University Press.</w:t>
      </w:r>
      <w:bookmarkEnd w:id="18"/>
    </w:p>
    <w:p w14:paraId="02F907B6" w14:textId="77777777" w:rsidR="00DE221F" w:rsidRPr="00DE221F" w:rsidRDefault="00DE221F" w:rsidP="00DE221F">
      <w:pPr>
        <w:pStyle w:val="EndNoteBi"/>
        <w:spacing w:after="360"/>
        <w:rPr>
          <w:rFonts w:ascii="Times" w:hAnsi="Times"/>
          <w:noProof/>
        </w:rPr>
      </w:pPr>
      <w:bookmarkStart w:id="19" w:name="_ENREF_19"/>
      <w:r w:rsidRPr="00DE221F">
        <w:rPr>
          <w:rFonts w:ascii="Times" w:hAnsi="Times"/>
          <w:noProof/>
        </w:rPr>
        <w:t xml:space="preserve">Huntson, Susan. 2002. </w:t>
      </w:r>
      <w:r w:rsidRPr="00DE221F">
        <w:rPr>
          <w:rFonts w:ascii="Times" w:hAnsi="Times"/>
          <w:i/>
          <w:noProof/>
        </w:rPr>
        <w:t>Corpora in Applied Linguistics</w:t>
      </w:r>
      <w:r w:rsidRPr="00DE221F">
        <w:rPr>
          <w:rFonts w:ascii="Times" w:hAnsi="Times"/>
          <w:noProof/>
        </w:rPr>
        <w:t>. Cambridge: Cambridge University Press.</w:t>
      </w:r>
      <w:bookmarkEnd w:id="19"/>
    </w:p>
    <w:p w14:paraId="1FE85D12" w14:textId="608C7686" w:rsidR="00DE221F" w:rsidRPr="00DE221F" w:rsidRDefault="00DE221F" w:rsidP="00DE221F">
      <w:pPr>
        <w:pStyle w:val="EndNoteBi"/>
        <w:spacing w:after="360"/>
        <w:rPr>
          <w:rFonts w:ascii="Times" w:hAnsi="Times"/>
          <w:noProof/>
        </w:rPr>
      </w:pPr>
      <w:bookmarkStart w:id="20" w:name="_ENREF_20"/>
      <w:r w:rsidRPr="00DE221F">
        <w:rPr>
          <w:rFonts w:ascii="Times" w:hAnsi="Times"/>
          <w:noProof/>
        </w:rPr>
        <w:t xml:space="preserve">Johnson, Chris. 2012. Gingrich: Media has anti-Christian bias on marriage. </w:t>
      </w:r>
      <w:r w:rsidRPr="00DE221F">
        <w:rPr>
          <w:rFonts w:ascii="Times" w:hAnsi="Times"/>
          <w:i/>
          <w:noProof/>
        </w:rPr>
        <w:t>The Washington Blade</w:t>
      </w:r>
      <w:r w:rsidRPr="00DE221F">
        <w:rPr>
          <w:rFonts w:ascii="Times" w:hAnsi="Times"/>
          <w:noProof/>
        </w:rPr>
        <w:t>. January 8, 2012. &lt;</w:t>
      </w:r>
      <w:hyperlink r:id="rId11" w:history="1">
        <w:r w:rsidRPr="00DE221F">
          <w:rPr>
            <w:rStyle w:val="Hyperlink"/>
            <w:noProof/>
          </w:rPr>
          <w:t>http://www.washingtonblade.com/2012/01/08/gingrich-media-has-anti-christian-bias-on-marriage/</w:t>
        </w:r>
      </w:hyperlink>
      <w:r w:rsidRPr="00DE221F">
        <w:rPr>
          <w:rFonts w:ascii="Times" w:hAnsi="Times"/>
          <w:noProof/>
        </w:rPr>
        <w:t>&gt; (March 31, 2012)</w:t>
      </w:r>
      <w:bookmarkEnd w:id="20"/>
    </w:p>
    <w:p w14:paraId="4DB30369" w14:textId="77777777" w:rsidR="00DE221F" w:rsidRPr="00DE221F" w:rsidRDefault="00DE221F" w:rsidP="00DE221F">
      <w:pPr>
        <w:pStyle w:val="EndNoteBi"/>
        <w:spacing w:after="360"/>
        <w:rPr>
          <w:rFonts w:ascii="Times" w:hAnsi="Times"/>
          <w:noProof/>
        </w:rPr>
      </w:pPr>
      <w:bookmarkStart w:id="21" w:name="_ENREF_21"/>
      <w:r w:rsidRPr="00DE221F">
        <w:rPr>
          <w:rFonts w:ascii="Times" w:hAnsi="Times"/>
          <w:noProof/>
        </w:rPr>
        <w:t xml:space="preserve">Knopp, Lawrence. 1998. Sexuality and urban space: Gay male identity politics in the United States, the United Kingdom and Australia. In </w:t>
      </w:r>
      <w:r w:rsidRPr="00DE221F">
        <w:rPr>
          <w:rFonts w:ascii="Times" w:hAnsi="Times"/>
          <w:i/>
          <w:noProof/>
        </w:rPr>
        <w:t>Cities of Difference</w:t>
      </w:r>
      <w:r w:rsidRPr="00DE221F">
        <w:rPr>
          <w:rFonts w:ascii="Times" w:hAnsi="Times"/>
          <w:noProof/>
        </w:rPr>
        <w:t>. R. Fincherand &amp; J.M. Jacobs, (eds). New York: Guilford Publications.</w:t>
      </w:r>
      <w:bookmarkEnd w:id="21"/>
    </w:p>
    <w:p w14:paraId="56D17FA5" w14:textId="77777777" w:rsidR="00DE221F" w:rsidRPr="00DE221F" w:rsidRDefault="00DE221F" w:rsidP="00DE221F">
      <w:pPr>
        <w:pStyle w:val="EndNoteBi"/>
        <w:spacing w:after="360"/>
        <w:rPr>
          <w:rFonts w:ascii="Times" w:hAnsi="Times"/>
          <w:noProof/>
        </w:rPr>
      </w:pPr>
      <w:bookmarkStart w:id="22" w:name="_ENREF_22"/>
      <w:r w:rsidRPr="00DE221F">
        <w:rPr>
          <w:rFonts w:ascii="Times" w:hAnsi="Times"/>
          <w:noProof/>
        </w:rPr>
        <w:t xml:space="preserve">Leap, William. 2009. Professional baseball, urban restructuring and (changing) gay geographies in Washington DC. In </w:t>
      </w:r>
      <w:r w:rsidRPr="00DE221F">
        <w:rPr>
          <w:rFonts w:ascii="Times" w:hAnsi="Times"/>
          <w:i/>
          <w:noProof/>
        </w:rPr>
        <w:t>Out in Public: Lesbian and Gay Anthropology in a Globalizing World</w:t>
      </w:r>
      <w:r w:rsidRPr="00DE221F">
        <w:rPr>
          <w:rFonts w:ascii="Times" w:hAnsi="Times"/>
          <w:noProof/>
        </w:rPr>
        <w:t>. E. Lewin &amp; W.L. Leap, (eds). 201-220. New York City: Blackwells.</w:t>
      </w:r>
      <w:bookmarkEnd w:id="22"/>
    </w:p>
    <w:p w14:paraId="014B3B65" w14:textId="77777777" w:rsidR="00DE221F" w:rsidRPr="00DE221F" w:rsidRDefault="00DE221F" w:rsidP="00DE221F">
      <w:pPr>
        <w:pStyle w:val="EndNoteBi"/>
        <w:spacing w:after="360"/>
        <w:rPr>
          <w:rFonts w:ascii="Times" w:hAnsi="Times"/>
          <w:noProof/>
        </w:rPr>
      </w:pPr>
      <w:bookmarkStart w:id="23" w:name="_ENREF_23"/>
      <w:r w:rsidRPr="00DE221F">
        <w:rPr>
          <w:rFonts w:ascii="Times" w:hAnsi="Times"/>
          <w:noProof/>
        </w:rPr>
        <w:t xml:space="preserve">—. 2010. Globalization and gay language. In </w:t>
      </w:r>
      <w:r w:rsidRPr="00DE221F">
        <w:rPr>
          <w:rFonts w:ascii="Times" w:hAnsi="Times"/>
          <w:i/>
          <w:noProof/>
        </w:rPr>
        <w:t>The Handbook of Language and Globalization</w:t>
      </w:r>
      <w:r w:rsidRPr="00DE221F">
        <w:rPr>
          <w:rFonts w:ascii="Times" w:hAnsi="Times"/>
          <w:noProof/>
        </w:rPr>
        <w:t>. N. Coupland, (ed). 555-574. Malden, MA: Wiley-Blackwell.</w:t>
      </w:r>
      <w:bookmarkEnd w:id="23"/>
    </w:p>
    <w:p w14:paraId="7F721A78" w14:textId="77777777" w:rsidR="00DE221F" w:rsidRPr="00DE221F" w:rsidRDefault="00DE221F" w:rsidP="00DE221F">
      <w:pPr>
        <w:pStyle w:val="EndNoteBi"/>
        <w:spacing w:after="360"/>
        <w:rPr>
          <w:rFonts w:ascii="Times" w:hAnsi="Times"/>
          <w:noProof/>
        </w:rPr>
      </w:pPr>
      <w:bookmarkStart w:id="24" w:name="_ENREF_24"/>
      <w:r w:rsidRPr="00DE221F">
        <w:rPr>
          <w:rFonts w:ascii="Times" w:hAnsi="Times"/>
          <w:noProof/>
        </w:rPr>
        <w:t xml:space="preserve">Leitner, Helga, Sheppard, Eric, Sziarto, Kristen &amp; Mariganti, Anant. 2003. Contesting urban futures: Decentering neoliberalism. In </w:t>
      </w:r>
      <w:r w:rsidRPr="00DE221F">
        <w:rPr>
          <w:rFonts w:ascii="Times" w:hAnsi="Times"/>
          <w:i/>
          <w:noProof/>
        </w:rPr>
        <w:t>Contesting Neoliberalism: Urban Frontiers</w:t>
      </w:r>
      <w:r w:rsidRPr="00DE221F">
        <w:rPr>
          <w:rFonts w:ascii="Times" w:hAnsi="Times"/>
          <w:noProof/>
        </w:rPr>
        <w:t>. J.P.a.E.S. Helga Leitner, (ed). 1-25. New York: Guilford Press.</w:t>
      </w:r>
      <w:bookmarkEnd w:id="24"/>
    </w:p>
    <w:p w14:paraId="4306B664" w14:textId="77777777" w:rsidR="00DE221F" w:rsidRPr="00DE221F" w:rsidRDefault="00DE221F" w:rsidP="00DE221F">
      <w:pPr>
        <w:pStyle w:val="EndNoteBi"/>
        <w:spacing w:after="360"/>
        <w:rPr>
          <w:rFonts w:ascii="Times" w:hAnsi="Times"/>
          <w:noProof/>
        </w:rPr>
      </w:pPr>
      <w:bookmarkStart w:id="25" w:name="_ENREF_25"/>
      <w:r w:rsidRPr="00DE221F">
        <w:rPr>
          <w:rFonts w:ascii="Times" w:hAnsi="Times"/>
          <w:noProof/>
        </w:rPr>
        <w:t xml:space="preserve">Levinson, Stephen C. 1984. </w:t>
      </w:r>
      <w:r w:rsidRPr="00DE221F">
        <w:rPr>
          <w:rFonts w:ascii="Times" w:hAnsi="Times"/>
          <w:i/>
          <w:noProof/>
        </w:rPr>
        <w:t>Pragmatics</w:t>
      </w:r>
      <w:r w:rsidRPr="00DE221F">
        <w:rPr>
          <w:rFonts w:ascii="Times" w:hAnsi="Times"/>
          <w:noProof/>
        </w:rPr>
        <w:t>. London: Cambridge University Press.</w:t>
      </w:r>
      <w:bookmarkEnd w:id="25"/>
    </w:p>
    <w:p w14:paraId="7DDF66F8" w14:textId="1D67F676" w:rsidR="00DE221F" w:rsidRPr="00DE221F" w:rsidRDefault="00DE221F" w:rsidP="00DE221F">
      <w:pPr>
        <w:pStyle w:val="EndNoteBi"/>
        <w:spacing w:after="360"/>
        <w:rPr>
          <w:rFonts w:ascii="Times" w:hAnsi="Times"/>
          <w:noProof/>
        </w:rPr>
      </w:pPr>
      <w:bookmarkStart w:id="26" w:name="_ENREF_26"/>
      <w:r w:rsidRPr="00DE221F">
        <w:rPr>
          <w:rFonts w:ascii="Times" w:hAnsi="Times"/>
          <w:noProof/>
        </w:rPr>
        <w:t xml:space="preserve">Loughlin, Sean. 2003. Santorum under fire for comments on homosexuality. </w:t>
      </w:r>
      <w:r w:rsidRPr="00DE221F">
        <w:rPr>
          <w:rFonts w:ascii="Times" w:hAnsi="Times"/>
          <w:i/>
          <w:noProof/>
        </w:rPr>
        <w:t>CNN.com</w:t>
      </w:r>
      <w:r w:rsidRPr="00DE221F">
        <w:rPr>
          <w:rFonts w:ascii="Times" w:hAnsi="Times"/>
          <w:noProof/>
        </w:rPr>
        <w:t>. April 22, 2003. &lt;</w:t>
      </w:r>
      <w:hyperlink r:id="rId12" w:history="1">
        <w:r w:rsidRPr="00DE221F">
          <w:rPr>
            <w:rStyle w:val="Hyperlink"/>
            <w:noProof/>
          </w:rPr>
          <w:t>http://articles.cnn.com/2003-04-22/politics/santorum.gays_1_statement-on-individual-lifestyles-senator-santorum-bigamy-and-adultery?_s=PM:ALLPOLITICS</w:t>
        </w:r>
      </w:hyperlink>
      <w:r w:rsidRPr="00DE221F">
        <w:rPr>
          <w:rFonts w:ascii="Times" w:hAnsi="Times"/>
          <w:noProof/>
        </w:rPr>
        <w:t xml:space="preserve">&gt; </w:t>
      </w:r>
      <w:bookmarkEnd w:id="26"/>
    </w:p>
    <w:p w14:paraId="419B437D" w14:textId="3FE75480" w:rsidR="00DE221F" w:rsidRPr="00DE221F" w:rsidRDefault="00DE221F" w:rsidP="00DE221F">
      <w:pPr>
        <w:pStyle w:val="EndNoteBi"/>
        <w:spacing w:after="360"/>
        <w:rPr>
          <w:rFonts w:ascii="Times" w:hAnsi="Times"/>
          <w:noProof/>
        </w:rPr>
      </w:pPr>
      <w:bookmarkStart w:id="27" w:name="_ENREF_27"/>
      <w:r w:rsidRPr="00DE221F">
        <w:rPr>
          <w:rFonts w:ascii="Times" w:hAnsi="Times"/>
          <w:noProof/>
        </w:rPr>
        <w:t xml:space="preserve">Michaelson, Jay. 2012. Santorum's homophobia problem. </w:t>
      </w:r>
      <w:r w:rsidRPr="00DE221F">
        <w:rPr>
          <w:rFonts w:ascii="Times" w:hAnsi="Times"/>
          <w:i/>
          <w:noProof/>
        </w:rPr>
        <w:t>The Huffington Post</w:t>
      </w:r>
      <w:r w:rsidRPr="00DE221F">
        <w:rPr>
          <w:rFonts w:ascii="Times" w:hAnsi="Times"/>
          <w:noProof/>
        </w:rPr>
        <w:t>. January 04, 2012. &lt;</w:t>
      </w:r>
      <w:hyperlink r:id="rId13" w:history="1">
        <w:r w:rsidRPr="00DE221F">
          <w:rPr>
            <w:rStyle w:val="Hyperlink"/>
            <w:noProof/>
          </w:rPr>
          <w:t>http://www.huffingtonpost.com/jay-michaelson/rick-santorum-homophobia_b_1182857.html</w:t>
        </w:r>
      </w:hyperlink>
      <w:r w:rsidRPr="00DE221F">
        <w:rPr>
          <w:rFonts w:ascii="Times" w:hAnsi="Times"/>
          <w:noProof/>
        </w:rPr>
        <w:t>&gt; (March 31, 2012)</w:t>
      </w:r>
      <w:bookmarkEnd w:id="27"/>
    </w:p>
    <w:p w14:paraId="46E3BB39" w14:textId="77777777" w:rsidR="00DE221F" w:rsidRPr="00DE221F" w:rsidRDefault="00DE221F" w:rsidP="00DE221F">
      <w:pPr>
        <w:pStyle w:val="EndNoteBi"/>
        <w:spacing w:after="360"/>
        <w:rPr>
          <w:rFonts w:ascii="Times" w:hAnsi="Times"/>
          <w:noProof/>
        </w:rPr>
      </w:pPr>
      <w:bookmarkStart w:id="28" w:name="_ENREF_28"/>
      <w:r w:rsidRPr="00DE221F">
        <w:rPr>
          <w:rFonts w:ascii="Times" w:hAnsi="Times"/>
          <w:noProof/>
        </w:rPr>
        <w:lastRenderedPageBreak/>
        <w:t xml:space="preserve">Modan, Galey. 2007. </w:t>
      </w:r>
      <w:r w:rsidRPr="00DE221F">
        <w:rPr>
          <w:rFonts w:ascii="Times" w:hAnsi="Times"/>
          <w:i/>
          <w:noProof/>
        </w:rPr>
        <w:t>Turf Wars: Discourse, Diversity and the Politics of Place</w:t>
      </w:r>
      <w:r w:rsidRPr="00DE221F">
        <w:rPr>
          <w:rFonts w:ascii="Times" w:hAnsi="Times"/>
          <w:noProof/>
        </w:rPr>
        <w:t>. Malden MA: Blackwell.</w:t>
      </w:r>
      <w:bookmarkEnd w:id="28"/>
    </w:p>
    <w:p w14:paraId="6D807183" w14:textId="77777777" w:rsidR="00DE221F" w:rsidRPr="00DE221F" w:rsidRDefault="00DE221F" w:rsidP="00DE221F">
      <w:pPr>
        <w:pStyle w:val="EndNoteBi"/>
        <w:spacing w:after="360"/>
        <w:rPr>
          <w:rFonts w:ascii="Times" w:hAnsi="Times"/>
          <w:noProof/>
        </w:rPr>
      </w:pPr>
      <w:bookmarkStart w:id="29" w:name="_ENREF_29"/>
      <w:r w:rsidRPr="00DE221F">
        <w:rPr>
          <w:rFonts w:ascii="Times" w:hAnsi="Times"/>
          <w:noProof/>
        </w:rPr>
        <w:t xml:space="preserve">Ong, Aihwa. 2006. </w:t>
      </w:r>
      <w:r w:rsidRPr="00DE221F">
        <w:rPr>
          <w:rFonts w:ascii="Times" w:hAnsi="Times"/>
          <w:i/>
          <w:noProof/>
        </w:rPr>
        <w:t>Neoliberalism as Exception: Mutations in Citizenship and Sovereignty</w:t>
      </w:r>
      <w:r w:rsidRPr="00DE221F">
        <w:rPr>
          <w:rFonts w:ascii="Times" w:hAnsi="Times"/>
          <w:noProof/>
        </w:rPr>
        <w:t>. Durham: Duke University Press.</w:t>
      </w:r>
      <w:bookmarkEnd w:id="29"/>
    </w:p>
    <w:p w14:paraId="668E1D64" w14:textId="77777777" w:rsidR="00DE221F" w:rsidRPr="00DE221F" w:rsidRDefault="00DE221F" w:rsidP="00DE221F">
      <w:pPr>
        <w:pStyle w:val="EndNoteBi"/>
        <w:spacing w:after="360"/>
        <w:rPr>
          <w:rFonts w:ascii="Times" w:hAnsi="Times"/>
          <w:noProof/>
        </w:rPr>
      </w:pPr>
      <w:bookmarkStart w:id="30" w:name="_ENREF_30"/>
      <w:r w:rsidRPr="00DE221F">
        <w:rPr>
          <w:rFonts w:ascii="Times" w:hAnsi="Times"/>
          <w:noProof/>
        </w:rPr>
        <w:t xml:space="preserve">Penelope, Julia. 1990. </w:t>
      </w:r>
      <w:r w:rsidRPr="00DE221F">
        <w:rPr>
          <w:rFonts w:ascii="Times" w:hAnsi="Times"/>
          <w:i/>
          <w:noProof/>
        </w:rPr>
        <w:t>Speeking Freely: Undoing the Lies of the Fathers’ Tongue</w:t>
      </w:r>
      <w:r w:rsidRPr="00DE221F">
        <w:rPr>
          <w:rFonts w:ascii="Times" w:hAnsi="Times"/>
          <w:noProof/>
        </w:rPr>
        <w:t>. New York: Teachers College Press.</w:t>
      </w:r>
      <w:bookmarkEnd w:id="30"/>
    </w:p>
    <w:p w14:paraId="1CD7D61F" w14:textId="77777777" w:rsidR="00DE221F" w:rsidRPr="00DE221F" w:rsidRDefault="00DE221F" w:rsidP="00DE221F">
      <w:pPr>
        <w:pStyle w:val="EndNoteBi"/>
        <w:spacing w:after="360"/>
        <w:rPr>
          <w:rFonts w:ascii="Times" w:hAnsi="Times"/>
          <w:noProof/>
        </w:rPr>
      </w:pPr>
      <w:bookmarkStart w:id="31" w:name="_ENREF_31"/>
      <w:r w:rsidRPr="00DE221F">
        <w:rPr>
          <w:rFonts w:ascii="Times" w:hAnsi="Times"/>
          <w:noProof/>
        </w:rPr>
        <w:t xml:space="preserve">Peterson, David James. 2010. The 'basis for a just, free, and stable society': Institutional homophobia and governance at the Family Research Council. </w:t>
      </w:r>
      <w:r w:rsidRPr="00DE221F">
        <w:rPr>
          <w:rFonts w:ascii="Times" w:hAnsi="Times"/>
          <w:i/>
          <w:noProof/>
        </w:rPr>
        <w:t>Gender and Language</w:t>
      </w:r>
      <w:r w:rsidRPr="00DE221F">
        <w:rPr>
          <w:rFonts w:ascii="Times" w:hAnsi="Times"/>
          <w:noProof/>
        </w:rPr>
        <w:t xml:space="preserve"> 4(2): 257-286.</w:t>
      </w:r>
      <w:bookmarkEnd w:id="31"/>
    </w:p>
    <w:p w14:paraId="2BA7C616" w14:textId="6E07480B" w:rsidR="00DE221F" w:rsidRPr="00DE221F" w:rsidRDefault="00DE221F" w:rsidP="00DE221F">
      <w:pPr>
        <w:pStyle w:val="EndNoteBi"/>
        <w:spacing w:after="360"/>
        <w:rPr>
          <w:rFonts w:ascii="Times" w:hAnsi="Times"/>
          <w:noProof/>
        </w:rPr>
      </w:pPr>
      <w:bookmarkStart w:id="32" w:name="_ENREF_32"/>
      <w:r w:rsidRPr="00DE221F">
        <w:rPr>
          <w:rFonts w:ascii="Times" w:hAnsi="Times"/>
          <w:noProof/>
        </w:rPr>
        <w:t xml:space="preserve">Puar, Jasbir K. 2010. In the wake of it gets better. </w:t>
      </w:r>
      <w:r w:rsidRPr="00DE221F">
        <w:rPr>
          <w:rFonts w:ascii="Times" w:hAnsi="Times"/>
          <w:i/>
          <w:noProof/>
        </w:rPr>
        <w:t>The Guardian</w:t>
      </w:r>
      <w:r w:rsidRPr="00DE221F">
        <w:rPr>
          <w:rFonts w:ascii="Times" w:hAnsi="Times"/>
          <w:noProof/>
        </w:rPr>
        <w:t>. November 16, 2010. &lt;</w:t>
      </w:r>
      <w:hyperlink r:id="rId14" w:history="1">
        <w:r w:rsidRPr="00DE221F">
          <w:rPr>
            <w:rStyle w:val="Hyperlink"/>
            <w:noProof/>
          </w:rPr>
          <w:t>http://www.guardian.co.uk/commentisfree/cifamerica/2010/nov/16/wake-it-gets-better-campaign</w:t>
        </w:r>
      </w:hyperlink>
      <w:r w:rsidRPr="00DE221F">
        <w:rPr>
          <w:rFonts w:ascii="Times" w:hAnsi="Times"/>
          <w:noProof/>
        </w:rPr>
        <w:t>&gt; (March 30, 2010)</w:t>
      </w:r>
      <w:bookmarkEnd w:id="32"/>
    </w:p>
    <w:p w14:paraId="4B12844C" w14:textId="77777777" w:rsidR="00DE221F" w:rsidRPr="00DE221F" w:rsidRDefault="00DE221F" w:rsidP="00DE221F">
      <w:pPr>
        <w:pStyle w:val="EndNoteBi"/>
        <w:spacing w:after="360"/>
        <w:rPr>
          <w:rFonts w:ascii="Times" w:hAnsi="Times"/>
          <w:noProof/>
        </w:rPr>
      </w:pPr>
      <w:bookmarkStart w:id="33" w:name="_ENREF_33"/>
      <w:r w:rsidRPr="00DE221F">
        <w:rPr>
          <w:rFonts w:ascii="Times" w:hAnsi="Times"/>
          <w:noProof/>
        </w:rPr>
        <w:t xml:space="preserve">—. 2011. Coda: The cost of getting better. </w:t>
      </w:r>
      <w:r w:rsidRPr="00DE221F">
        <w:rPr>
          <w:rFonts w:ascii="Times" w:hAnsi="Times"/>
          <w:i/>
          <w:noProof/>
        </w:rPr>
        <w:t>Gay and Lesbian Quarterly</w:t>
      </w:r>
      <w:r w:rsidRPr="00DE221F">
        <w:rPr>
          <w:rFonts w:ascii="Times" w:hAnsi="Times"/>
          <w:noProof/>
        </w:rPr>
        <w:t xml:space="preserve"> 18(1): 149-158.</w:t>
      </w:r>
      <w:bookmarkEnd w:id="33"/>
    </w:p>
    <w:p w14:paraId="35C5C724" w14:textId="3C1E1D1A" w:rsidR="00DE221F" w:rsidRPr="00DE221F" w:rsidRDefault="00DE221F" w:rsidP="00DE221F">
      <w:pPr>
        <w:pStyle w:val="EndNoteBi"/>
        <w:spacing w:after="360"/>
        <w:rPr>
          <w:rFonts w:ascii="Times" w:hAnsi="Times"/>
          <w:noProof/>
        </w:rPr>
      </w:pPr>
      <w:bookmarkStart w:id="34" w:name="_ENREF_34"/>
      <w:r w:rsidRPr="00DE221F">
        <w:rPr>
          <w:rFonts w:ascii="Times" w:hAnsi="Times"/>
          <w:noProof/>
        </w:rPr>
        <w:t xml:space="preserve">Quiet Riot Girl. 2010. It Gets Better: What does? For whom? </w:t>
      </w:r>
      <w:r w:rsidRPr="00DE221F">
        <w:rPr>
          <w:rFonts w:ascii="Times" w:hAnsi="Times"/>
          <w:i/>
          <w:noProof/>
        </w:rPr>
        <w:t xml:space="preserve">Quiet Riot Girl: The Thinking Crumpet's Blogger. </w:t>
      </w:r>
      <w:r w:rsidRPr="00DE221F">
        <w:rPr>
          <w:rFonts w:ascii="Times" w:hAnsi="Times"/>
          <w:noProof/>
        </w:rPr>
        <w:t xml:space="preserve"> &lt;</w:t>
      </w:r>
      <w:hyperlink r:id="rId15" w:history="1">
        <w:r w:rsidRPr="00DE221F">
          <w:rPr>
            <w:rStyle w:val="Hyperlink"/>
            <w:noProof/>
          </w:rPr>
          <w:t>http://quietgirlriot.wordpress.com/2010/10/06/it-gets-better-what-does-for-whom/</w:t>
        </w:r>
      </w:hyperlink>
      <w:r w:rsidRPr="00DE221F">
        <w:rPr>
          <w:rFonts w:ascii="Times" w:hAnsi="Times"/>
          <w:noProof/>
        </w:rPr>
        <w:t>&gt; (March 30, 2012)</w:t>
      </w:r>
      <w:bookmarkEnd w:id="34"/>
    </w:p>
    <w:p w14:paraId="59E87D2C" w14:textId="77777777" w:rsidR="00DE221F" w:rsidRPr="00DE221F" w:rsidRDefault="00DE221F" w:rsidP="00DE221F">
      <w:pPr>
        <w:pStyle w:val="EndNoteBi"/>
        <w:spacing w:after="360"/>
        <w:rPr>
          <w:rFonts w:ascii="Times" w:hAnsi="Times"/>
          <w:noProof/>
        </w:rPr>
      </w:pPr>
      <w:bookmarkStart w:id="35" w:name="_ENREF_35"/>
      <w:r w:rsidRPr="00DE221F">
        <w:rPr>
          <w:rFonts w:ascii="Times" w:hAnsi="Times"/>
          <w:noProof/>
        </w:rPr>
        <w:t xml:space="preserve">Rosenfeld, Dana. 2009. Heteronormativity and homonormativity as practical and moral resources: The case of lesbian and gay elders. </w:t>
      </w:r>
      <w:r w:rsidRPr="00DE221F">
        <w:rPr>
          <w:rFonts w:ascii="Times" w:hAnsi="Times"/>
          <w:i/>
          <w:noProof/>
        </w:rPr>
        <w:t>Gender &amp; Society</w:t>
      </w:r>
      <w:r w:rsidRPr="00DE221F">
        <w:rPr>
          <w:rFonts w:ascii="Times" w:hAnsi="Times"/>
          <w:noProof/>
        </w:rPr>
        <w:t xml:space="preserve"> 23(5): 617-638.</w:t>
      </w:r>
      <w:bookmarkEnd w:id="35"/>
    </w:p>
    <w:p w14:paraId="1B6B7046" w14:textId="77777777" w:rsidR="00DE221F" w:rsidRPr="00DE221F" w:rsidRDefault="00DE221F" w:rsidP="00DE221F">
      <w:pPr>
        <w:pStyle w:val="EndNoteBi"/>
        <w:spacing w:after="360"/>
        <w:rPr>
          <w:rFonts w:ascii="Times" w:hAnsi="Times"/>
          <w:noProof/>
        </w:rPr>
      </w:pPr>
      <w:bookmarkStart w:id="36" w:name="_ENREF_36"/>
      <w:r w:rsidRPr="00DE221F">
        <w:rPr>
          <w:rFonts w:ascii="Times" w:hAnsi="Times"/>
          <w:noProof/>
        </w:rPr>
        <w:t xml:space="preserve">Santiago, Silviano. 2002. The wily homosexual (first—and necessarily hasty—notes). In </w:t>
      </w:r>
      <w:r w:rsidRPr="00DE221F">
        <w:rPr>
          <w:rFonts w:ascii="Times" w:hAnsi="Times"/>
          <w:i/>
          <w:noProof/>
        </w:rPr>
        <w:t>Queer Globalizations: Citizenship and the Afterlife of Colonialism</w:t>
      </w:r>
      <w:r w:rsidRPr="00DE221F">
        <w:rPr>
          <w:rFonts w:ascii="Times" w:hAnsi="Times"/>
          <w:noProof/>
        </w:rPr>
        <w:t>. A. Cruz-Malavé &amp; M.F. Manalansan IV, (eds). 13-19. New York: New York University Press.</w:t>
      </w:r>
      <w:bookmarkEnd w:id="36"/>
    </w:p>
    <w:p w14:paraId="26E03D97" w14:textId="20DD226E" w:rsidR="00DE221F" w:rsidRPr="00DE221F" w:rsidRDefault="00DE221F" w:rsidP="00DE221F">
      <w:pPr>
        <w:pStyle w:val="EndNoteBi"/>
        <w:spacing w:after="360"/>
        <w:rPr>
          <w:rFonts w:ascii="Times" w:hAnsi="Times"/>
          <w:noProof/>
        </w:rPr>
      </w:pPr>
      <w:bookmarkStart w:id="37" w:name="_ENREF_37"/>
      <w:r w:rsidRPr="00DE221F">
        <w:rPr>
          <w:rFonts w:ascii="Times" w:hAnsi="Times"/>
          <w:noProof/>
        </w:rPr>
        <w:t>Savage, Dan &amp; Miller, Terry. 2010. It Gets Better: Dan and Terry. &lt;</w:t>
      </w:r>
      <w:hyperlink r:id="rId16" w:history="1">
        <w:r w:rsidRPr="00DE221F">
          <w:rPr>
            <w:rStyle w:val="Hyperlink"/>
            <w:noProof/>
          </w:rPr>
          <w:t>http://www.youtube.com/watch?v=7IcVyvg2Qlo</w:t>
        </w:r>
      </w:hyperlink>
      <w:r w:rsidRPr="00DE221F">
        <w:rPr>
          <w:rFonts w:ascii="Times" w:hAnsi="Times"/>
          <w:noProof/>
        </w:rPr>
        <w:t>&gt; (February 12, 2012)</w:t>
      </w:r>
      <w:bookmarkEnd w:id="37"/>
    </w:p>
    <w:p w14:paraId="4C5A6DB9" w14:textId="77777777" w:rsidR="00DE221F" w:rsidRPr="00DE221F" w:rsidRDefault="00DE221F" w:rsidP="00DE221F">
      <w:pPr>
        <w:pStyle w:val="EndNoteBi"/>
        <w:spacing w:after="360"/>
        <w:rPr>
          <w:rFonts w:ascii="Times" w:hAnsi="Times"/>
          <w:noProof/>
        </w:rPr>
      </w:pPr>
      <w:bookmarkStart w:id="38" w:name="_ENREF_38"/>
      <w:r w:rsidRPr="00DE221F">
        <w:rPr>
          <w:rFonts w:ascii="Times" w:hAnsi="Times"/>
          <w:noProof/>
        </w:rPr>
        <w:t xml:space="preserve">Thomas, Philip. 2002. The River, the road, and the rural-urban divide: A postcolonial moral geography from southeast Madagascar. </w:t>
      </w:r>
      <w:r w:rsidRPr="00DE221F">
        <w:rPr>
          <w:rFonts w:ascii="Times" w:hAnsi="Times"/>
          <w:i/>
          <w:noProof/>
        </w:rPr>
        <w:t>American Ethnologist</w:t>
      </w:r>
      <w:r w:rsidRPr="00DE221F">
        <w:rPr>
          <w:rFonts w:ascii="Times" w:hAnsi="Times"/>
          <w:noProof/>
        </w:rPr>
        <w:t xml:space="preserve"> 29(2): 366-391.</w:t>
      </w:r>
      <w:bookmarkEnd w:id="38"/>
    </w:p>
    <w:p w14:paraId="445EC423" w14:textId="5FC1050B" w:rsidR="00DE221F" w:rsidRPr="00DE221F" w:rsidRDefault="00DE221F" w:rsidP="00DE221F">
      <w:pPr>
        <w:pStyle w:val="EndNoteBi"/>
        <w:spacing w:after="360"/>
        <w:rPr>
          <w:rFonts w:ascii="Times" w:hAnsi="Times"/>
          <w:noProof/>
        </w:rPr>
      </w:pPr>
      <w:bookmarkStart w:id="39" w:name="_ENREF_39"/>
      <w:r w:rsidRPr="00DE221F">
        <w:rPr>
          <w:rFonts w:ascii="Times" w:hAnsi="Times"/>
          <w:noProof/>
        </w:rPr>
        <w:t xml:space="preserve">Tseng, Jason. 2010. Does it really get better?: A conscientious critique. </w:t>
      </w:r>
      <w:r w:rsidRPr="00DE221F">
        <w:rPr>
          <w:rFonts w:ascii="Times" w:hAnsi="Times"/>
          <w:i/>
          <w:noProof/>
        </w:rPr>
        <w:t xml:space="preserve">The Bilerico Project. </w:t>
      </w:r>
      <w:r w:rsidRPr="00DE221F">
        <w:rPr>
          <w:rFonts w:ascii="Times" w:hAnsi="Times"/>
          <w:noProof/>
        </w:rPr>
        <w:t xml:space="preserve"> &lt;</w:t>
      </w:r>
      <w:hyperlink r:id="rId17" w:history="1">
        <w:r w:rsidRPr="00DE221F">
          <w:rPr>
            <w:rStyle w:val="Hyperlink"/>
            <w:noProof/>
          </w:rPr>
          <w:t>http://www.bilerico.com/2010/10/does_it_really_get_better.php</w:t>
        </w:r>
      </w:hyperlink>
      <w:r w:rsidRPr="00DE221F">
        <w:rPr>
          <w:rFonts w:ascii="Times" w:hAnsi="Times"/>
          <w:noProof/>
        </w:rPr>
        <w:t>&gt; (March 30, 2012)</w:t>
      </w:r>
      <w:bookmarkEnd w:id="39"/>
    </w:p>
    <w:p w14:paraId="66820689" w14:textId="77777777" w:rsidR="00DE221F" w:rsidRPr="00DE221F" w:rsidRDefault="00DE221F" w:rsidP="00DE221F">
      <w:pPr>
        <w:pStyle w:val="EndNoteBi"/>
        <w:rPr>
          <w:rFonts w:ascii="Times" w:hAnsi="Times"/>
          <w:noProof/>
        </w:rPr>
      </w:pPr>
      <w:bookmarkStart w:id="40" w:name="_ENREF_40"/>
      <w:r w:rsidRPr="00DE221F">
        <w:rPr>
          <w:rFonts w:ascii="Times" w:hAnsi="Times"/>
          <w:noProof/>
        </w:rPr>
        <w:t xml:space="preserve">Vitulli, Elias. 2010. A defining moment in civil rights history? The employment non-discrimination act, trans-inclusion, and homonormativity. </w:t>
      </w:r>
      <w:r w:rsidRPr="00DE221F">
        <w:rPr>
          <w:rFonts w:ascii="Times" w:hAnsi="Times"/>
          <w:i/>
          <w:noProof/>
        </w:rPr>
        <w:t>Sexuality Research and Social Policy</w:t>
      </w:r>
      <w:r w:rsidRPr="00DE221F">
        <w:rPr>
          <w:rFonts w:ascii="Times" w:hAnsi="Times"/>
          <w:noProof/>
        </w:rPr>
        <w:t xml:space="preserve"> 7(3): 155-167.</w:t>
      </w:r>
      <w:bookmarkEnd w:id="40"/>
    </w:p>
    <w:p w14:paraId="510C482C" w14:textId="0055614A" w:rsidR="00DE221F" w:rsidRDefault="00DE221F" w:rsidP="00DE221F">
      <w:pPr>
        <w:pStyle w:val="EndNoteBi"/>
        <w:rPr>
          <w:rFonts w:ascii="Times" w:hAnsi="Times"/>
          <w:noProof/>
        </w:rPr>
      </w:pPr>
    </w:p>
    <w:p w14:paraId="7E1AEE49" w14:textId="536E7F08" w:rsidR="004C276E" w:rsidRPr="008A4013" w:rsidRDefault="008248C7" w:rsidP="009D4FFF">
      <w:pPr>
        <w:pStyle w:val="EndNoteBi"/>
        <w:rPr>
          <w:rFonts w:eastAsia="Times New Roman"/>
        </w:rPr>
      </w:pPr>
      <w:r w:rsidRPr="008A4013">
        <w:fldChar w:fldCharType="end"/>
      </w:r>
    </w:p>
    <w:p w14:paraId="6A345137" w14:textId="2B79BA74" w:rsidR="008A57A7" w:rsidRPr="008A4013" w:rsidRDefault="008A57A7" w:rsidP="004C276E">
      <w:pPr>
        <w:tabs>
          <w:tab w:val="left" w:pos="709"/>
        </w:tabs>
        <w:spacing w:line="240" w:lineRule="auto"/>
        <w:ind w:firstLine="0"/>
        <w:rPr>
          <w:rFonts w:eastAsia="Times New Roman"/>
        </w:rPr>
      </w:pPr>
    </w:p>
    <w:sectPr w:rsidR="008A57A7" w:rsidRPr="008A4013" w:rsidSect="00FF7D82">
      <w:headerReference w:type="default" r:id="rId18"/>
      <w:footerReference w:type="even" r:id="rId19"/>
      <w:footerReference w:type="default" r:id="rId20"/>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53A96" w14:textId="77777777" w:rsidR="00EC2760" w:rsidRDefault="00EC2760" w:rsidP="00A65624">
      <w:pPr>
        <w:spacing w:line="240" w:lineRule="auto"/>
      </w:pPr>
      <w:r>
        <w:separator/>
      </w:r>
    </w:p>
  </w:endnote>
  <w:endnote w:type="continuationSeparator" w:id="0">
    <w:p w14:paraId="56FDF7C4" w14:textId="77777777" w:rsidR="00EC2760" w:rsidRDefault="00EC2760" w:rsidP="00A656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50"/>
    <w:family w:val="auto"/>
    <w:pitch w:val="variable"/>
    <w:sig w:usb0="00000001" w:usb1="080E0000" w:usb2="00000010" w:usb3="00000000" w:csb0="00040000"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F50AC" w14:textId="77777777" w:rsidR="001C51EB" w:rsidRDefault="001C51EB" w:rsidP="00FF7D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86BD5C" w14:textId="77777777" w:rsidR="001C51EB" w:rsidRDefault="001C51EB" w:rsidP="00B709D0">
    <w:pPr>
      <w:pStyle w:val="Footer"/>
      <w:ind w:right="360"/>
    </w:pPr>
  </w:p>
  <w:p w14:paraId="4F1B5B65" w14:textId="77777777" w:rsidR="001C51EB" w:rsidRDefault="001C51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D7264" w14:textId="77777777" w:rsidR="001C51EB" w:rsidRPr="00C2756D" w:rsidRDefault="001C51EB" w:rsidP="00FF7D82">
    <w:pPr>
      <w:pStyle w:val="Footer"/>
      <w:framePr w:wrap="around" w:vAnchor="text" w:hAnchor="margin" w:xAlign="right" w:y="1"/>
      <w:rPr>
        <w:rStyle w:val="PageNumber"/>
        <w:rFonts w:ascii="Times" w:hAnsi="Times"/>
      </w:rPr>
    </w:pPr>
    <w:r w:rsidRPr="00C2756D">
      <w:rPr>
        <w:rStyle w:val="PageNumber"/>
        <w:rFonts w:ascii="Times" w:hAnsi="Times"/>
      </w:rPr>
      <w:fldChar w:fldCharType="begin"/>
    </w:r>
    <w:r w:rsidRPr="00C2756D">
      <w:rPr>
        <w:rStyle w:val="PageNumber"/>
        <w:rFonts w:ascii="Times" w:hAnsi="Times"/>
      </w:rPr>
      <w:instrText xml:space="preserve">PAGE  </w:instrText>
    </w:r>
    <w:r w:rsidRPr="00C2756D">
      <w:rPr>
        <w:rStyle w:val="PageNumber"/>
        <w:rFonts w:ascii="Times" w:hAnsi="Times"/>
      </w:rPr>
      <w:fldChar w:fldCharType="separate"/>
    </w:r>
    <w:r w:rsidR="0073696C">
      <w:rPr>
        <w:rStyle w:val="PageNumber"/>
        <w:rFonts w:ascii="Times" w:hAnsi="Times"/>
        <w:noProof/>
      </w:rPr>
      <w:t>33</w:t>
    </w:r>
    <w:r w:rsidRPr="00C2756D">
      <w:rPr>
        <w:rStyle w:val="PageNumber"/>
        <w:rFonts w:ascii="Times" w:hAnsi="Times"/>
      </w:rPr>
      <w:fldChar w:fldCharType="end"/>
    </w:r>
  </w:p>
  <w:p w14:paraId="4EBA59DE" w14:textId="77777777" w:rsidR="001C51EB" w:rsidRDefault="001C51EB" w:rsidP="00B709D0">
    <w:pPr>
      <w:pStyle w:val="Footer"/>
      <w:ind w:right="360"/>
    </w:pPr>
  </w:p>
  <w:p w14:paraId="5E1676EF" w14:textId="77777777" w:rsidR="001C51EB" w:rsidRDefault="001C51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969A7" w14:textId="77777777" w:rsidR="00EC2760" w:rsidRDefault="00EC2760" w:rsidP="00A65624">
      <w:pPr>
        <w:spacing w:line="240" w:lineRule="auto"/>
      </w:pPr>
      <w:r>
        <w:separator/>
      </w:r>
    </w:p>
  </w:footnote>
  <w:footnote w:type="continuationSeparator" w:id="0">
    <w:p w14:paraId="118BFBB4" w14:textId="77777777" w:rsidR="00EC2760" w:rsidRDefault="00EC2760" w:rsidP="00A65624">
      <w:pPr>
        <w:spacing w:line="240" w:lineRule="auto"/>
      </w:pPr>
      <w:r>
        <w:continuationSeparator/>
      </w:r>
    </w:p>
  </w:footnote>
  <w:footnote w:id="1">
    <w:p w14:paraId="5A948E5E" w14:textId="77777777" w:rsidR="001C51EB" w:rsidRPr="007101AF" w:rsidRDefault="001C51EB" w:rsidP="007101AF">
      <w:pPr>
        <w:pStyle w:val="Heading5"/>
        <w:spacing w:before="0" w:beforeAutospacing="0" w:after="0" w:afterAutospacing="0"/>
        <w:rPr>
          <w:rFonts w:ascii="Times" w:eastAsia="Times New Roman" w:hAnsi="Times"/>
          <w:b w:val="0"/>
          <w:sz w:val="22"/>
          <w:szCs w:val="22"/>
        </w:rPr>
      </w:pPr>
      <w:r w:rsidRPr="006D0E09">
        <w:rPr>
          <w:rStyle w:val="FootnoteReference"/>
          <w:rFonts w:ascii="Times" w:hAnsi="Times"/>
          <w:b w:val="0"/>
          <w:sz w:val="22"/>
          <w:szCs w:val="22"/>
        </w:rPr>
        <w:footnoteRef/>
      </w:r>
      <w:r w:rsidRPr="006D0E09">
        <w:rPr>
          <w:rFonts w:ascii="Times" w:hAnsi="Times"/>
          <w:b w:val="0"/>
          <w:sz w:val="22"/>
          <w:szCs w:val="22"/>
        </w:rPr>
        <w:t xml:space="preserve"> The Trevor Project </w:t>
      </w:r>
      <w:r w:rsidRPr="006D0E09">
        <w:rPr>
          <w:rFonts w:ascii="Times" w:eastAsia="Times New Roman" w:hAnsi="Times"/>
          <w:b w:val="0"/>
          <w:sz w:val="22"/>
          <w:szCs w:val="22"/>
        </w:rPr>
        <w:t xml:space="preserve">is the largest US organization providing crisis intervention and suicide </w:t>
      </w:r>
      <w:r w:rsidRPr="007101AF">
        <w:rPr>
          <w:rFonts w:ascii="Times" w:eastAsia="Times New Roman" w:hAnsi="Times"/>
          <w:b w:val="0"/>
          <w:sz w:val="22"/>
          <w:szCs w:val="22"/>
        </w:rPr>
        <w:t>prevention services—in the form of a hotline, workshops and other resources—to lesbian, gay,</w:t>
      </w:r>
      <w:r w:rsidRPr="006D0E09">
        <w:rPr>
          <w:rFonts w:ascii="Times" w:eastAsia="Times New Roman" w:hAnsi="Times"/>
          <w:b w:val="0"/>
          <w:sz w:val="22"/>
          <w:szCs w:val="22"/>
        </w:rPr>
        <w:t xml:space="preserve"> bisexual, transgender and questioning (LGBTQ) youth.</w:t>
      </w:r>
    </w:p>
  </w:footnote>
  <w:footnote w:id="2">
    <w:p w14:paraId="102695BA" w14:textId="4D1A5C43" w:rsidR="001C51EB" w:rsidRPr="007101AF" w:rsidRDefault="001C51EB" w:rsidP="007101AF">
      <w:pPr>
        <w:pStyle w:val="FootnoteText"/>
        <w:ind w:firstLine="0"/>
        <w:rPr>
          <w:rFonts w:ascii="Times" w:hAnsi="Times"/>
          <w:szCs w:val="22"/>
          <w:lang w:val="es-ES_tradnl"/>
        </w:rPr>
      </w:pPr>
      <w:r w:rsidRPr="007101AF">
        <w:rPr>
          <w:rStyle w:val="FootnoteReference"/>
          <w:rFonts w:ascii="Times" w:hAnsi="Times"/>
          <w:szCs w:val="22"/>
        </w:rPr>
        <w:footnoteRef/>
      </w:r>
      <w:r>
        <w:rPr>
          <w:rFonts w:ascii="Times" w:hAnsi="Times"/>
          <w:szCs w:val="22"/>
        </w:rPr>
        <w:t xml:space="preserve"> “Don't Ask, Don't Tell" (DADT) was the</w:t>
      </w:r>
      <w:r w:rsidRPr="007101AF">
        <w:rPr>
          <w:rFonts w:ascii="Times" w:hAnsi="Times"/>
          <w:szCs w:val="22"/>
        </w:rPr>
        <w:t xml:space="preserve"> </w:t>
      </w:r>
      <w:r>
        <w:rPr>
          <w:rFonts w:ascii="Times" w:hAnsi="Times"/>
          <w:szCs w:val="22"/>
        </w:rPr>
        <w:t>official U.S. policy that</w:t>
      </w:r>
      <w:r w:rsidRPr="007101AF">
        <w:rPr>
          <w:rFonts w:ascii="Times" w:hAnsi="Times"/>
          <w:szCs w:val="22"/>
        </w:rPr>
        <w:t xml:space="preserve"> prevented openly homosexual individua</w:t>
      </w:r>
      <w:r>
        <w:rPr>
          <w:rFonts w:ascii="Times" w:hAnsi="Times"/>
          <w:szCs w:val="22"/>
        </w:rPr>
        <w:t xml:space="preserve">ls from serving in the military. DADT was signed into law on </w:t>
      </w:r>
      <w:r w:rsidRPr="007101AF">
        <w:rPr>
          <w:rFonts w:ascii="Times" w:hAnsi="Times"/>
          <w:szCs w:val="22"/>
        </w:rPr>
        <w:t>December 2</w:t>
      </w:r>
      <w:r>
        <w:rPr>
          <w:rFonts w:ascii="Times" w:hAnsi="Times"/>
          <w:szCs w:val="22"/>
        </w:rPr>
        <w:t>1, 1993, and repealed September 20, 2011</w:t>
      </w:r>
      <w:r w:rsidRPr="007101AF">
        <w:rPr>
          <w:rFonts w:ascii="Times" w:hAnsi="Times"/>
          <w:szCs w:val="22"/>
        </w:rPr>
        <w:t xml:space="preserve">. </w:t>
      </w:r>
    </w:p>
  </w:footnote>
  <w:footnote w:id="3">
    <w:p w14:paraId="334AB16D" w14:textId="77777777" w:rsidR="001C51EB" w:rsidRPr="00075272" w:rsidRDefault="001C51EB" w:rsidP="00075272">
      <w:pPr>
        <w:tabs>
          <w:tab w:val="left" w:pos="709"/>
        </w:tabs>
        <w:spacing w:line="240" w:lineRule="auto"/>
        <w:ind w:firstLine="0"/>
        <w:rPr>
          <w:rFonts w:ascii="Times" w:hAnsi="Times"/>
          <w:szCs w:val="22"/>
        </w:rPr>
      </w:pPr>
      <w:r w:rsidRPr="007101AF">
        <w:rPr>
          <w:rStyle w:val="FootnoteReference"/>
          <w:rFonts w:ascii="Times" w:hAnsi="Times"/>
          <w:szCs w:val="22"/>
        </w:rPr>
        <w:footnoteRef/>
      </w:r>
      <w:r w:rsidRPr="007101AF">
        <w:rPr>
          <w:rFonts w:ascii="Times" w:hAnsi="Times"/>
          <w:szCs w:val="22"/>
        </w:rPr>
        <w:t xml:space="preserve"> In 2003, Savage ran a competition in his nationally syndicated advice column publically to shame</w:t>
      </w:r>
      <w:r w:rsidRPr="00075272">
        <w:rPr>
          <w:rFonts w:ascii="Times" w:hAnsi="Times"/>
          <w:szCs w:val="22"/>
        </w:rPr>
        <w:t xml:space="preserve"> Santorum for his comments, calling for suggestions to redefine “</w:t>
      </w:r>
      <w:proofErr w:type="spellStart"/>
      <w:r w:rsidRPr="00075272">
        <w:rPr>
          <w:rFonts w:ascii="Times" w:hAnsi="Times"/>
          <w:szCs w:val="22"/>
        </w:rPr>
        <w:t>santorum</w:t>
      </w:r>
      <w:proofErr w:type="spellEnd"/>
      <w:r w:rsidRPr="00075272">
        <w:rPr>
          <w:rFonts w:ascii="Times" w:hAnsi="Times"/>
          <w:szCs w:val="22"/>
        </w:rPr>
        <w:t xml:space="preserve">” as a noun. The winning entry was: “SANTORUM (pronounced san-TOR-um), </w:t>
      </w:r>
      <w:r w:rsidRPr="00075272">
        <w:rPr>
          <w:rFonts w:ascii="Times" w:hAnsi="Times"/>
          <w:i/>
          <w:szCs w:val="22"/>
        </w:rPr>
        <w:t>noun</w:t>
      </w:r>
      <w:r w:rsidRPr="00075272">
        <w:rPr>
          <w:rFonts w:ascii="Times" w:hAnsi="Times"/>
          <w:szCs w:val="22"/>
        </w:rPr>
        <w:t>, 1. The frothy mixture of lube and fecal matter that is sometimes the by-product of anal sex. 2. Former Senator Rick Santorum” (blog.spreadingsantorum.com, 2013). To the embarrassment of Santorum’s publicity team, the website promoting the use of the noun, spreadingsantorum.com, continued to be a top ten google.com search result for “</w:t>
      </w:r>
      <w:proofErr w:type="spellStart"/>
      <w:r w:rsidRPr="00075272">
        <w:rPr>
          <w:rFonts w:ascii="Times" w:hAnsi="Times"/>
          <w:szCs w:val="22"/>
        </w:rPr>
        <w:t>santorum</w:t>
      </w:r>
      <w:proofErr w:type="spellEnd"/>
      <w:r w:rsidRPr="00075272">
        <w:rPr>
          <w:rFonts w:ascii="Times" w:hAnsi="Times"/>
          <w:szCs w:val="22"/>
        </w:rPr>
        <w:t>” throughout the 2012 primary season.</w:t>
      </w:r>
    </w:p>
  </w:footnote>
  <w:footnote w:id="4">
    <w:p w14:paraId="5385668F" w14:textId="77777777" w:rsidR="001C51EB" w:rsidRPr="006D0E09" w:rsidRDefault="001C51EB" w:rsidP="001A4E00">
      <w:pPr>
        <w:pStyle w:val="FootnoteText"/>
        <w:ind w:firstLine="0"/>
        <w:rPr>
          <w:rFonts w:ascii="Times" w:hAnsi="Times"/>
          <w:lang w:val="es-ES_tradnl"/>
        </w:rPr>
      </w:pPr>
      <w:r w:rsidRPr="006D0E09">
        <w:rPr>
          <w:rStyle w:val="FootnoteReference"/>
          <w:rFonts w:ascii="Times" w:hAnsi="Times"/>
        </w:rPr>
        <w:footnoteRef/>
      </w:r>
      <w:r w:rsidRPr="006D0E09">
        <w:rPr>
          <w:rFonts w:ascii="Times" w:hAnsi="Times"/>
        </w:rPr>
        <w:t xml:space="preserve"> </w:t>
      </w:r>
      <w:r w:rsidRPr="006D0E09">
        <w:rPr>
          <w:rFonts w:ascii="Times" w:hAnsi="Times"/>
          <w:szCs w:val="22"/>
        </w:rPr>
        <w:t>http://itgetsbetter.org</w:t>
      </w:r>
    </w:p>
  </w:footnote>
  <w:footnote w:id="5">
    <w:p w14:paraId="3FBC4C1F" w14:textId="669E2CD2" w:rsidR="001C51EB" w:rsidRPr="006D0E09" w:rsidRDefault="001C51EB" w:rsidP="001A4E00">
      <w:pPr>
        <w:pStyle w:val="FootnoteText"/>
        <w:ind w:firstLine="0"/>
        <w:rPr>
          <w:rFonts w:ascii="Times" w:hAnsi="Times"/>
          <w:b/>
          <w:lang w:val="es-ES_tradnl"/>
        </w:rPr>
      </w:pPr>
      <w:r w:rsidRPr="006D0E09">
        <w:rPr>
          <w:rStyle w:val="FootnoteReference"/>
          <w:rFonts w:ascii="Times" w:hAnsi="Times"/>
          <w:b/>
        </w:rPr>
        <w:footnoteRef/>
      </w:r>
      <w:r w:rsidRPr="006D0E09">
        <w:rPr>
          <w:rFonts w:ascii="Times" w:hAnsi="Times"/>
          <w:b/>
        </w:rPr>
        <w:t xml:space="preserve"> </w:t>
      </w:r>
      <w:r w:rsidRPr="006D0E09">
        <w:rPr>
          <w:rFonts w:ascii="Times" w:hAnsi="Times"/>
        </w:rPr>
        <w:t xml:space="preserve">YouTube has a notoriously loose policy, </w:t>
      </w:r>
      <w:r>
        <w:rPr>
          <w:rFonts w:ascii="Times" w:hAnsi="Times"/>
        </w:rPr>
        <w:t>stating in its terms of use</w:t>
      </w:r>
      <w:r w:rsidRPr="006D0E09">
        <w:rPr>
          <w:rFonts w:ascii="Times" w:hAnsi="Times"/>
        </w:rPr>
        <w:t>: “don’t post videos of any bad stuff” (</w:t>
      </w:r>
      <w:r w:rsidRPr="004D3C1F">
        <w:rPr>
          <w:rFonts w:ascii="Times" w:hAnsi="Times"/>
        </w:rPr>
        <w:t>http://www.youtube.com/t/community_guidelines</w:t>
      </w:r>
      <w:r w:rsidRPr="006D0E09">
        <w:rPr>
          <w:rFonts w:ascii="Times" w:hAnsi="Times"/>
        </w:rPr>
        <w:t>)</w:t>
      </w:r>
      <w:r>
        <w:rPr>
          <w:rFonts w:ascii="Times" w:hAnsi="Times"/>
        </w:rPr>
        <w:t>. Analysis of IGBP style videos posted to YouTube would be undoubtedly revealing, but different from this study.</w:t>
      </w:r>
    </w:p>
  </w:footnote>
  <w:footnote w:id="6">
    <w:p w14:paraId="077E5740" w14:textId="473F3F08" w:rsidR="001C51EB" w:rsidRPr="009F7C69" w:rsidRDefault="001C51EB" w:rsidP="009D4FFF">
      <w:pPr>
        <w:pStyle w:val="FootnoteText"/>
        <w:ind w:firstLine="0"/>
        <w:rPr>
          <w:szCs w:val="22"/>
        </w:rPr>
      </w:pPr>
      <w:r w:rsidRPr="009F7C69">
        <w:rPr>
          <w:rStyle w:val="FootnoteReference"/>
          <w:szCs w:val="22"/>
        </w:rPr>
        <w:footnoteRef/>
      </w:r>
      <w:r w:rsidRPr="009F7C69">
        <w:rPr>
          <w:szCs w:val="22"/>
        </w:rPr>
        <w:t xml:space="preserve"> </w:t>
      </w:r>
      <w:r w:rsidRPr="009D4FFF">
        <w:rPr>
          <w:sz w:val="22"/>
          <w:szCs w:val="22"/>
        </w:rPr>
        <w:t>There is no password or registration requirement to enter the site, and the Terms of Agreement are explicit: “User Content that you submit will be made available to the general public” (http://itgetsbetter.org, 2013).</w:t>
      </w:r>
    </w:p>
  </w:footnote>
  <w:footnote w:id="7">
    <w:p w14:paraId="35C128BD" w14:textId="77777777" w:rsidR="001C51EB" w:rsidRPr="006D0E09" w:rsidRDefault="001C51EB" w:rsidP="00D67308">
      <w:pPr>
        <w:pStyle w:val="FootnoteText"/>
        <w:ind w:firstLine="0"/>
        <w:rPr>
          <w:rFonts w:ascii="Times" w:hAnsi="Times"/>
          <w:lang w:val="es-ES_tradnl"/>
        </w:rPr>
      </w:pPr>
      <w:r w:rsidRPr="006D0E09">
        <w:rPr>
          <w:rStyle w:val="FootnoteReference"/>
          <w:rFonts w:ascii="Times" w:hAnsi="Times"/>
        </w:rPr>
        <w:footnoteRef/>
      </w:r>
      <w:r w:rsidRPr="006D0E09">
        <w:rPr>
          <w:rFonts w:ascii="Times" w:hAnsi="Times"/>
        </w:rPr>
        <w:t xml:space="preserve"> I took the sixth video from each page of ten </w:t>
      </w:r>
      <w:r>
        <w:rPr>
          <w:rFonts w:ascii="Times" w:hAnsi="Times"/>
        </w:rPr>
        <w:t>videos listed in the category</w:t>
      </w:r>
      <w:r w:rsidRPr="006D0E09">
        <w:rPr>
          <w:rFonts w:ascii="Times" w:hAnsi="Times"/>
        </w:rPr>
        <w:t xml:space="preserve">. </w:t>
      </w:r>
    </w:p>
  </w:footnote>
  <w:footnote w:id="8">
    <w:p w14:paraId="4E44AE94" w14:textId="77777777" w:rsidR="001C51EB" w:rsidRPr="007938B3" w:rsidRDefault="001C51EB" w:rsidP="007938B3">
      <w:pPr>
        <w:pStyle w:val="FootnoteText"/>
        <w:ind w:firstLine="0"/>
        <w:rPr>
          <w:rFonts w:ascii="Times" w:hAnsi="Times"/>
          <w:szCs w:val="22"/>
          <w:lang w:val="es-ES_tradnl"/>
        </w:rPr>
      </w:pPr>
      <w:r w:rsidRPr="007938B3">
        <w:rPr>
          <w:rStyle w:val="FootnoteReference"/>
          <w:rFonts w:ascii="Times" w:hAnsi="Times"/>
          <w:szCs w:val="22"/>
        </w:rPr>
        <w:footnoteRef/>
      </w:r>
      <w:r w:rsidRPr="007938B3">
        <w:rPr>
          <w:rFonts w:ascii="Times" w:hAnsi="Times"/>
          <w:szCs w:val="22"/>
        </w:rPr>
        <w:t xml:space="preserve"> </w:t>
      </w:r>
      <w:proofErr w:type="spellStart"/>
      <w:r w:rsidRPr="007938B3">
        <w:rPr>
          <w:rFonts w:ascii="Times" w:hAnsi="Times"/>
          <w:szCs w:val="22"/>
          <w:lang w:val="es-ES_tradnl"/>
        </w:rPr>
        <w:t>There</w:t>
      </w:r>
      <w:proofErr w:type="spellEnd"/>
      <w:r w:rsidRPr="007938B3">
        <w:rPr>
          <w:rFonts w:ascii="Times" w:hAnsi="Times"/>
          <w:szCs w:val="22"/>
          <w:lang w:val="es-ES_tradnl"/>
        </w:rPr>
        <w:t xml:space="preserve"> are </w:t>
      </w:r>
      <w:proofErr w:type="spellStart"/>
      <w:r w:rsidRPr="007938B3">
        <w:rPr>
          <w:rFonts w:ascii="Times" w:hAnsi="Times"/>
          <w:szCs w:val="22"/>
          <w:lang w:val="es-ES_tradnl"/>
        </w:rPr>
        <w:t>twenty-one</w:t>
      </w:r>
      <w:proofErr w:type="spellEnd"/>
      <w:r w:rsidRPr="007938B3">
        <w:rPr>
          <w:rFonts w:ascii="Times" w:hAnsi="Times"/>
          <w:szCs w:val="22"/>
          <w:lang w:val="es-ES_tradnl"/>
        </w:rPr>
        <w:t xml:space="preserve"> </w:t>
      </w:r>
      <w:proofErr w:type="spellStart"/>
      <w:r w:rsidRPr="007938B3">
        <w:rPr>
          <w:rFonts w:ascii="Times" w:hAnsi="Times"/>
          <w:szCs w:val="22"/>
          <w:lang w:val="es-ES_tradnl"/>
        </w:rPr>
        <w:t>primary</w:t>
      </w:r>
      <w:proofErr w:type="spellEnd"/>
      <w:r w:rsidRPr="007938B3">
        <w:rPr>
          <w:rFonts w:ascii="Times" w:hAnsi="Times"/>
          <w:szCs w:val="22"/>
          <w:lang w:val="es-ES_tradnl"/>
        </w:rPr>
        <w:t xml:space="preserve"> </w:t>
      </w:r>
      <w:proofErr w:type="spellStart"/>
      <w:r w:rsidRPr="007938B3">
        <w:rPr>
          <w:rFonts w:ascii="Times" w:hAnsi="Times"/>
          <w:szCs w:val="22"/>
          <w:lang w:val="es-ES_tradnl"/>
        </w:rPr>
        <w:t>speakers</w:t>
      </w:r>
      <w:proofErr w:type="spellEnd"/>
      <w:r w:rsidRPr="007938B3">
        <w:rPr>
          <w:rFonts w:ascii="Times" w:hAnsi="Times"/>
          <w:szCs w:val="22"/>
          <w:lang w:val="es-ES_tradnl"/>
        </w:rPr>
        <w:t xml:space="preserve"> </w:t>
      </w:r>
      <w:proofErr w:type="spellStart"/>
      <w:r w:rsidRPr="007938B3">
        <w:rPr>
          <w:rFonts w:ascii="Times" w:hAnsi="Times"/>
          <w:szCs w:val="22"/>
          <w:lang w:val="es-ES_tradnl"/>
        </w:rPr>
        <w:t>featured</w:t>
      </w:r>
      <w:proofErr w:type="spellEnd"/>
      <w:r w:rsidRPr="007938B3">
        <w:rPr>
          <w:rFonts w:ascii="Times" w:hAnsi="Times"/>
          <w:szCs w:val="22"/>
          <w:lang w:val="es-ES_tradnl"/>
        </w:rPr>
        <w:t xml:space="preserve"> </w:t>
      </w:r>
      <w:proofErr w:type="spellStart"/>
      <w:r w:rsidRPr="007938B3">
        <w:rPr>
          <w:rFonts w:ascii="Times" w:hAnsi="Times"/>
          <w:szCs w:val="22"/>
          <w:lang w:val="es-ES_tradnl"/>
        </w:rPr>
        <w:t>across</w:t>
      </w:r>
      <w:proofErr w:type="spellEnd"/>
      <w:r w:rsidRPr="007938B3">
        <w:rPr>
          <w:rFonts w:ascii="Times" w:hAnsi="Times"/>
          <w:szCs w:val="22"/>
          <w:lang w:val="es-ES_tradnl"/>
        </w:rPr>
        <w:t xml:space="preserve"> </w:t>
      </w:r>
      <w:proofErr w:type="spellStart"/>
      <w:r w:rsidRPr="007938B3">
        <w:rPr>
          <w:rFonts w:ascii="Times" w:hAnsi="Times"/>
          <w:szCs w:val="22"/>
          <w:lang w:val="es-ES_tradnl"/>
        </w:rPr>
        <w:t>the</w:t>
      </w:r>
      <w:proofErr w:type="spellEnd"/>
      <w:r w:rsidRPr="007938B3">
        <w:rPr>
          <w:rFonts w:ascii="Times" w:hAnsi="Times"/>
          <w:szCs w:val="22"/>
          <w:lang w:val="es-ES_tradnl"/>
        </w:rPr>
        <w:t xml:space="preserve"> </w:t>
      </w:r>
      <w:proofErr w:type="spellStart"/>
      <w:r w:rsidRPr="007938B3">
        <w:rPr>
          <w:rFonts w:ascii="Times" w:hAnsi="Times"/>
          <w:szCs w:val="22"/>
          <w:lang w:val="es-ES_tradnl"/>
        </w:rPr>
        <w:t>twenty</w:t>
      </w:r>
      <w:proofErr w:type="spellEnd"/>
      <w:r w:rsidRPr="007938B3">
        <w:rPr>
          <w:rFonts w:ascii="Times" w:hAnsi="Times"/>
          <w:szCs w:val="22"/>
          <w:lang w:val="es-ES_tradnl"/>
        </w:rPr>
        <w:t xml:space="preserve"> videos, of </w:t>
      </w:r>
      <w:proofErr w:type="spellStart"/>
      <w:r w:rsidRPr="007938B3">
        <w:rPr>
          <w:rFonts w:ascii="Times" w:hAnsi="Times"/>
          <w:szCs w:val="22"/>
          <w:lang w:val="es-ES_tradnl"/>
        </w:rPr>
        <w:t>which</w:t>
      </w:r>
      <w:proofErr w:type="spellEnd"/>
      <w:r w:rsidRPr="007938B3">
        <w:rPr>
          <w:rFonts w:ascii="Times" w:hAnsi="Times"/>
          <w:szCs w:val="22"/>
          <w:lang w:val="es-ES_tradnl"/>
        </w:rPr>
        <w:t xml:space="preserve"> </w:t>
      </w:r>
      <w:proofErr w:type="spellStart"/>
      <w:r w:rsidRPr="007938B3">
        <w:rPr>
          <w:rFonts w:ascii="Times" w:hAnsi="Times"/>
          <w:szCs w:val="22"/>
          <w:lang w:val="es-ES_tradnl"/>
        </w:rPr>
        <w:t>nineteen</w:t>
      </w:r>
      <w:proofErr w:type="spellEnd"/>
      <w:r w:rsidRPr="007938B3">
        <w:rPr>
          <w:rFonts w:ascii="Times" w:hAnsi="Times"/>
          <w:szCs w:val="22"/>
          <w:lang w:val="es-ES_tradnl"/>
        </w:rPr>
        <w:t xml:space="preserve"> are </w:t>
      </w:r>
      <w:proofErr w:type="spellStart"/>
      <w:r w:rsidRPr="007938B3">
        <w:rPr>
          <w:rFonts w:ascii="Times" w:hAnsi="Times"/>
          <w:szCs w:val="22"/>
          <w:lang w:val="es-ES_tradnl"/>
        </w:rPr>
        <w:t>Caucasian</w:t>
      </w:r>
      <w:proofErr w:type="spellEnd"/>
      <w:r w:rsidRPr="007938B3">
        <w:rPr>
          <w:rFonts w:ascii="Times" w:hAnsi="Times"/>
          <w:szCs w:val="22"/>
          <w:lang w:val="es-ES_tradnl"/>
        </w:rPr>
        <w:t xml:space="preserve">, </w:t>
      </w:r>
      <w:proofErr w:type="spellStart"/>
      <w:r w:rsidRPr="007938B3">
        <w:rPr>
          <w:rFonts w:ascii="Times" w:hAnsi="Times"/>
          <w:szCs w:val="22"/>
          <w:lang w:val="es-ES_tradnl"/>
        </w:rPr>
        <w:t>one</w:t>
      </w:r>
      <w:proofErr w:type="spellEnd"/>
      <w:r w:rsidRPr="007938B3">
        <w:rPr>
          <w:rFonts w:ascii="Times" w:hAnsi="Times"/>
          <w:szCs w:val="22"/>
          <w:lang w:val="es-ES_tradnl"/>
        </w:rPr>
        <w:t xml:space="preserve"> </w:t>
      </w:r>
      <w:proofErr w:type="spellStart"/>
      <w:r w:rsidRPr="007938B3">
        <w:rPr>
          <w:rFonts w:ascii="Times" w:hAnsi="Times"/>
          <w:szCs w:val="22"/>
          <w:lang w:val="es-ES_tradnl"/>
        </w:rPr>
        <w:t>is</w:t>
      </w:r>
      <w:proofErr w:type="spellEnd"/>
      <w:r w:rsidRPr="007938B3">
        <w:rPr>
          <w:rFonts w:ascii="Times" w:hAnsi="Times"/>
          <w:szCs w:val="22"/>
          <w:lang w:val="es-ES_tradnl"/>
        </w:rPr>
        <w:t xml:space="preserve"> Latino and </w:t>
      </w:r>
      <w:proofErr w:type="spellStart"/>
      <w:r w:rsidRPr="007938B3">
        <w:rPr>
          <w:rFonts w:ascii="Times" w:hAnsi="Times"/>
          <w:szCs w:val="22"/>
          <w:lang w:val="es-ES_tradnl"/>
        </w:rPr>
        <w:t>one</w:t>
      </w:r>
      <w:proofErr w:type="spellEnd"/>
      <w:r w:rsidRPr="007938B3">
        <w:rPr>
          <w:rFonts w:ascii="Times" w:hAnsi="Times"/>
          <w:szCs w:val="22"/>
          <w:lang w:val="es-ES_tradnl"/>
        </w:rPr>
        <w:t xml:space="preserve"> </w:t>
      </w:r>
      <w:proofErr w:type="spellStart"/>
      <w:r w:rsidRPr="007938B3">
        <w:rPr>
          <w:rFonts w:ascii="Times" w:hAnsi="Times"/>
          <w:szCs w:val="22"/>
          <w:lang w:val="es-ES_tradnl"/>
        </w:rPr>
        <w:t>is</w:t>
      </w:r>
      <w:proofErr w:type="spellEnd"/>
      <w:r w:rsidRPr="007938B3">
        <w:rPr>
          <w:rFonts w:ascii="Times" w:hAnsi="Times"/>
          <w:szCs w:val="22"/>
          <w:lang w:val="es-ES_tradnl"/>
        </w:rPr>
        <w:t xml:space="preserve"> </w:t>
      </w:r>
      <w:proofErr w:type="spellStart"/>
      <w:r w:rsidRPr="007938B3">
        <w:rPr>
          <w:rFonts w:ascii="Times" w:hAnsi="Times"/>
          <w:szCs w:val="22"/>
          <w:lang w:val="es-ES_tradnl"/>
        </w:rPr>
        <w:t>Pakistani</w:t>
      </w:r>
      <w:proofErr w:type="spellEnd"/>
      <w:r w:rsidRPr="007938B3">
        <w:rPr>
          <w:rFonts w:ascii="Times" w:hAnsi="Times"/>
          <w:szCs w:val="22"/>
          <w:lang w:val="es-ES_tradnl"/>
        </w:rPr>
        <w:t xml:space="preserve"> (</w:t>
      </w:r>
      <w:proofErr w:type="spellStart"/>
      <w:r w:rsidRPr="007938B3">
        <w:rPr>
          <w:rFonts w:ascii="Times" w:hAnsi="Times"/>
          <w:szCs w:val="22"/>
          <w:lang w:val="es-ES_tradnl"/>
        </w:rPr>
        <w:t>both</w:t>
      </w:r>
      <w:proofErr w:type="spellEnd"/>
      <w:r w:rsidRPr="007938B3">
        <w:rPr>
          <w:rFonts w:ascii="Times" w:hAnsi="Times"/>
          <w:szCs w:val="22"/>
          <w:lang w:val="es-ES_tradnl"/>
        </w:rPr>
        <w:t xml:space="preserve"> </w:t>
      </w:r>
      <w:proofErr w:type="spellStart"/>
      <w:r w:rsidRPr="007938B3">
        <w:rPr>
          <w:rFonts w:ascii="Times" w:hAnsi="Times"/>
          <w:szCs w:val="22"/>
          <w:lang w:val="es-ES_tradnl"/>
        </w:rPr>
        <w:t>men</w:t>
      </w:r>
      <w:proofErr w:type="spellEnd"/>
      <w:r w:rsidRPr="007938B3">
        <w:rPr>
          <w:rFonts w:ascii="Times" w:hAnsi="Times"/>
          <w:szCs w:val="22"/>
          <w:lang w:val="es-ES_tradnl"/>
        </w:rPr>
        <w:t xml:space="preserve">). </w:t>
      </w:r>
      <w:proofErr w:type="spellStart"/>
      <w:r w:rsidRPr="007938B3">
        <w:rPr>
          <w:rFonts w:ascii="Times" w:hAnsi="Times"/>
          <w:szCs w:val="22"/>
          <w:lang w:val="es-ES_tradnl"/>
        </w:rPr>
        <w:t>Seven</w:t>
      </w:r>
      <w:proofErr w:type="spellEnd"/>
      <w:r w:rsidRPr="007938B3">
        <w:rPr>
          <w:rFonts w:ascii="Times" w:hAnsi="Times"/>
          <w:szCs w:val="22"/>
          <w:lang w:val="es-ES_tradnl"/>
        </w:rPr>
        <w:t xml:space="preserve"> are </w:t>
      </w:r>
      <w:proofErr w:type="spellStart"/>
      <w:r w:rsidRPr="007938B3">
        <w:rPr>
          <w:rFonts w:ascii="Times" w:hAnsi="Times"/>
          <w:szCs w:val="22"/>
          <w:lang w:val="es-ES_tradnl"/>
        </w:rPr>
        <w:t>women</w:t>
      </w:r>
      <w:proofErr w:type="spellEnd"/>
      <w:r w:rsidRPr="007938B3">
        <w:rPr>
          <w:rFonts w:ascii="Times" w:hAnsi="Times"/>
          <w:szCs w:val="22"/>
          <w:lang w:val="es-ES_tradnl"/>
        </w:rPr>
        <w:t xml:space="preserve">, </w:t>
      </w:r>
      <w:proofErr w:type="spellStart"/>
      <w:r w:rsidRPr="007938B3">
        <w:rPr>
          <w:rFonts w:ascii="Times" w:hAnsi="Times"/>
          <w:szCs w:val="22"/>
          <w:lang w:val="es-ES_tradnl"/>
        </w:rPr>
        <w:t>thirteen</w:t>
      </w:r>
      <w:proofErr w:type="spellEnd"/>
      <w:r w:rsidRPr="007938B3">
        <w:rPr>
          <w:rFonts w:ascii="Times" w:hAnsi="Times"/>
          <w:szCs w:val="22"/>
          <w:lang w:val="es-ES_tradnl"/>
        </w:rPr>
        <w:t xml:space="preserve"> are </w:t>
      </w:r>
      <w:proofErr w:type="spellStart"/>
      <w:r w:rsidRPr="007938B3">
        <w:rPr>
          <w:rFonts w:ascii="Times" w:hAnsi="Times"/>
          <w:szCs w:val="22"/>
          <w:lang w:val="es-ES_tradnl"/>
        </w:rPr>
        <w:t>men</w:t>
      </w:r>
      <w:proofErr w:type="spellEnd"/>
      <w:r w:rsidRPr="007938B3">
        <w:rPr>
          <w:rFonts w:ascii="Times" w:hAnsi="Times"/>
          <w:szCs w:val="22"/>
          <w:lang w:val="es-ES_tradnl"/>
        </w:rPr>
        <w:t xml:space="preserve"> and </w:t>
      </w:r>
      <w:proofErr w:type="spellStart"/>
      <w:r w:rsidRPr="007938B3">
        <w:rPr>
          <w:rFonts w:ascii="Times" w:hAnsi="Times"/>
          <w:szCs w:val="22"/>
          <w:lang w:val="es-ES_tradnl"/>
        </w:rPr>
        <w:t>one</w:t>
      </w:r>
      <w:proofErr w:type="spellEnd"/>
      <w:r w:rsidRPr="007938B3">
        <w:rPr>
          <w:rFonts w:ascii="Times" w:hAnsi="Times"/>
          <w:szCs w:val="22"/>
          <w:lang w:val="es-ES_tradnl"/>
        </w:rPr>
        <w:t xml:space="preserve"> </w:t>
      </w:r>
      <w:proofErr w:type="spellStart"/>
      <w:r w:rsidRPr="007938B3">
        <w:rPr>
          <w:rFonts w:ascii="Times" w:hAnsi="Times"/>
          <w:szCs w:val="22"/>
          <w:lang w:val="es-ES_tradnl"/>
        </w:rPr>
        <w:t>identifies</w:t>
      </w:r>
      <w:proofErr w:type="spellEnd"/>
      <w:r w:rsidRPr="007938B3">
        <w:rPr>
          <w:rFonts w:ascii="Times" w:hAnsi="Times"/>
          <w:szCs w:val="22"/>
          <w:lang w:val="es-ES_tradnl"/>
        </w:rPr>
        <w:t xml:space="preserve"> as </w:t>
      </w:r>
      <w:proofErr w:type="spellStart"/>
      <w:r w:rsidRPr="007938B3">
        <w:rPr>
          <w:rFonts w:ascii="Times" w:hAnsi="Times"/>
          <w:szCs w:val="22"/>
          <w:lang w:val="es-ES_tradnl"/>
        </w:rPr>
        <w:t>trans</w:t>
      </w:r>
      <w:proofErr w:type="spellEnd"/>
      <w:r w:rsidRPr="007938B3">
        <w:rPr>
          <w:rFonts w:ascii="Times" w:hAnsi="Times"/>
          <w:szCs w:val="22"/>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9278F" w14:textId="77777777" w:rsidR="001C51EB" w:rsidRPr="00483FC4" w:rsidRDefault="001C51EB" w:rsidP="00483FC4">
    <w:pPr>
      <w:pStyle w:val="Header"/>
      <w:tabs>
        <w:tab w:val="clear" w:pos="4320"/>
        <w:tab w:val="clear" w:pos="8640"/>
        <w:tab w:val="right" w:pos="8300"/>
      </w:tabs>
      <w:spacing w:line="276" w:lineRule="auto"/>
      <w:ind w:firstLine="0"/>
      <w:rPr>
        <w:sz w:val="20"/>
        <w:szCs w:val="20"/>
      </w:rPr>
    </w:pPr>
  </w:p>
  <w:p w14:paraId="091F6860" w14:textId="77777777" w:rsidR="001C51EB" w:rsidRDefault="001C51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F76D8"/>
    <w:multiLevelType w:val="hybridMultilevel"/>
    <w:tmpl w:val="AA76F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791696"/>
    <w:multiLevelType w:val="hybridMultilevel"/>
    <w:tmpl w:val="5FA82854"/>
    <w:lvl w:ilvl="0" w:tplc="A552A5C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3206A"/>
    <w:multiLevelType w:val="hybridMultilevel"/>
    <w:tmpl w:val="22F0AD92"/>
    <w:lvl w:ilvl="0" w:tplc="8228AA2E">
      <w:start w:val="2"/>
      <w:numFmt w:val="bullet"/>
      <w:lvlText w:val="-"/>
      <w:lvlJc w:val="left"/>
      <w:pPr>
        <w:ind w:left="1494" w:hanging="360"/>
      </w:pPr>
      <w:rPr>
        <w:rFonts w:ascii="Calibri" w:eastAsiaTheme="minorEastAsia" w:hAnsi="Calibri" w:cstheme="minorBidi"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 w15:restartNumberingAfterBreak="0">
    <w:nsid w:val="1F357CFB"/>
    <w:multiLevelType w:val="hybridMultilevel"/>
    <w:tmpl w:val="4AC6106E"/>
    <w:lvl w:ilvl="0" w:tplc="FDC07072">
      <w:start w:val="3"/>
      <w:numFmt w:val="bullet"/>
      <w:lvlText w:val="-"/>
      <w:lvlJc w:val="left"/>
      <w:pPr>
        <w:ind w:left="1494" w:hanging="360"/>
      </w:pPr>
      <w:rPr>
        <w:rFonts w:ascii="Calibri" w:eastAsiaTheme="minorEastAsia" w:hAnsi="Calibri" w:cstheme="minorBidi"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 w15:restartNumberingAfterBreak="0">
    <w:nsid w:val="2473196F"/>
    <w:multiLevelType w:val="hybridMultilevel"/>
    <w:tmpl w:val="3A4A8A88"/>
    <w:lvl w:ilvl="0" w:tplc="890C17C4">
      <w:start w:val="4"/>
      <w:numFmt w:val="bullet"/>
      <w:lvlText w:val="-"/>
      <w:lvlJc w:val="left"/>
      <w:pPr>
        <w:ind w:left="1080" w:hanging="360"/>
      </w:pPr>
      <w:rPr>
        <w:rFonts w:ascii="Times" w:eastAsiaTheme="minorEastAsia" w:hAnsi="Times"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9A4B9C"/>
    <w:multiLevelType w:val="multilevel"/>
    <w:tmpl w:val="658AF19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071BF7"/>
    <w:multiLevelType w:val="hybridMultilevel"/>
    <w:tmpl w:val="50A67760"/>
    <w:lvl w:ilvl="0" w:tplc="58C4C1F4">
      <w:start w:val="4"/>
      <w:numFmt w:val="bullet"/>
      <w:lvlText w:val="-"/>
      <w:lvlJc w:val="left"/>
      <w:pPr>
        <w:ind w:left="644" w:hanging="360"/>
      </w:pPr>
      <w:rPr>
        <w:rFonts w:ascii="Times" w:eastAsiaTheme="minorEastAsia" w:hAnsi="Times" w:cstheme="minorBid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365A621C"/>
    <w:multiLevelType w:val="hybridMultilevel"/>
    <w:tmpl w:val="B774867E"/>
    <w:lvl w:ilvl="0" w:tplc="A06016B0">
      <w:start w:val="3"/>
      <w:numFmt w:val="bullet"/>
      <w:lvlText w:val="-"/>
      <w:lvlJc w:val="left"/>
      <w:pPr>
        <w:ind w:left="1494" w:hanging="360"/>
      </w:pPr>
      <w:rPr>
        <w:rFonts w:ascii="Calibri" w:eastAsiaTheme="minorEastAsia" w:hAnsi="Calibri" w:cstheme="minorBidi"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 w15:restartNumberingAfterBreak="0">
    <w:nsid w:val="67642C65"/>
    <w:multiLevelType w:val="hybridMultilevel"/>
    <w:tmpl w:val="733E8FF2"/>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05398C"/>
    <w:multiLevelType w:val="hybridMultilevel"/>
    <w:tmpl w:val="C44A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4C3161"/>
    <w:multiLevelType w:val="hybridMultilevel"/>
    <w:tmpl w:val="E6583A52"/>
    <w:lvl w:ilvl="0" w:tplc="DD988A4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9"/>
  </w:num>
  <w:num w:numId="4">
    <w:abstractNumId w:val="5"/>
  </w:num>
  <w:num w:numId="5">
    <w:abstractNumId w:val="1"/>
  </w:num>
  <w:num w:numId="6">
    <w:abstractNumId w:val="0"/>
  </w:num>
  <w:num w:numId="7">
    <w:abstractNumId w:val="3"/>
  </w:num>
  <w:num w:numId="8">
    <w:abstractNumId w:val="2"/>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AA Style Guide Adapted&lt;/Style&gt;&lt;LeftDelim&gt;{&lt;/LeftDelim&gt;&lt;RightDelim&gt;}&lt;/RightDelim&gt;&lt;FontName&gt;Times&lt;/FontName&gt;&lt;FontSize&gt;12&lt;/FontSize&gt;&lt;ReflistTitle&gt;&lt;/ReflistTitle&gt;&lt;StartingRefnum&gt;1&lt;/StartingRefnum&gt;&lt;FirstLineIndent&gt;0&lt;/FirstLineIndent&gt;&lt;HangingIndent&gt;0&lt;/HangingIndent&gt;&lt;LineSpacing&gt;0&lt;/LineSpacing&gt;&lt;SpaceAfter&gt;2&lt;/SpaceAfter&gt;&lt;HyperlinksEnabled&gt;1&lt;/HyperlinksEnabled&gt;&lt;HyperlinksVisible&gt;0&lt;/HyperlinksVisible&gt;&lt;/ENLayout&gt;"/>
    <w:docVar w:name="EN.Libraries" w:val="&lt;Libraries&gt;&lt;item db-id=&quot;x0x2x9vw3vz5wretwfnpsavdxe0w5pfpzees&quot;&gt;My EndNote Library&lt;record-ids&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5&lt;/item&gt;&lt;item&gt;56&lt;/item&gt;&lt;item&gt;57&lt;/item&gt;&lt;item&gt;58&lt;/item&gt;&lt;item&gt;60&lt;/item&gt;&lt;item&gt;61&lt;/item&gt;&lt;item&gt;135&lt;/item&gt;&lt;item&gt;158&lt;/item&gt;&lt;item&gt;197&lt;/item&gt;&lt;item&gt;198&lt;/item&gt;&lt;item&gt;199&lt;/item&gt;&lt;item&gt;200&lt;/item&gt;&lt;item&gt;201&lt;/item&gt;&lt;item&gt;202&lt;/item&gt;&lt;item&gt;203&lt;/item&gt;&lt;item&gt;204&lt;/item&gt;&lt;item&gt;205&lt;/item&gt;&lt;item&gt;206&lt;/item&gt;&lt;item&gt;237&lt;/item&gt;&lt;item&gt;265&lt;/item&gt;&lt;item&gt;279&lt;/item&gt;&lt;item&gt;281&lt;/item&gt;&lt;item&gt;282&lt;/item&gt;&lt;item&gt;283&lt;/item&gt;&lt;item&gt;284&lt;/item&gt;&lt;/record-ids&gt;&lt;/item&gt;&lt;/Libraries&gt;"/>
  </w:docVars>
  <w:rsids>
    <w:rsidRoot w:val="00A65624"/>
    <w:rsid w:val="00002414"/>
    <w:rsid w:val="00004F46"/>
    <w:rsid w:val="00007640"/>
    <w:rsid w:val="00007870"/>
    <w:rsid w:val="00022375"/>
    <w:rsid w:val="00040010"/>
    <w:rsid w:val="000416EB"/>
    <w:rsid w:val="000419A9"/>
    <w:rsid w:val="00044E52"/>
    <w:rsid w:val="00053004"/>
    <w:rsid w:val="00057629"/>
    <w:rsid w:val="000657BD"/>
    <w:rsid w:val="00070F1C"/>
    <w:rsid w:val="000743D9"/>
    <w:rsid w:val="00075272"/>
    <w:rsid w:val="000849A8"/>
    <w:rsid w:val="000A2EF9"/>
    <w:rsid w:val="000A32B5"/>
    <w:rsid w:val="000A4FC6"/>
    <w:rsid w:val="000A785F"/>
    <w:rsid w:val="000B5204"/>
    <w:rsid w:val="000C0BE6"/>
    <w:rsid w:val="000C104F"/>
    <w:rsid w:val="000C398B"/>
    <w:rsid w:val="000C3B00"/>
    <w:rsid w:val="000C607E"/>
    <w:rsid w:val="000C6493"/>
    <w:rsid w:val="000D1888"/>
    <w:rsid w:val="000D3BA9"/>
    <w:rsid w:val="000E581F"/>
    <w:rsid w:val="001003DC"/>
    <w:rsid w:val="00106A76"/>
    <w:rsid w:val="00107679"/>
    <w:rsid w:val="0011168C"/>
    <w:rsid w:val="00112F13"/>
    <w:rsid w:val="00116A6A"/>
    <w:rsid w:val="00127C47"/>
    <w:rsid w:val="001346A9"/>
    <w:rsid w:val="00136293"/>
    <w:rsid w:val="0014343E"/>
    <w:rsid w:val="00143750"/>
    <w:rsid w:val="0014723C"/>
    <w:rsid w:val="001654DF"/>
    <w:rsid w:val="0017165A"/>
    <w:rsid w:val="001738DD"/>
    <w:rsid w:val="0018019A"/>
    <w:rsid w:val="0018093A"/>
    <w:rsid w:val="001A348D"/>
    <w:rsid w:val="001A4E00"/>
    <w:rsid w:val="001A50DB"/>
    <w:rsid w:val="001A7724"/>
    <w:rsid w:val="001B1246"/>
    <w:rsid w:val="001B17F0"/>
    <w:rsid w:val="001B330B"/>
    <w:rsid w:val="001C4A6D"/>
    <w:rsid w:val="001C51EB"/>
    <w:rsid w:val="001D33A1"/>
    <w:rsid w:val="001D479A"/>
    <w:rsid w:val="001D51A4"/>
    <w:rsid w:val="001E0F8B"/>
    <w:rsid w:val="001E2721"/>
    <w:rsid w:val="001F18CC"/>
    <w:rsid w:val="001F196E"/>
    <w:rsid w:val="001F21F3"/>
    <w:rsid w:val="001F6E38"/>
    <w:rsid w:val="00200513"/>
    <w:rsid w:val="00201779"/>
    <w:rsid w:val="00201E0B"/>
    <w:rsid w:val="00212D63"/>
    <w:rsid w:val="00213C26"/>
    <w:rsid w:val="00216C6D"/>
    <w:rsid w:val="00220893"/>
    <w:rsid w:val="00233C41"/>
    <w:rsid w:val="00237329"/>
    <w:rsid w:val="00240589"/>
    <w:rsid w:val="00244CB9"/>
    <w:rsid w:val="0024537C"/>
    <w:rsid w:val="00253429"/>
    <w:rsid w:val="00255FB8"/>
    <w:rsid w:val="00260391"/>
    <w:rsid w:val="00263BED"/>
    <w:rsid w:val="00264139"/>
    <w:rsid w:val="00265B72"/>
    <w:rsid w:val="0026793F"/>
    <w:rsid w:val="00276095"/>
    <w:rsid w:val="002805C3"/>
    <w:rsid w:val="00280B09"/>
    <w:rsid w:val="00281F30"/>
    <w:rsid w:val="00290665"/>
    <w:rsid w:val="00292DD0"/>
    <w:rsid w:val="00295B35"/>
    <w:rsid w:val="002A2654"/>
    <w:rsid w:val="002A2E30"/>
    <w:rsid w:val="002A44DA"/>
    <w:rsid w:val="002A4D61"/>
    <w:rsid w:val="002B6BDC"/>
    <w:rsid w:val="002C23D2"/>
    <w:rsid w:val="002C2FD3"/>
    <w:rsid w:val="002C5328"/>
    <w:rsid w:val="002D00FC"/>
    <w:rsid w:val="002E131B"/>
    <w:rsid w:val="002E3768"/>
    <w:rsid w:val="002E47CF"/>
    <w:rsid w:val="002E6145"/>
    <w:rsid w:val="002F3D43"/>
    <w:rsid w:val="00305B6A"/>
    <w:rsid w:val="003108B0"/>
    <w:rsid w:val="003114F4"/>
    <w:rsid w:val="00314E6A"/>
    <w:rsid w:val="00315784"/>
    <w:rsid w:val="003163F8"/>
    <w:rsid w:val="00321D71"/>
    <w:rsid w:val="003507D4"/>
    <w:rsid w:val="00362320"/>
    <w:rsid w:val="003708C8"/>
    <w:rsid w:val="00370B91"/>
    <w:rsid w:val="003751A6"/>
    <w:rsid w:val="00383672"/>
    <w:rsid w:val="003946E5"/>
    <w:rsid w:val="003A44B9"/>
    <w:rsid w:val="003A4F16"/>
    <w:rsid w:val="003A77AE"/>
    <w:rsid w:val="003B0CFE"/>
    <w:rsid w:val="003B222D"/>
    <w:rsid w:val="003B41F0"/>
    <w:rsid w:val="003B5D30"/>
    <w:rsid w:val="003C6686"/>
    <w:rsid w:val="003D2EBC"/>
    <w:rsid w:val="003D317F"/>
    <w:rsid w:val="003D6F7E"/>
    <w:rsid w:val="003E0038"/>
    <w:rsid w:val="003E428C"/>
    <w:rsid w:val="003E46D3"/>
    <w:rsid w:val="003E6538"/>
    <w:rsid w:val="003F0D87"/>
    <w:rsid w:val="003F10C6"/>
    <w:rsid w:val="003F6F3B"/>
    <w:rsid w:val="003F7A7D"/>
    <w:rsid w:val="00413B4C"/>
    <w:rsid w:val="0041536B"/>
    <w:rsid w:val="00422D31"/>
    <w:rsid w:val="0042400D"/>
    <w:rsid w:val="00432B43"/>
    <w:rsid w:val="00442608"/>
    <w:rsid w:val="0044713B"/>
    <w:rsid w:val="0045260A"/>
    <w:rsid w:val="00455C16"/>
    <w:rsid w:val="0046400D"/>
    <w:rsid w:val="004675A5"/>
    <w:rsid w:val="00474263"/>
    <w:rsid w:val="00480638"/>
    <w:rsid w:val="00483F76"/>
    <w:rsid w:val="00483FC4"/>
    <w:rsid w:val="00486EFE"/>
    <w:rsid w:val="00491570"/>
    <w:rsid w:val="00494DAA"/>
    <w:rsid w:val="004957D1"/>
    <w:rsid w:val="00495DB5"/>
    <w:rsid w:val="0049627E"/>
    <w:rsid w:val="004A5318"/>
    <w:rsid w:val="004A5BC0"/>
    <w:rsid w:val="004A5CB0"/>
    <w:rsid w:val="004A7837"/>
    <w:rsid w:val="004B05DB"/>
    <w:rsid w:val="004B40E4"/>
    <w:rsid w:val="004B4C10"/>
    <w:rsid w:val="004B562C"/>
    <w:rsid w:val="004C1F42"/>
    <w:rsid w:val="004C2624"/>
    <w:rsid w:val="004C276E"/>
    <w:rsid w:val="004D0142"/>
    <w:rsid w:val="004D31AC"/>
    <w:rsid w:val="004D3C1F"/>
    <w:rsid w:val="004D7081"/>
    <w:rsid w:val="004E1812"/>
    <w:rsid w:val="004F19A1"/>
    <w:rsid w:val="004F4390"/>
    <w:rsid w:val="004F7093"/>
    <w:rsid w:val="004F789C"/>
    <w:rsid w:val="005014A6"/>
    <w:rsid w:val="00502913"/>
    <w:rsid w:val="00506E75"/>
    <w:rsid w:val="00507FA1"/>
    <w:rsid w:val="00510AD1"/>
    <w:rsid w:val="005112FE"/>
    <w:rsid w:val="00513BF1"/>
    <w:rsid w:val="00514EFB"/>
    <w:rsid w:val="00515267"/>
    <w:rsid w:val="005376A8"/>
    <w:rsid w:val="005414D6"/>
    <w:rsid w:val="00545204"/>
    <w:rsid w:val="00564A2A"/>
    <w:rsid w:val="00565517"/>
    <w:rsid w:val="00572911"/>
    <w:rsid w:val="00574467"/>
    <w:rsid w:val="0058027C"/>
    <w:rsid w:val="00581600"/>
    <w:rsid w:val="00585ECF"/>
    <w:rsid w:val="00591827"/>
    <w:rsid w:val="00594846"/>
    <w:rsid w:val="005A5291"/>
    <w:rsid w:val="005A7000"/>
    <w:rsid w:val="005B1316"/>
    <w:rsid w:val="005C2895"/>
    <w:rsid w:val="005C57C2"/>
    <w:rsid w:val="005D5899"/>
    <w:rsid w:val="005E42E5"/>
    <w:rsid w:val="005E4A94"/>
    <w:rsid w:val="005F484E"/>
    <w:rsid w:val="005F5148"/>
    <w:rsid w:val="00615C54"/>
    <w:rsid w:val="006207CF"/>
    <w:rsid w:val="006216A7"/>
    <w:rsid w:val="00621A2C"/>
    <w:rsid w:val="0063106E"/>
    <w:rsid w:val="00632557"/>
    <w:rsid w:val="00640F09"/>
    <w:rsid w:val="00645712"/>
    <w:rsid w:val="00646317"/>
    <w:rsid w:val="0066404B"/>
    <w:rsid w:val="00680FE9"/>
    <w:rsid w:val="00685038"/>
    <w:rsid w:val="00685096"/>
    <w:rsid w:val="006859C5"/>
    <w:rsid w:val="006A0766"/>
    <w:rsid w:val="006A6D7E"/>
    <w:rsid w:val="006D0144"/>
    <w:rsid w:val="006D0E09"/>
    <w:rsid w:val="006D1F68"/>
    <w:rsid w:val="006D5A48"/>
    <w:rsid w:val="006E0C0F"/>
    <w:rsid w:val="006E64C2"/>
    <w:rsid w:val="006E709B"/>
    <w:rsid w:val="006F3773"/>
    <w:rsid w:val="006F4A56"/>
    <w:rsid w:val="006F7F56"/>
    <w:rsid w:val="007014ED"/>
    <w:rsid w:val="007030D0"/>
    <w:rsid w:val="0070782C"/>
    <w:rsid w:val="007101AF"/>
    <w:rsid w:val="00726A85"/>
    <w:rsid w:val="00726D0F"/>
    <w:rsid w:val="00727548"/>
    <w:rsid w:val="007305E2"/>
    <w:rsid w:val="00731992"/>
    <w:rsid w:val="007321F7"/>
    <w:rsid w:val="0073696C"/>
    <w:rsid w:val="0074576E"/>
    <w:rsid w:val="007514C4"/>
    <w:rsid w:val="00754B5B"/>
    <w:rsid w:val="0075584F"/>
    <w:rsid w:val="00756164"/>
    <w:rsid w:val="007628E8"/>
    <w:rsid w:val="00762D23"/>
    <w:rsid w:val="00763A71"/>
    <w:rsid w:val="007803F1"/>
    <w:rsid w:val="00791F50"/>
    <w:rsid w:val="007938B3"/>
    <w:rsid w:val="007939D3"/>
    <w:rsid w:val="00794B66"/>
    <w:rsid w:val="007A3567"/>
    <w:rsid w:val="007B12FF"/>
    <w:rsid w:val="007B15A2"/>
    <w:rsid w:val="007C2D01"/>
    <w:rsid w:val="007C6B3F"/>
    <w:rsid w:val="007D5C14"/>
    <w:rsid w:val="007E3B2B"/>
    <w:rsid w:val="007F6ECD"/>
    <w:rsid w:val="00801F04"/>
    <w:rsid w:val="00803538"/>
    <w:rsid w:val="00807EC7"/>
    <w:rsid w:val="00816F52"/>
    <w:rsid w:val="00817BCA"/>
    <w:rsid w:val="008248C7"/>
    <w:rsid w:val="008248D3"/>
    <w:rsid w:val="00832074"/>
    <w:rsid w:val="00833605"/>
    <w:rsid w:val="00837769"/>
    <w:rsid w:val="00841C69"/>
    <w:rsid w:val="0084316F"/>
    <w:rsid w:val="008441CA"/>
    <w:rsid w:val="008443B8"/>
    <w:rsid w:val="008523E4"/>
    <w:rsid w:val="0085526A"/>
    <w:rsid w:val="00856AA0"/>
    <w:rsid w:val="0086297F"/>
    <w:rsid w:val="00867736"/>
    <w:rsid w:val="0087580D"/>
    <w:rsid w:val="00876A62"/>
    <w:rsid w:val="00881CEF"/>
    <w:rsid w:val="008821B9"/>
    <w:rsid w:val="00892ECC"/>
    <w:rsid w:val="008A2781"/>
    <w:rsid w:val="008A4013"/>
    <w:rsid w:val="008A57A7"/>
    <w:rsid w:val="008E4F24"/>
    <w:rsid w:val="008F1A59"/>
    <w:rsid w:val="008F7897"/>
    <w:rsid w:val="00903105"/>
    <w:rsid w:val="00907B95"/>
    <w:rsid w:val="00912F80"/>
    <w:rsid w:val="009145A2"/>
    <w:rsid w:val="00925BFD"/>
    <w:rsid w:val="00926A6A"/>
    <w:rsid w:val="00930BF5"/>
    <w:rsid w:val="00937FA4"/>
    <w:rsid w:val="009414C4"/>
    <w:rsid w:val="009429C0"/>
    <w:rsid w:val="00946CB6"/>
    <w:rsid w:val="00950FE0"/>
    <w:rsid w:val="0095658A"/>
    <w:rsid w:val="00957B8B"/>
    <w:rsid w:val="00957D6D"/>
    <w:rsid w:val="00957F05"/>
    <w:rsid w:val="00963ED1"/>
    <w:rsid w:val="00965B6D"/>
    <w:rsid w:val="009719DD"/>
    <w:rsid w:val="00973544"/>
    <w:rsid w:val="0098138B"/>
    <w:rsid w:val="00991600"/>
    <w:rsid w:val="0099556F"/>
    <w:rsid w:val="009A51C8"/>
    <w:rsid w:val="009A5E83"/>
    <w:rsid w:val="009B513C"/>
    <w:rsid w:val="009C6117"/>
    <w:rsid w:val="009C7B11"/>
    <w:rsid w:val="009D132E"/>
    <w:rsid w:val="009D15B4"/>
    <w:rsid w:val="009D45DD"/>
    <w:rsid w:val="009D4FFF"/>
    <w:rsid w:val="009E0F8C"/>
    <w:rsid w:val="009E3C25"/>
    <w:rsid w:val="009E6967"/>
    <w:rsid w:val="009F5F69"/>
    <w:rsid w:val="009F7C69"/>
    <w:rsid w:val="00A13158"/>
    <w:rsid w:val="00A1717A"/>
    <w:rsid w:val="00A17949"/>
    <w:rsid w:val="00A24392"/>
    <w:rsid w:val="00A24577"/>
    <w:rsid w:val="00A36B25"/>
    <w:rsid w:val="00A36CE8"/>
    <w:rsid w:val="00A4421F"/>
    <w:rsid w:val="00A456AF"/>
    <w:rsid w:val="00A4781A"/>
    <w:rsid w:val="00A47FE2"/>
    <w:rsid w:val="00A50192"/>
    <w:rsid w:val="00A52215"/>
    <w:rsid w:val="00A53717"/>
    <w:rsid w:val="00A552DF"/>
    <w:rsid w:val="00A555DD"/>
    <w:rsid w:val="00A570FC"/>
    <w:rsid w:val="00A65624"/>
    <w:rsid w:val="00A65DEA"/>
    <w:rsid w:val="00A7153B"/>
    <w:rsid w:val="00A71B2F"/>
    <w:rsid w:val="00A94280"/>
    <w:rsid w:val="00A96D99"/>
    <w:rsid w:val="00AA0338"/>
    <w:rsid w:val="00AA08C2"/>
    <w:rsid w:val="00AB446B"/>
    <w:rsid w:val="00AC1421"/>
    <w:rsid w:val="00AC7785"/>
    <w:rsid w:val="00AD038D"/>
    <w:rsid w:val="00AD23E3"/>
    <w:rsid w:val="00AD3F7F"/>
    <w:rsid w:val="00AD45D2"/>
    <w:rsid w:val="00AE2B1D"/>
    <w:rsid w:val="00AF0E5D"/>
    <w:rsid w:val="00AF26CB"/>
    <w:rsid w:val="00B026CA"/>
    <w:rsid w:val="00B117EE"/>
    <w:rsid w:val="00B17B22"/>
    <w:rsid w:val="00B227F4"/>
    <w:rsid w:val="00B228AA"/>
    <w:rsid w:val="00B22D9C"/>
    <w:rsid w:val="00B34F52"/>
    <w:rsid w:val="00B35ADE"/>
    <w:rsid w:val="00B50BB7"/>
    <w:rsid w:val="00B614DD"/>
    <w:rsid w:val="00B63259"/>
    <w:rsid w:val="00B63C42"/>
    <w:rsid w:val="00B640E0"/>
    <w:rsid w:val="00B65645"/>
    <w:rsid w:val="00B709D0"/>
    <w:rsid w:val="00B73449"/>
    <w:rsid w:val="00B8095D"/>
    <w:rsid w:val="00B81C5B"/>
    <w:rsid w:val="00B8300C"/>
    <w:rsid w:val="00B92808"/>
    <w:rsid w:val="00B937EC"/>
    <w:rsid w:val="00B95E20"/>
    <w:rsid w:val="00B96A18"/>
    <w:rsid w:val="00B97B3D"/>
    <w:rsid w:val="00BA401F"/>
    <w:rsid w:val="00BB09C0"/>
    <w:rsid w:val="00BB2759"/>
    <w:rsid w:val="00BB3F62"/>
    <w:rsid w:val="00BC1D2A"/>
    <w:rsid w:val="00BD57AD"/>
    <w:rsid w:val="00BE14C7"/>
    <w:rsid w:val="00BE7CF0"/>
    <w:rsid w:val="00BF20BC"/>
    <w:rsid w:val="00BF31A5"/>
    <w:rsid w:val="00BF4F47"/>
    <w:rsid w:val="00BF6CC3"/>
    <w:rsid w:val="00C04CEE"/>
    <w:rsid w:val="00C107B9"/>
    <w:rsid w:val="00C137CF"/>
    <w:rsid w:val="00C13813"/>
    <w:rsid w:val="00C14CEF"/>
    <w:rsid w:val="00C15638"/>
    <w:rsid w:val="00C165E4"/>
    <w:rsid w:val="00C20803"/>
    <w:rsid w:val="00C20D1F"/>
    <w:rsid w:val="00C21A8B"/>
    <w:rsid w:val="00C25CBA"/>
    <w:rsid w:val="00C2756D"/>
    <w:rsid w:val="00C335B6"/>
    <w:rsid w:val="00C422F1"/>
    <w:rsid w:val="00C4287A"/>
    <w:rsid w:val="00C42E8D"/>
    <w:rsid w:val="00C448CB"/>
    <w:rsid w:val="00C44AB1"/>
    <w:rsid w:val="00C456FF"/>
    <w:rsid w:val="00C47651"/>
    <w:rsid w:val="00C51907"/>
    <w:rsid w:val="00C54FAE"/>
    <w:rsid w:val="00C55E4A"/>
    <w:rsid w:val="00C561A3"/>
    <w:rsid w:val="00C70AE2"/>
    <w:rsid w:val="00C73280"/>
    <w:rsid w:val="00C76160"/>
    <w:rsid w:val="00C77F10"/>
    <w:rsid w:val="00C836FA"/>
    <w:rsid w:val="00C83B3F"/>
    <w:rsid w:val="00C83CBF"/>
    <w:rsid w:val="00C90213"/>
    <w:rsid w:val="00CA0982"/>
    <w:rsid w:val="00CA422C"/>
    <w:rsid w:val="00CA4A6E"/>
    <w:rsid w:val="00CA5919"/>
    <w:rsid w:val="00CA6CE9"/>
    <w:rsid w:val="00CA77A3"/>
    <w:rsid w:val="00CB1C84"/>
    <w:rsid w:val="00CC45B3"/>
    <w:rsid w:val="00CC55A2"/>
    <w:rsid w:val="00CE0A66"/>
    <w:rsid w:val="00CE144C"/>
    <w:rsid w:val="00D00894"/>
    <w:rsid w:val="00D03F3C"/>
    <w:rsid w:val="00D05B0A"/>
    <w:rsid w:val="00D155FB"/>
    <w:rsid w:val="00D16B1A"/>
    <w:rsid w:val="00D277FD"/>
    <w:rsid w:val="00D31463"/>
    <w:rsid w:val="00D359A7"/>
    <w:rsid w:val="00D37E32"/>
    <w:rsid w:val="00D43B1B"/>
    <w:rsid w:val="00D4656D"/>
    <w:rsid w:val="00D53236"/>
    <w:rsid w:val="00D55D4B"/>
    <w:rsid w:val="00D61310"/>
    <w:rsid w:val="00D67308"/>
    <w:rsid w:val="00D707AC"/>
    <w:rsid w:val="00D70D75"/>
    <w:rsid w:val="00D74059"/>
    <w:rsid w:val="00D7498D"/>
    <w:rsid w:val="00D75E30"/>
    <w:rsid w:val="00D82ACD"/>
    <w:rsid w:val="00D8465A"/>
    <w:rsid w:val="00D85234"/>
    <w:rsid w:val="00D86218"/>
    <w:rsid w:val="00D87841"/>
    <w:rsid w:val="00D94861"/>
    <w:rsid w:val="00D96CA5"/>
    <w:rsid w:val="00DB1CC4"/>
    <w:rsid w:val="00DB329D"/>
    <w:rsid w:val="00DB4283"/>
    <w:rsid w:val="00DB5077"/>
    <w:rsid w:val="00DB70F1"/>
    <w:rsid w:val="00DB7587"/>
    <w:rsid w:val="00DC7247"/>
    <w:rsid w:val="00DD4A31"/>
    <w:rsid w:val="00DD570B"/>
    <w:rsid w:val="00DE1BCA"/>
    <w:rsid w:val="00DE221F"/>
    <w:rsid w:val="00DE4540"/>
    <w:rsid w:val="00DE6377"/>
    <w:rsid w:val="00DF1C99"/>
    <w:rsid w:val="00DF49AF"/>
    <w:rsid w:val="00DF5CF2"/>
    <w:rsid w:val="00DF72BC"/>
    <w:rsid w:val="00E04489"/>
    <w:rsid w:val="00E126D3"/>
    <w:rsid w:val="00E14C6E"/>
    <w:rsid w:val="00E33AFA"/>
    <w:rsid w:val="00E33E4B"/>
    <w:rsid w:val="00E365B9"/>
    <w:rsid w:val="00E36B00"/>
    <w:rsid w:val="00E420B2"/>
    <w:rsid w:val="00E45FB3"/>
    <w:rsid w:val="00E4782F"/>
    <w:rsid w:val="00E541BB"/>
    <w:rsid w:val="00E54C7E"/>
    <w:rsid w:val="00E54CE9"/>
    <w:rsid w:val="00E616C3"/>
    <w:rsid w:val="00E62C2A"/>
    <w:rsid w:val="00E64905"/>
    <w:rsid w:val="00E66C91"/>
    <w:rsid w:val="00E678DC"/>
    <w:rsid w:val="00E74E24"/>
    <w:rsid w:val="00E860B5"/>
    <w:rsid w:val="00E87922"/>
    <w:rsid w:val="00E925AC"/>
    <w:rsid w:val="00E93941"/>
    <w:rsid w:val="00EA107F"/>
    <w:rsid w:val="00EA1507"/>
    <w:rsid w:val="00EA4EB2"/>
    <w:rsid w:val="00EA641F"/>
    <w:rsid w:val="00EB7E13"/>
    <w:rsid w:val="00EC0B41"/>
    <w:rsid w:val="00EC2760"/>
    <w:rsid w:val="00EC6BE2"/>
    <w:rsid w:val="00EE7286"/>
    <w:rsid w:val="00EE7CC2"/>
    <w:rsid w:val="00EF0900"/>
    <w:rsid w:val="00EF14FB"/>
    <w:rsid w:val="00EF3B8A"/>
    <w:rsid w:val="00EF429F"/>
    <w:rsid w:val="00EF4816"/>
    <w:rsid w:val="00EF4ADB"/>
    <w:rsid w:val="00EF5240"/>
    <w:rsid w:val="00F01AAC"/>
    <w:rsid w:val="00F02BF1"/>
    <w:rsid w:val="00F03114"/>
    <w:rsid w:val="00F07504"/>
    <w:rsid w:val="00F13D63"/>
    <w:rsid w:val="00F14584"/>
    <w:rsid w:val="00F2395A"/>
    <w:rsid w:val="00F25A33"/>
    <w:rsid w:val="00F304E8"/>
    <w:rsid w:val="00F34DBB"/>
    <w:rsid w:val="00F42BF4"/>
    <w:rsid w:val="00F43E0B"/>
    <w:rsid w:val="00F5047B"/>
    <w:rsid w:val="00F54B44"/>
    <w:rsid w:val="00F61430"/>
    <w:rsid w:val="00F63014"/>
    <w:rsid w:val="00F659AE"/>
    <w:rsid w:val="00F71DBB"/>
    <w:rsid w:val="00F71F9F"/>
    <w:rsid w:val="00F724AD"/>
    <w:rsid w:val="00F7391E"/>
    <w:rsid w:val="00F753BE"/>
    <w:rsid w:val="00F9422E"/>
    <w:rsid w:val="00F978A8"/>
    <w:rsid w:val="00F97E58"/>
    <w:rsid w:val="00FA44EA"/>
    <w:rsid w:val="00FA5ED4"/>
    <w:rsid w:val="00FA7864"/>
    <w:rsid w:val="00FC2B2E"/>
    <w:rsid w:val="00FC40B3"/>
    <w:rsid w:val="00FC6B73"/>
    <w:rsid w:val="00FD6A48"/>
    <w:rsid w:val="00FD7695"/>
    <w:rsid w:val="00FE3794"/>
    <w:rsid w:val="00FF26AF"/>
    <w:rsid w:val="00FF59CD"/>
    <w:rsid w:val="00FF73CD"/>
    <w:rsid w:val="00FF7D8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7C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Essay Body"/>
    <w:qFormat/>
    <w:rsid w:val="00E616C3"/>
    <w:pPr>
      <w:spacing w:line="480" w:lineRule="auto"/>
      <w:ind w:firstLine="567"/>
    </w:pPr>
  </w:style>
  <w:style w:type="paragraph" w:styleId="Heading2">
    <w:name w:val="heading 2"/>
    <w:basedOn w:val="Normal"/>
    <w:next w:val="Normal"/>
    <w:link w:val="Heading2Char"/>
    <w:uiPriority w:val="9"/>
    <w:semiHidden/>
    <w:unhideWhenUsed/>
    <w:qFormat/>
    <w:rsid w:val="000C64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qFormat/>
    <w:rsid w:val="00B709D0"/>
    <w:pPr>
      <w:spacing w:before="100" w:beforeAutospacing="1" w:after="100" w:afterAutospacing="1" w:line="240" w:lineRule="auto"/>
      <w:ind w:firstLine="0"/>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unhideWhenUsed/>
    <w:rsid w:val="00022375"/>
    <w:rPr>
      <w:vertAlign w:val="superscript"/>
    </w:rPr>
  </w:style>
  <w:style w:type="paragraph" w:styleId="EndnoteText">
    <w:name w:val="endnote text"/>
    <w:basedOn w:val="Normal"/>
    <w:link w:val="EndnoteTextChar"/>
    <w:uiPriority w:val="99"/>
    <w:unhideWhenUsed/>
    <w:rsid w:val="00022375"/>
  </w:style>
  <w:style w:type="character" w:customStyle="1" w:styleId="EndnoteTextChar">
    <w:name w:val="Endnote Text Char"/>
    <w:basedOn w:val="DefaultParagraphFont"/>
    <w:link w:val="EndnoteText"/>
    <w:uiPriority w:val="99"/>
    <w:rsid w:val="00022375"/>
    <w:rPr>
      <w:lang w:val="en-GB"/>
    </w:rPr>
  </w:style>
  <w:style w:type="paragraph" w:styleId="Quote">
    <w:name w:val="Quote"/>
    <w:basedOn w:val="Normal"/>
    <w:next w:val="Normal"/>
    <w:link w:val="QuoteChar"/>
    <w:uiPriority w:val="29"/>
    <w:qFormat/>
    <w:rsid w:val="009A51C8"/>
    <w:pPr>
      <w:spacing w:after="240" w:line="240" w:lineRule="auto"/>
      <w:ind w:left="1134" w:right="1134" w:firstLine="0"/>
      <w:jc w:val="both"/>
    </w:pPr>
    <w:rPr>
      <w:iCs/>
      <w:color w:val="000000" w:themeColor="text1"/>
    </w:rPr>
  </w:style>
  <w:style w:type="character" w:customStyle="1" w:styleId="QuoteChar">
    <w:name w:val="Quote Char"/>
    <w:basedOn w:val="DefaultParagraphFont"/>
    <w:link w:val="Quote"/>
    <w:uiPriority w:val="29"/>
    <w:rsid w:val="009A51C8"/>
    <w:rPr>
      <w:rFonts w:ascii="Calibri" w:hAnsi="Calibri"/>
      <w:iCs/>
      <w:color w:val="000000" w:themeColor="text1"/>
      <w:sz w:val="22"/>
    </w:rPr>
  </w:style>
  <w:style w:type="paragraph" w:styleId="NoSpacing">
    <w:name w:val="No Spacing"/>
    <w:autoRedefine/>
    <w:uiPriority w:val="1"/>
    <w:qFormat/>
    <w:rsid w:val="005A7000"/>
    <w:pPr>
      <w:jc w:val="both"/>
    </w:pPr>
    <w:rPr>
      <w:rFonts w:ascii="Times" w:hAnsi="Times"/>
      <w:lang w:val="en-GB"/>
    </w:rPr>
  </w:style>
  <w:style w:type="paragraph" w:customStyle="1" w:styleId="SioBib">
    <w:name w:val="SioBib"/>
    <w:basedOn w:val="Normal"/>
    <w:qFormat/>
    <w:rsid w:val="005A7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pPr>
    <w:rPr>
      <w:rFonts w:asciiTheme="majorBidi" w:hAnsiTheme="majorBidi" w:cstheme="majorBidi"/>
      <w:bCs/>
    </w:rPr>
  </w:style>
  <w:style w:type="paragraph" w:styleId="Header">
    <w:name w:val="header"/>
    <w:basedOn w:val="Normal"/>
    <w:link w:val="HeaderChar"/>
    <w:uiPriority w:val="99"/>
    <w:unhideWhenUsed/>
    <w:rsid w:val="00A65624"/>
    <w:pPr>
      <w:tabs>
        <w:tab w:val="center" w:pos="4320"/>
        <w:tab w:val="right" w:pos="8640"/>
      </w:tabs>
      <w:spacing w:line="240" w:lineRule="auto"/>
    </w:pPr>
  </w:style>
  <w:style w:type="character" w:customStyle="1" w:styleId="HeaderChar">
    <w:name w:val="Header Char"/>
    <w:basedOn w:val="DefaultParagraphFont"/>
    <w:link w:val="Header"/>
    <w:uiPriority w:val="99"/>
    <w:rsid w:val="00A65624"/>
    <w:rPr>
      <w:rFonts w:ascii="Times" w:hAnsi="Times"/>
      <w:lang w:val="en-GB"/>
    </w:rPr>
  </w:style>
  <w:style w:type="paragraph" w:styleId="Footer">
    <w:name w:val="footer"/>
    <w:basedOn w:val="Normal"/>
    <w:link w:val="FooterChar"/>
    <w:uiPriority w:val="99"/>
    <w:unhideWhenUsed/>
    <w:rsid w:val="00A65624"/>
    <w:pPr>
      <w:tabs>
        <w:tab w:val="center" w:pos="4320"/>
        <w:tab w:val="right" w:pos="8640"/>
      </w:tabs>
      <w:spacing w:line="240" w:lineRule="auto"/>
    </w:pPr>
  </w:style>
  <w:style w:type="character" w:customStyle="1" w:styleId="FooterChar">
    <w:name w:val="Footer Char"/>
    <w:basedOn w:val="DefaultParagraphFont"/>
    <w:link w:val="Footer"/>
    <w:uiPriority w:val="99"/>
    <w:rsid w:val="00A65624"/>
    <w:rPr>
      <w:rFonts w:ascii="Times" w:hAnsi="Times"/>
      <w:lang w:val="en-GB"/>
    </w:rPr>
  </w:style>
  <w:style w:type="character" w:styleId="Hyperlink">
    <w:name w:val="Hyperlink"/>
    <w:basedOn w:val="DefaultParagraphFont"/>
    <w:uiPriority w:val="99"/>
    <w:unhideWhenUsed/>
    <w:rsid w:val="005376A8"/>
    <w:rPr>
      <w:color w:val="0000FF" w:themeColor="hyperlink"/>
      <w:u w:val="single"/>
    </w:rPr>
  </w:style>
  <w:style w:type="paragraph" w:styleId="FootnoteText">
    <w:name w:val="footnote text"/>
    <w:basedOn w:val="Normal"/>
    <w:link w:val="FootnoteTextChar"/>
    <w:uiPriority w:val="99"/>
    <w:unhideWhenUsed/>
    <w:rsid w:val="00B709D0"/>
    <w:pPr>
      <w:spacing w:line="240" w:lineRule="auto"/>
    </w:pPr>
  </w:style>
  <w:style w:type="character" w:customStyle="1" w:styleId="FootnoteTextChar">
    <w:name w:val="Footnote Text Char"/>
    <w:basedOn w:val="DefaultParagraphFont"/>
    <w:link w:val="FootnoteText"/>
    <w:uiPriority w:val="99"/>
    <w:rsid w:val="00B709D0"/>
    <w:rPr>
      <w:rFonts w:ascii="Times" w:hAnsi="Times"/>
      <w:lang w:val="en-GB"/>
    </w:rPr>
  </w:style>
  <w:style w:type="character" w:styleId="FootnoteReference">
    <w:name w:val="footnote reference"/>
    <w:basedOn w:val="DefaultParagraphFont"/>
    <w:uiPriority w:val="99"/>
    <w:unhideWhenUsed/>
    <w:rsid w:val="00B709D0"/>
    <w:rPr>
      <w:vertAlign w:val="superscript"/>
    </w:rPr>
  </w:style>
  <w:style w:type="character" w:customStyle="1" w:styleId="Heading5Char">
    <w:name w:val="Heading 5 Char"/>
    <w:basedOn w:val="DefaultParagraphFont"/>
    <w:link w:val="Heading5"/>
    <w:uiPriority w:val="9"/>
    <w:rsid w:val="00B709D0"/>
    <w:rPr>
      <w:rFonts w:ascii="Times" w:hAnsi="Times"/>
      <w:b/>
      <w:bCs/>
      <w:sz w:val="20"/>
      <w:szCs w:val="20"/>
    </w:rPr>
  </w:style>
  <w:style w:type="character" w:styleId="PageNumber">
    <w:name w:val="page number"/>
    <w:basedOn w:val="DefaultParagraphFont"/>
    <w:uiPriority w:val="99"/>
    <w:semiHidden/>
    <w:unhideWhenUsed/>
    <w:rsid w:val="00B709D0"/>
  </w:style>
  <w:style w:type="paragraph" w:styleId="ListParagraph">
    <w:name w:val="List Paragraph"/>
    <w:basedOn w:val="Normal"/>
    <w:uiPriority w:val="34"/>
    <w:qFormat/>
    <w:rsid w:val="00B709D0"/>
    <w:pPr>
      <w:ind w:left="720"/>
      <w:contextualSpacing/>
    </w:pPr>
  </w:style>
  <w:style w:type="character" w:styleId="CommentReference">
    <w:name w:val="annotation reference"/>
    <w:basedOn w:val="DefaultParagraphFont"/>
    <w:uiPriority w:val="99"/>
    <w:semiHidden/>
    <w:unhideWhenUsed/>
    <w:rsid w:val="001F6E38"/>
    <w:rPr>
      <w:sz w:val="16"/>
      <w:szCs w:val="16"/>
    </w:rPr>
  </w:style>
  <w:style w:type="paragraph" w:styleId="CommentText">
    <w:name w:val="annotation text"/>
    <w:basedOn w:val="Normal"/>
    <w:link w:val="CommentTextChar"/>
    <w:uiPriority w:val="99"/>
    <w:semiHidden/>
    <w:unhideWhenUsed/>
    <w:rsid w:val="001F6E38"/>
    <w:pPr>
      <w:spacing w:line="240" w:lineRule="auto"/>
    </w:pPr>
    <w:rPr>
      <w:sz w:val="20"/>
      <w:szCs w:val="20"/>
    </w:rPr>
  </w:style>
  <w:style w:type="character" w:customStyle="1" w:styleId="CommentTextChar">
    <w:name w:val="Comment Text Char"/>
    <w:basedOn w:val="DefaultParagraphFont"/>
    <w:link w:val="CommentText"/>
    <w:uiPriority w:val="99"/>
    <w:semiHidden/>
    <w:rsid w:val="001F6E38"/>
    <w:rPr>
      <w:rFonts w:ascii="Times" w:hAnsi="Times"/>
      <w:sz w:val="20"/>
      <w:szCs w:val="20"/>
      <w:lang w:val="en-GB"/>
    </w:rPr>
  </w:style>
  <w:style w:type="paragraph" w:styleId="CommentSubject">
    <w:name w:val="annotation subject"/>
    <w:basedOn w:val="CommentText"/>
    <w:next w:val="CommentText"/>
    <w:link w:val="CommentSubjectChar"/>
    <w:uiPriority w:val="99"/>
    <w:semiHidden/>
    <w:unhideWhenUsed/>
    <w:rsid w:val="001F6E38"/>
    <w:rPr>
      <w:b/>
      <w:bCs/>
    </w:rPr>
  </w:style>
  <w:style w:type="character" w:customStyle="1" w:styleId="CommentSubjectChar">
    <w:name w:val="Comment Subject Char"/>
    <w:basedOn w:val="CommentTextChar"/>
    <w:link w:val="CommentSubject"/>
    <w:uiPriority w:val="99"/>
    <w:semiHidden/>
    <w:rsid w:val="001F6E38"/>
    <w:rPr>
      <w:rFonts w:ascii="Times" w:hAnsi="Times"/>
      <w:b/>
      <w:bCs/>
      <w:sz w:val="20"/>
      <w:szCs w:val="20"/>
      <w:lang w:val="en-GB"/>
    </w:rPr>
  </w:style>
  <w:style w:type="paragraph" w:styleId="BalloonText">
    <w:name w:val="Balloon Text"/>
    <w:basedOn w:val="Normal"/>
    <w:link w:val="BalloonTextChar"/>
    <w:uiPriority w:val="99"/>
    <w:semiHidden/>
    <w:unhideWhenUsed/>
    <w:rsid w:val="001F6E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E38"/>
    <w:rPr>
      <w:rFonts w:ascii="Tahoma" w:hAnsi="Tahoma" w:cs="Tahoma"/>
      <w:sz w:val="16"/>
      <w:szCs w:val="16"/>
      <w:lang w:val="en-GB"/>
    </w:rPr>
  </w:style>
  <w:style w:type="character" w:customStyle="1" w:styleId="Heading2Char">
    <w:name w:val="Heading 2 Char"/>
    <w:basedOn w:val="DefaultParagraphFont"/>
    <w:link w:val="Heading2"/>
    <w:uiPriority w:val="9"/>
    <w:semiHidden/>
    <w:rsid w:val="000C6493"/>
    <w:rPr>
      <w:rFonts w:asciiTheme="majorHAnsi" w:eastAsiaTheme="majorEastAsia" w:hAnsiTheme="majorHAnsi" w:cstheme="majorBidi"/>
      <w:b/>
      <w:bCs/>
      <w:color w:val="4F81BD" w:themeColor="accent1"/>
      <w:sz w:val="26"/>
      <w:szCs w:val="26"/>
      <w:lang w:val="en-GB"/>
    </w:rPr>
  </w:style>
  <w:style w:type="paragraph" w:styleId="NormalWeb">
    <w:name w:val="Normal (Web)"/>
    <w:basedOn w:val="Normal"/>
    <w:uiPriority w:val="99"/>
    <w:semiHidden/>
    <w:unhideWhenUsed/>
    <w:rsid w:val="000C6493"/>
    <w:pPr>
      <w:spacing w:before="100" w:beforeAutospacing="1" w:after="100" w:afterAutospacing="1" w:line="240" w:lineRule="auto"/>
      <w:ind w:firstLine="0"/>
    </w:pPr>
    <w:rPr>
      <w:sz w:val="20"/>
      <w:szCs w:val="20"/>
    </w:rPr>
  </w:style>
  <w:style w:type="character" w:styleId="FollowedHyperlink">
    <w:name w:val="FollowedHyperlink"/>
    <w:basedOn w:val="DefaultParagraphFont"/>
    <w:uiPriority w:val="99"/>
    <w:semiHidden/>
    <w:unhideWhenUsed/>
    <w:rsid w:val="000C6493"/>
    <w:rPr>
      <w:color w:val="800080" w:themeColor="followedHyperlink"/>
      <w:u w:val="single"/>
    </w:rPr>
  </w:style>
  <w:style w:type="table" w:styleId="TableGrid">
    <w:name w:val="Table Grid"/>
    <w:basedOn w:val="TableNormal"/>
    <w:uiPriority w:val="59"/>
    <w:rsid w:val="00F94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97B3D"/>
  </w:style>
  <w:style w:type="character" w:styleId="Emphasis">
    <w:name w:val="Emphasis"/>
    <w:basedOn w:val="DefaultParagraphFont"/>
    <w:uiPriority w:val="20"/>
    <w:qFormat/>
    <w:rsid w:val="00731992"/>
    <w:rPr>
      <w:i/>
      <w:iCs/>
    </w:rPr>
  </w:style>
  <w:style w:type="paragraph" w:customStyle="1" w:styleId="EndNoteBi">
    <w:name w:val="EndNote Bi"/>
    <w:basedOn w:val="Normal"/>
    <w:qFormat/>
    <w:rsid w:val="006859C5"/>
    <w:pPr>
      <w:spacing w:after="240" w:line="240" w:lineRule="auto"/>
      <w:ind w:firstLine="0"/>
    </w:pPr>
  </w:style>
  <w:style w:type="paragraph" w:styleId="Revision">
    <w:name w:val="Revision"/>
    <w:hidden/>
    <w:uiPriority w:val="99"/>
    <w:semiHidden/>
    <w:rsid w:val="009D4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8294">
      <w:bodyDiv w:val="1"/>
      <w:marLeft w:val="0"/>
      <w:marRight w:val="0"/>
      <w:marTop w:val="0"/>
      <w:marBottom w:val="0"/>
      <w:divBdr>
        <w:top w:val="none" w:sz="0" w:space="0" w:color="auto"/>
        <w:left w:val="none" w:sz="0" w:space="0" w:color="auto"/>
        <w:bottom w:val="none" w:sz="0" w:space="0" w:color="auto"/>
        <w:right w:val="none" w:sz="0" w:space="0" w:color="auto"/>
      </w:divBdr>
    </w:div>
    <w:div w:id="29456060">
      <w:bodyDiv w:val="1"/>
      <w:marLeft w:val="0"/>
      <w:marRight w:val="0"/>
      <w:marTop w:val="0"/>
      <w:marBottom w:val="0"/>
      <w:divBdr>
        <w:top w:val="none" w:sz="0" w:space="0" w:color="auto"/>
        <w:left w:val="none" w:sz="0" w:space="0" w:color="auto"/>
        <w:bottom w:val="none" w:sz="0" w:space="0" w:color="auto"/>
        <w:right w:val="none" w:sz="0" w:space="0" w:color="auto"/>
      </w:divBdr>
      <w:divsChild>
        <w:div w:id="2105223638">
          <w:marLeft w:val="0"/>
          <w:marRight w:val="0"/>
          <w:marTop w:val="0"/>
          <w:marBottom w:val="0"/>
          <w:divBdr>
            <w:top w:val="none" w:sz="0" w:space="0" w:color="auto"/>
            <w:left w:val="none" w:sz="0" w:space="0" w:color="auto"/>
            <w:bottom w:val="none" w:sz="0" w:space="0" w:color="auto"/>
            <w:right w:val="none" w:sz="0" w:space="0" w:color="auto"/>
          </w:divBdr>
        </w:div>
        <w:div w:id="13118273">
          <w:marLeft w:val="0"/>
          <w:marRight w:val="0"/>
          <w:marTop w:val="0"/>
          <w:marBottom w:val="0"/>
          <w:divBdr>
            <w:top w:val="none" w:sz="0" w:space="0" w:color="auto"/>
            <w:left w:val="none" w:sz="0" w:space="0" w:color="auto"/>
            <w:bottom w:val="none" w:sz="0" w:space="0" w:color="auto"/>
            <w:right w:val="none" w:sz="0" w:space="0" w:color="auto"/>
          </w:divBdr>
        </w:div>
      </w:divsChild>
    </w:div>
    <w:div w:id="398358739">
      <w:bodyDiv w:val="1"/>
      <w:marLeft w:val="0"/>
      <w:marRight w:val="0"/>
      <w:marTop w:val="0"/>
      <w:marBottom w:val="0"/>
      <w:divBdr>
        <w:top w:val="none" w:sz="0" w:space="0" w:color="auto"/>
        <w:left w:val="none" w:sz="0" w:space="0" w:color="auto"/>
        <w:bottom w:val="none" w:sz="0" w:space="0" w:color="auto"/>
        <w:right w:val="none" w:sz="0" w:space="0" w:color="auto"/>
      </w:divBdr>
    </w:div>
    <w:div w:id="479540037">
      <w:bodyDiv w:val="1"/>
      <w:marLeft w:val="0"/>
      <w:marRight w:val="0"/>
      <w:marTop w:val="0"/>
      <w:marBottom w:val="0"/>
      <w:divBdr>
        <w:top w:val="none" w:sz="0" w:space="0" w:color="auto"/>
        <w:left w:val="none" w:sz="0" w:space="0" w:color="auto"/>
        <w:bottom w:val="none" w:sz="0" w:space="0" w:color="auto"/>
        <w:right w:val="none" w:sz="0" w:space="0" w:color="auto"/>
      </w:divBdr>
      <w:divsChild>
        <w:div w:id="48572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268121">
      <w:bodyDiv w:val="1"/>
      <w:marLeft w:val="0"/>
      <w:marRight w:val="0"/>
      <w:marTop w:val="0"/>
      <w:marBottom w:val="0"/>
      <w:divBdr>
        <w:top w:val="none" w:sz="0" w:space="0" w:color="auto"/>
        <w:left w:val="none" w:sz="0" w:space="0" w:color="auto"/>
        <w:bottom w:val="none" w:sz="0" w:space="0" w:color="auto"/>
        <w:right w:val="none" w:sz="0" w:space="0" w:color="auto"/>
      </w:divBdr>
    </w:div>
    <w:div w:id="677079425">
      <w:bodyDiv w:val="1"/>
      <w:marLeft w:val="0"/>
      <w:marRight w:val="0"/>
      <w:marTop w:val="0"/>
      <w:marBottom w:val="0"/>
      <w:divBdr>
        <w:top w:val="none" w:sz="0" w:space="0" w:color="auto"/>
        <w:left w:val="none" w:sz="0" w:space="0" w:color="auto"/>
        <w:bottom w:val="none" w:sz="0" w:space="0" w:color="auto"/>
        <w:right w:val="none" w:sz="0" w:space="0" w:color="auto"/>
      </w:divBdr>
    </w:div>
    <w:div w:id="726496476">
      <w:bodyDiv w:val="1"/>
      <w:marLeft w:val="0"/>
      <w:marRight w:val="0"/>
      <w:marTop w:val="0"/>
      <w:marBottom w:val="0"/>
      <w:divBdr>
        <w:top w:val="none" w:sz="0" w:space="0" w:color="auto"/>
        <w:left w:val="none" w:sz="0" w:space="0" w:color="auto"/>
        <w:bottom w:val="none" w:sz="0" w:space="0" w:color="auto"/>
        <w:right w:val="none" w:sz="0" w:space="0" w:color="auto"/>
      </w:divBdr>
    </w:div>
    <w:div w:id="738286783">
      <w:bodyDiv w:val="1"/>
      <w:marLeft w:val="0"/>
      <w:marRight w:val="0"/>
      <w:marTop w:val="0"/>
      <w:marBottom w:val="0"/>
      <w:divBdr>
        <w:top w:val="none" w:sz="0" w:space="0" w:color="auto"/>
        <w:left w:val="none" w:sz="0" w:space="0" w:color="auto"/>
        <w:bottom w:val="none" w:sz="0" w:space="0" w:color="auto"/>
        <w:right w:val="none" w:sz="0" w:space="0" w:color="auto"/>
      </w:divBdr>
    </w:div>
    <w:div w:id="1365790201">
      <w:bodyDiv w:val="1"/>
      <w:marLeft w:val="0"/>
      <w:marRight w:val="0"/>
      <w:marTop w:val="0"/>
      <w:marBottom w:val="0"/>
      <w:divBdr>
        <w:top w:val="none" w:sz="0" w:space="0" w:color="auto"/>
        <w:left w:val="none" w:sz="0" w:space="0" w:color="auto"/>
        <w:bottom w:val="none" w:sz="0" w:space="0" w:color="auto"/>
        <w:right w:val="none" w:sz="0" w:space="0" w:color="auto"/>
      </w:divBdr>
    </w:div>
    <w:div w:id="1376270771">
      <w:bodyDiv w:val="1"/>
      <w:marLeft w:val="0"/>
      <w:marRight w:val="0"/>
      <w:marTop w:val="0"/>
      <w:marBottom w:val="0"/>
      <w:divBdr>
        <w:top w:val="none" w:sz="0" w:space="0" w:color="auto"/>
        <w:left w:val="none" w:sz="0" w:space="0" w:color="auto"/>
        <w:bottom w:val="none" w:sz="0" w:space="0" w:color="auto"/>
        <w:right w:val="none" w:sz="0" w:space="0" w:color="auto"/>
      </w:divBdr>
    </w:div>
    <w:div w:id="1443912296">
      <w:bodyDiv w:val="1"/>
      <w:marLeft w:val="0"/>
      <w:marRight w:val="0"/>
      <w:marTop w:val="0"/>
      <w:marBottom w:val="0"/>
      <w:divBdr>
        <w:top w:val="none" w:sz="0" w:space="0" w:color="auto"/>
        <w:left w:val="none" w:sz="0" w:space="0" w:color="auto"/>
        <w:bottom w:val="none" w:sz="0" w:space="0" w:color="auto"/>
        <w:right w:val="none" w:sz="0" w:space="0" w:color="auto"/>
      </w:divBdr>
    </w:div>
    <w:div w:id="1697078666">
      <w:bodyDiv w:val="1"/>
      <w:marLeft w:val="0"/>
      <w:marRight w:val="0"/>
      <w:marTop w:val="0"/>
      <w:marBottom w:val="0"/>
      <w:divBdr>
        <w:top w:val="none" w:sz="0" w:space="0" w:color="auto"/>
        <w:left w:val="none" w:sz="0" w:space="0" w:color="auto"/>
        <w:bottom w:val="none" w:sz="0" w:space="0" w:color="auto"/>
        <w:right w:val="none" w:sz="0" w:space="0" w:color="auto"/>
      </w:divBdr>
    </w:div>
    <w:div w:id="1755972688">
      <w:bodyDiv w:val="1"/>
      <w:marLeft w:val="0"/>
      <w:marRight w:val="0"/>
      <w:marTop w:val="0"/>
      <w:marBottom w:val="0"/>
      <w:divBdr>
        <w:top w:val="none" w:sz="0" w:space="0" w:color="auto"/>
        <w:left w:val="none" w:sz="0" w:space="0" w:color="auto"/>
        <w:bottom w:val="none" w:sz="0" w:space="0" w:color="auto"/>
        <w:right w:val="none" w:sz="0" w:space="0" w:color="auto"/>
      </w:divBdr>
    </w:div>
    <w:div w:id="1805459887">
      <w:bodyDiv w:val="1"/>
      <w:marLeft w:val="0"/>
      <w:marRight w:val="0"/>
      <w:marTop w:val="0"/>
      <w:marBottom w:val="0"/>
      <w:divBdr>
        <w:top w:val="none" w:sz="0" w:space="0" w:color="auto"/>
        <w:left w:val="none" w:sz="0" w:space="0" w:color="auto"/>
        <w:bottom w:val="none" w:sz="0" w:space="0" w:color="auto"/>
        <w:right w:val="none" w:sz="0" w:space="0" w:color="auto"/>
      </w:divBdr>
    </w:div>
    <w:div w:id="1978955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tgetsbetter.org/" TargetMode="External"/><Relationship Id="rId13" Type="http://schemas.openxmlformats.org/officeDocument/2006/relationships/hyperlink" Target="http://www.huffingtonpost.com/jay-michaelson/rick-santorum-homophobia_b_1182857.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rticles.cnn.com/2003-04-22/politics/santorum.gays_1_statement-on-individual-lifestyles-senator-santorum-bigamy-and-adultery?_s=PM:ALLPOLITICS" TargetMode="External"/><Relationship Id="rId17" Type="http://schemas.openxmlformats.org/officeDocument/2006/relationships/hyperlink" Target="http://www.bilerico.com/2010/10/does_it_really_get_better.php" TargetMode="External"/><Relationship Id="rId2" Type="http://schemas.openxmlformats.org/officeDocument/2006/relationships/numbering" Target="numbering.xml"/><Relationship Id="rId16" Type="http://schemas.openxmlformats.org/officeDocument/2006/relationships/hyperlink" Target="http://www.youtube.com/watch?v=7IcVyvg2Ql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shingtonblade.com/2012/01/08/gingrich-media-has-anti-christian-bias-on-marriage/" TargetMode="External"/><Relationship Id="rId5" Type="http://schemas.openxmlformats.org/officeDocument/2006/relationships/webSettings" Target="webSettings.xml"/><Relationship Id="rId15" Type="http://schemas.openxmlformats.org/officeDocument/2006/relationships/hyperlink" Target="http://quietgirlriot.wordpress.com/2010/10/06/it-gets-better-what-does-for-whom/" TargetMode="External"/><Relationship Id="rId10" Type="http://schemas.openxmlformats.org/officeDocument/2006/relationships/hyperlink" Target="http://www.nytimes.com/2010/09/30/nyregion/30suicide.html?_r=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dgln.com/social/2012/04/20/rgod2-what-lgbt-people-might-expect-mormon-president-mitt-romney" TargetMode="External"/><Relationship Id="rId14" Type="http://schemas.openxmlformats.org/officeDocument/2006/relationships/hyperlink" Target="http://www.guardian.co.uk/commentisfree/cifamerica/2010/nov/16/wake-it-gets-better-campaig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C276B-D6FC-AA4D-8FB2-1C1250CB0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20723</Words>
  <Characters>118127</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138573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2014-03-16T13:53:00Z</dcterms:created>
  <dcterms:modified xsi:type="dcterms:W3CDTF">2018-08-05T11:49:00Z</dcterms:modified>
  <cp:category/>
</cp:coreProperties>
</file>