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7588" w14:textId="77777777" w:rsidR="008A4E05" w:rsidRPr="008A4E05" w:rsidRDefault="00F53907" w:rsidP="008A4E05">
      <w:pPr>
        <w:spacing w:line="360" w:lineRule="auto"/>
        <w:jc w:val="center"/>
        <w:rPr>
          <w:b/>
          <w:bCs/>
          <w:sz w:val="32"/>
          <w:szCs w:val="36"/>
          <w:lang w:val="en-GB"/>
        </w:rPr>
      </w:pPr>
      <w:r>
        <w:rPr>
          <w:lang w:val="en-GB"/>
        </w:rPr>
        <w:t xml:space="preserve"> </w:t>
      </w:r>
      <w:r w:rsidR="008A4E05" w:rsidRPr="008A4E05">
        <w:rPr>
          <w:b/>
          <w:bCs/>
          <w:sz w:val="32"/>
          <w:szCs w:val="36"/>
          <w:lang w:val="en-GB"/>
        </w:rPr>
        <w:t xml:space="preserve">Emerging Economy MNEs: </w:t>
      </w:r>
    </w:p>
    <w:p w14:paraId="32719F19" w14:textId="77777777" w:rsidR="008A4E05" w:rsidRPr="008A4E05" w:rsidRDefault="008A4E05" w:rsidP="008A4E05">
      <w:pPr>
        <w:spacing w:line="360" w:lineRule="auto"/>
        <w:jc w:val="center"/>
        <w:rPr>
          <w:b/>
          <w:bCs/>
          <w:sz w:val="32"/>
          <w:szCs w:val="36"/>
          <w:lang w:val="en-GB"/>
        </w:rPr>
      </w:pPr>
      <w:r w:rsidRPr="008A4E05">
        <w:rPr>
          <w:b/>
          <w:bCs/>
          <w:sz w:val="32"/>
          <w:szCs w:val="36"/>
          <w:lang w:val="en-GB"/>
        </w:rPr>
        <w:t xml:space="preserve">How does home country munificence matter? </w:t>
      </w:r>
    </w:p>
    <w:p w14:paraId="4BF160DE" w14:textId="77777777" w:rsidR="008A4E05" w:rsidRPr="008A4E05" w:rsidRDefault="008A4E05" w:rsidP="008A4E05">
      <w:pPr>
        <w:spacing w:line="360" w:lineRule="auto"/>
        <w:jc w:val="center"/>
        <w:rPr>
          <w:b/>
          <w:bCs/>
          <w:sz w:val="28"/>
          <w:szCs w:val="32"/>
          <w:lang w:val="en-GB"/>
        </w:rPr>
      </w:pPr>
    </w:p>
    <w:p w14:paraId="061DF5E0" w14:textId="77777777" w:rsidR="008A4E05" w:rsidRPr="008A4E05" w:rsidRDefault="008A4E05" w:rsidP="008A4E05">
      <w:pPr>
        <w:spacing w:line="360" w:lineRule="auto"/>
        <w:jc w:val="center"/>
        <w:rPr>
          <w:b/>
          <w:bCs/>
          <w:sz w:val="28"/>
          <w:szCs w:val="32"/>
          <w:lang w:val="en-GB"/>
        </w:rPr>
      </w:pPr>
      <w:r w:rsidRPr="008A4E05">
        <w:rPr>
          <w:b/>
          <w:bCs/>
          <w:sz w:val="28"/>
          <w:szCs w:val="32"/>
          <w:lang w:val="en-GB"/>
        </w:rPr>
        <w:t>Saul Estrin</w:t>
      </w:r>
    </w:p>
    <w:p w14:paraId="466E41F4" w14:textId="77777777" w:rsidR="008A4E05" w:rsidRPr="008A4E05" w:rsidRDefault="008A4E05" w:rsidP="008A4E05">
      <w:pPr>
        <w:spacing w:line="360" w:lineRule="auto"/>
        <w:jc w:val="center"/>
        <w:rPr>
          <w:bCs/>
          <w:sz w:val="28"/>
          <w:szCs w:val="32"/>
          <w:lang w:val="en-GB"/>
        </w:rPr>
      </w:pPr>
      <w:r w:rsidRPr="008A4E05">
        <w:rPr>
          <w:bCs/>
          <w:sz w:val="28"/>
          <w:szCs w:val="32"/>
          <w:lang w:val="en-GB"/>
        </w:rPr>
        <w:t>Department of Management</w:t>
      </w:r>
    </w:p>
    <w:p w14:paraId="0EE51498" w14:textId="77777777" w:rsidR="008A4E05" w:rsidRPr="008A4E05" w:rsidRDefault="008A4E05" w:rsidP="008A4E05">
      <w:pPr>
        <w:spacing w:line="360" w:lineRule="auto"/>
        <w:jc w:val="center"/>
        <w:rPr>
          <w:bCs/>
          <w:sz w:val="28"/>
          <w:szCs w:val="32"/>
          <w:lang w:val="en-GB"/>
        </w:rPr>
      </w:pPr>
      <w:r w:rsidRPr="008A4E05">
        <w:rPr>
          <w:bCs/>
          <w:sz w:val="28"/>
          <w:szCs w:val="32"/>
          <w:lang w:val="en-GB"/>
        </w:rPr>
        <w:t>London School of Economics, UK</w:t>
      </w:r>
    </w:p>
    <w:p w14:paraId="0553D4BA" w14:textId="77777777" w:rsidR="008A4E05" w:rsidRPr="008A4E05" w:rsidRDefault="00CF1609" w:rsidP="008A4E05">
      <w:pPr>
        <w:spacing w:line="360" w:lineRule="auto"/>
        <w:jc w:val="center"/>
        <w:rPr>
          <w:bCs/>
          <w:sz w:val="28"/>
          <w:szCs w:val="32"/>
          <w:lang w:val="en-GB"/>
        </w:rPr>
      </w:pPr>
      <w:hyperlink r:id="rId8" w:history="1">
        <w:r w:rsidR="008A4E05" w:rsidRPr="008A4E05">
          <w:rPr>
            <w:bCs/>
            <w:color w:val="0000FF"/>
            <w:sz w:val="28"/>
            <w:szCs w:val="32"/>
            <w:u w:val="single"/>
            <w:lang w:val="en-GB"/>
          </w:rPr>
          <w:t>s.estrin@lse.ac.uk</w:t>
        </w:r>
      </w:hyperlink>
      <w:r w:rsidR="008A4E05" w:rsidRPr="008A4E05">
        <w:rPr>
          <w:bCs/>
          <w:sz w:val="28"/>
          <w:szCs w:val="32"/>
          <w:lang w:val="en-GB"/>
        </w:rPr>
        <w:t xml:space="preserve"> </w:t>
      </w:r>
    </w:p>
    <w:p w14:paraId="7C149E50" w14:textId="77777777" w:rsidR="008A4E05" w:rsidRPr="008A4E05" w:rsidRDefault="008A4E05" w:rsidP="008A4E05">
      <w:pPr>
        <w:spacing w:line="360" w:lineRule="auto"/>
        <w:jc w:val="center"/>
        <w:rPr>
          <w:b/>
          <w:bCs/>
          <w:sz w:val="28"/>
          <w:szCs w:val="32"/>
          <w:lang w:val="en-GB"/>
        </w:rPr>
      </w:pPr>
    </w:p>
    <w:p w14:paraId="3E0A4C7D" w14:textId="77777777" w:rsidR="008A4E05" w:rsidRPr="008A4E05" w:rsidRDefault="008A4E05" w:rsidP="008A4E05">
      <w:pPr>
        <w:spacing w:line="360" w:lineRule="auto"/>
        <w:jc w:val="center"/>
        <w:rPr>
          <w:b/>
          <w:bCs/>
          <w:sz w:val="28"/>
          <w:szCs w:val="32"/>
          <w:lang w:val="en-GB"/>
        </w:rPr>
      </w:pPr>
      <w:r w:rsidRPr="008A4E05">
        <w:rPr>
          <w:b/>
          <w:bCs/>
          <w:sz w:val="28"/>
          <w:szCs w:val="32"/>
          <w:lang w:val="en-GB"/>
        </w:rPr>
        <w:t>Klaus E. Meyer</w:t>
      </w:r>
    </w:p>
    <w:p w14:paraId="2C2520C4" w14:textId="77777777" w:rsidR="008A4E05" w:rsidRPr="008A4E05" w:rsidRDefault="008A4E05" w:rsidP="008A4E05">
      <w:pPr>
        <w:spacing w:line="360" w:lineRule="auto"/>
        <w:jc w:val="center"/>
        <w:rPr>
          <w:bCs/>
          <w:sz w:val="28"/>
          <w:szCs w:val="32"/>
          <w:lang w:val="en-GB"/>
        </w:rPr>
      </w:pPr>
      <w:r w:rsidRPr="008A4E05">
        <w:rPr>
          <w:bCs/>
          <w:sz w:val="28"/>
          <w:szCs w:val="32"/>
          <w:lang w:val="en-GB"/>
        </w:rPr>
        <w:t>Ivey Business School</w:t>
      </w:r>
    </w:p>
    <w:p w14:paraId="2766D260" w14:textId="77777777" w:rsidR="008A4E05" w:rsidRPr="008A4E05" w:rsidRDefault="008A4E05" w:rsidP="008A4E05">
      <w:pPr>
        <w:spacing w:line="360" w:lineRule="auto"/>
        <w:jc w:val="center"/>
        <w:rPr>
          <w:bCs/>
          <w:sz w:val="28"/>
          <w:szCs w:val="32"/>
          <w:lang w:val="en-GB"/>
        </w:rPr>
      </w:pPr>
      <w:r w:rsidRPr="008A4E05">
        <w:rPr>
          <w:bCs/>
          <w:sz w:val="28"/>
          <w:szCs w:val="32"/>
          <w:lang w:val="en-GB"/>
        </w:rPr>
        <w:t>Western University, Canada</w:t>
      </w:r>
    </w:p>
    <w:p w14:paraId="2EA1782E" w14:textId="77777777" w:rsidR="008A4E05" w:rsidRPr="008A4E05" w:rsidRDefault="00CF1609" w:rsidP="008A4E05">
      <w:pPr>
        <w:spacing w:line="360" w:lineRule="auto"/>
        <w:jc w:val="center"/>
        <w:rPr>
          <w:bCs/>
          <w:sz w:val="28"/>
          <w:szCs w:val="32"/>
          <w:lang w:val="en-GB"/>
        </w:rPr>
      </w:pPr>
      <w:hyperlink r:id="rId9" w:history="1">
        <w:r w:rsidR="008A4E05" w:rsidRPr="008A4E05">
          <w:rPr>
            <w:bCs/>
            <w:color w:val="0000FF"/>
            <w:sz w:val="28"/>
            <w:szCs w:val="32"/>
            <w:u w:val="single"/>
            <w:lang w:val="en-GB"/>
          </w:rPr>
          <w:t>kmeyer@ivey.ca</w:t>
        </w:r>
      </w:hyperlink>
      <w:r w:rsidR="008A4E05" w:rsidRPr="008A4E05">
        <w:rPr>
          <w:bCs/>
          <w:sz w:val="28"/>
          <w:szCs w:val="32"/>
          <w:lang w:val="en-GB"/>
        </w:rPr>
        <w:t xml:space="preserve">, </w:t>
      </w:r>
      <w:hyperlink r:id="rId10" w:history="1">
        <w:r w:rsidR="008A4E05" w:rsidRPr="008A4E05">
          <w:rPr>
            <w:bCs/>
            <w:color w:val="0000FF"/>
            <w:sz w:val="28"/>
            <w:szCs w:val="32"/>
            <w:u w:val="single"/>
            <w:lang w:val="en-GB"/>
          </w:rPr>
          <w:t>www.klausmeyer.co.uk</w:t>
        </w:r>
      </w:hyperlink>
    </w:p>
    <w:p w14:paraId="038C453F" w14:textId="77777777" w:rsidR="008A4E05" w:rsidRPr="008A4E05" w:rsidRDefault="008A4E05" w:rsidP="008A4E05">
      <w:pPr>
        <w:spacing w:line="360" w:lineRule="auto"/>
        <w:jc w:val="center"/>
        <w:rPr>
          <w:b/>
          <w:bCs/>
          <w:sz w:val="28"/>
          <w:szCs w:val="32"/>
          <w:lang w:val="en-GB"/>
        </w:rPr>
      </w:pPr>
    </w:p>
    <w:p w14:paraId="37492EC5" w14:textId="77777777" w:rsidR="008A4E05" w:rsidRPr="008A4E05" w:rsidRDefault="008A4E05" w:rsidP="008A4E05">
      <w:pPr>
        <w:spacing w:line="360" w:lineRule="auto"/>
        <w:jc w:val="center"/>
        <w:rPr>
          <w:b/>
          <w:bCs/>
          <w:sz w:val="28"/>
          <w:szCs w:val="32"/>
          <w:lang w:val="en-GB"/>
        </w:rPr>
      </w:pPr>
      <w:r w:rsidRPr="008A4E05">
        <w:rPr>
          <w:b/>
          <w:bCs/>
          <w:sz w:val="28"/>
          <w:szCs w:val="32"/>
          <w:lang w:val="en-GB"/>
        </w:rPr>
        <w:t>Adeline Pelletier</w:t>
      </w:r>
    </w:p>
    <w:p w14:paraId="0D940DD7" w14:textId="77777777" w:rsidR="008A4E05" w:rsidRPr="008A4E05" w:rsidRDefault="008A4E05" w:rsidP="008A4E05">
      <w:pPr>
        <w:spacing w:line="360" w:lineRule="auto"/>
        <w:jc w:val="center"/>
        <w:rPr>
          <w:bCs/>
          <w:sz w:val="28"/>
          <w:szCs w:val="32"/>
          <w:lang w:val="en-GB"/>
        </w:rPr>
      </w:pPr>
      <w:r w:rsidRPr="008A4E05">
        <w:rPr>
          <w:bCs/>
          <w:sz w:val="28"/>
          <w:szCs w:val="32"/>
          <w:lang w:val="en-GB"/>
        </w:rPr>
        <w:t>Goldsmiths College, University of London</w:t>
      </w:r>
    </w:p>
    <w:p w14:paraId="03E3B585" w14:textId="77777777" w:rsidR="008A4E05" w:rsidRPr="008A4E05" w:rsidRDefault="008A4E05" w:rsidP="008A4E05">
      <w:pPr>
        <w:spacing w:line="360" w:lineRule="auto"/>
        <w:jc w:val="center"/>
        <w:rPr>
          <w:bCs/>
          <w:sz w:val="28"/>
          <w:szCs w:val="32"/>
          <w:lang w:val="en-GB"/>
        </w:rPr>
      </w:pPr>
      <w:r w:rsidRPr="008A4E05">
        <w:rPr>
          <w:bCs/>
          <w:sz w:val="28"/>
          <w:szCs w:val="32"/>
          <w:lang w:val="en-GB"/>
        </w:rPr>
        <w:t>Centre for Economic Performance, LSE, UK</w:t>
      </w:r>
      <w:bookmarkStart w:id="0" w:name="_GoBack"/>
      <w:bookmarkEnd w:id="0"/>
    </w:p>
    <w:p w14:paraId="51B75C93" w14:textId="77777777" w:rsidR="008A4E05" w:rsidRPr="008A4E05" w:rsidRDefault="00CF1609" w:rsidP="008A4E05">
      <w:pPr>
        <w:spacing w:line="360" w:lineRule="auto"/>
        <w:jc w:val="center"/>
        <w:rPr>
          <w:bCs/>
          <w:sz w:val="28"/>
          <w:szCs w:val="32"/>
          <w:lang w:val="en-GB"/>
        </w:rPr>
      </w:pPr>
      <w:hyperlink r:id="rId11">
        <w:r w:rsidR="008A4E05" w:rsidRPr="008A4E05">
          <w:rPr>
            <w:bCs/>
            <w:color w:val="0000FF"/>
            <w:sz w:val="28"/>
            <w:szCs w:val="32"/>
            <w:u w:val="single"/>
            <w:lang w:val="en-GB" w:bidi="fr-FR"/>
          </w:rPr>
          <w:t>a.g.pelletier@lse.ac.uk</w:t>
        </w:r>
      </w:hyperlink>
    </w:p>
    <w:p w14:paraId="02674228" w14:textId="77777777" w:rsidR="008A4E05" w:rsidRPr="008A4E05" w:rsidRDefault="008A4E05" w:rsidP="008A4E05">
      <w:pPr>
        <w:spacing w:line="360" w:lineRule="auto"/>
        <w:jc w:val="center"/>
        <w:rPr>
          <w:b/>
          <w:bCs/>
          <w:sz w:val="28"/>
          <w:szCs w:val="32"/>
          <w:lang w:val="en-GB"/>
        </w:rPr>
      </w:pPr>
    </w:p>
    <w:p w14:paraId="4E61A856" w14:textId="51428C71" w:rsidR="008A4E05" w:rsidRDefault="00CF1609" w:rsidP="008A4E05">
      <w:pPr>
        <w:spacing w:line="360" w:lineRule="auto"/>
        <w:jc w:val="center"/>
        <w:rPr>
          <w:b/>
          <w:bCs/>
          <w:sz w:val="28"/>
          <w:szCs w:val="32"/>
          <w:lang w:val="en-GB"/>
        </w:rPr>
      </w:pPr>
      <w:r>
        <w:rPr>
          <w:b/>
          <w:bCs/>
          <w:sz w:val="28"/>
          <w:szCs w:val="32"/>
          <w:lang w:val="en-GB"/>
        </w:rPr>
        <w:t xml:space="preserve">accepted for publication in: </w:t>
      </w:r>
      <w:r w:rsidRPr="00CF1609">
        <w:rPr>
          <w:b/>
          <w:bCs/>
          <w:i/>
          <w:sz w:val="28"/>
          <w:szCs w:val="32"/>
          <w:lang w:val="en-GB"/>
        </w:rPr>
        <w:t>Journal of World Business</w:t>
      </w:r>
    </w:p>
    <w:p w14:paraId="4085E6CE" w14:textId="3BE8E084" w:rsidR="008A4E05" w:rsidRDefault="00CF1609" w:rsidP="008A4E05">
      <w:pPr>
        <w:spacing w:line="360" w:lineRule="auto"/>
        <w:jc w:val="center"/>
        <w:rPr>
          <w:bCs/>
          <w:sz w:val="20"/>
          <w:szCs w:val="20"/>
          <w:lang w:val="en-GB"/>
        </w:rPr>
      </w:pPr>
      <w:r>
        <w:rPr>
          <w:bCs/>
          <w:sz w:val="20"/>
          <w:szCs w:val="20"/>
          <w:lang w:val="en-GB"/>
        </w:rPr>
        <w:t xml:space="preserve">This version: </w:t>
      </w:r>
      <w:r w:rsidR="008A4E05">
        <w:rPr>
          <w:bCs/>
          <w:sz w:val="20"/>
          <w:szCs w:val="20"/>
          <w:lang w:val="en-GB"/>
        </w:rPr>
        <w:t>February 2018</w:t>
      </w:r>
    </w:p>
    <w:p w14:paraId="6FFA0490" w14:textId="77777777" w:rsidR="00CF1609" w:rsidRPr="008A4E05" w:rsidRDefault="00CF1609" w:rsidP="008A4E05">
      <w:pPr>
        <w:spacing w:line="360" w:lineRule="auto"/>
        <w:jc w:val="center"/>
        <w:rPr>
          <w:bCs/>
          <w:sz w:val="20"/>
          <w:szCs w:val="20"/>
          <w:lang w:val="en-GB"/>
        </w:rPr>
      </w:pPr>
    </w:p>
    <w:p w14:paraId="6BF44600" w14:textId="77777777" w:rsidR="008A4E05" w:rsidRPr="008A4E05" w:rsidRDefault="008A4E05" w:rsidP="008A4E05">
      <w:pPr>
        <w:spacing w:line="360" w:lineRule="auto"/>
        <w:rPr>
          <w:b/>
          <w:bCs/>
          <w:sz w:val="28"/>
          <w:szCs w:val="32"/>
          <w:lang w:val="en-GB"/>
        </w:rPr>
      </w:pPr>
      <w:r w:rsidRPr="008A4E05">
        <w:rPr>
          <w:b/>
          <w:bCs/>
          <w:sz w:val="20"/>
          <w:szCs w:val="20"/>
          <w:lang w:val="en-GB"/>
        </w:rPr>
        <w:t>Acknowledgements</w:t>
      </w:r>
      <w:r w:rsidRPr="008A4E05">
        <w:rPr>
          <w:bCs/>
          <w:sz w:val="20"/>
          <w:szCs w:val="20"/>
          <w:lang w:val="en-GB"/>
        </w:rPr>
        <w:t>:</w:t>
      </w:r>
      <w:r w:rsidRPr="008A4E05">
        <w:rPr>
          <w:b/>
          <w:bCs/>
          <w:sz w:val="28"/>
          <w:szCs w:val="32"/>
          <w:lang w:val="en-GB"/>
        </w:rPr>
        <w:t xml:space="preserve"> </w:t>
      </w:r>
      <w:r w:rsidRPr="008A4E05">
        <w:rPr>
          <w:bCs/>
          <w:sz w:val="20"/>
          <w:szCs w:val="20"/>
          <w:lang w:val="en-GB"/>
        </w:rPr>
        <w:t>We appreciate helpful comments from our colleagues including Sumon Bhaumik, Alvaro Cuervo-Cazurra, Ravi Ramamurti and Tomek Mickiewicz as well as seminar participants at Erasmus University Rotterdam, York University, the UK Department for International Development, Copenhagen Business School, IE Madrid, Ludwig Maximilian University Munich, Northeastern University, Reading University, Simon Fraser University, University of Manchester, and University of Sydney. We thank Aloña Martiarena for her excellent research assistance. Any errors remain solely our own responsibility</w:t>
      </w:r>
      <w:r w:rsidRPr="008A4E05">
        <w:rPr>
          <w:b/>
          <w:bCs/>
          <w:sz w:val="28"/>
          <w:szCs w:val="32"/>
          <w:lang w:val="en-GB"/>
        </w:rPr>
        <w:t xml:space="preserve">. </w:t>
      </w:r>
    </w:p>
    <w:p w14:paraId="152E4DB0" w14:textId="77777777" w:rsidR="008A4E05" w:rsidRPr="008A4E05" w:rsidRDefault="008A4E05" w:rsidP="008A4E05"/>
    <w:p w14:paraId="6039445C" w14:textId="7A30E860" w:rsidR="005E1B66" w:rsidRDefault="005C210D" w:rsidP="00EB1247">
      <w:pPr>
        <w:rPr>
          <w:b/>
          <w:bCs/>
          <w:sz w:val="28"/>
          <w:szCs w:val="32"/>
          <w:lang w:val="en-GB"/>
        </w:rPr>
      </w:pPr>
      <w:r>
        <w:rPr>
          <w:lang w:val="en-GB"/>
        </w:rPr>
        <w:lastRenderedPageBreak/>
        <w:tab/>
      </w:r>
      <w:r w:rsidR="005E1B66" w:rsidRPr="005E1B66">
        <w:rPr>
          <w:rFonts w:eastAsia="SimSun"/>
          <w:bCs/>
          <w:sz w:val="20"/>
          <w:szCs w:val="22"/>
          <w:lang w:val="en-GB" w:eastAsia="zh-CN"/>
        </w:rPr>
        <w:t xml:space="preserve"> </w:t>
      </w:r>
    </w:p>
    <w:p w14:paraId="2F02C2AF" w14:textId="77777777" w:rsidR="003D5719" w:rsidRDefault="003D5719" w:rsidP="00DD608B">
      <w:pPr>
        <w:spacing w:line="360" w:lineRule="auto"/>
        <w:jc w:val="center"/>
        <w:rPr>
          <w:b/>
          <w:bCs/>
          <w:sz w:val="28"/>
          <w:szCs w:val="32"/>
          <w:lang w:val="en-GB"/>
        </w:rPr>
      </w:pPr>
    </w:p>
    <w:p w14:paraId="12734EEE" w14:textId="7B1BB3EC" w:rsidR="008566B6" w:rsidRDefault="00F87301" w:rsidP="00DD608B">
      <w:pPr>
        <w:spacing w:line="360" w:lineRule="auto"/>
        <w:jc w:val="center"/>
        <w:rPr>
          <w:b/>
          <w:bCs/>
          <w:sz w:val="28"/>
          <w:szCs w:val="32"/>
          <w:lang w:val="en-GB"/>
        </w:rPr>
      </w:pPr>
      <w:r w:rsidRPr="00215AC2">
        <w:rPr>
          <w:b/>
          <w:bCs/>
          <w:sz w:val="28"/>
          <w:szCs w:val="32"/>
          <w:lang w:val="en-GB"/>
        </w:rPr>
        <w:t>Emerging Economy MNEs</w:t>
      </w:r>
      <w:r>
        <w:rPr>
          <w:b/>
          <w:bCs/>
          <w:sz w:val="28"/>
          <w:szCs w:val="32"/>
          <w:lang w:val="en-GB"/>
        </w:rPr>
        <w:t>:</w:t>
      </w:r>
    </w:p>
    <w:p w14:paraId="2501AA3B" w14:textId="157A20BB" w:rsidR="00F87301" w:rsidRDefault="00F87301" w:rsidP="008566B6">
      <w:pPr>
        <w:spacing w:line="360" w:lineRule="auto"/>
        <w:jc w:val="center"/>
        <w:rPr>
          <w:b/>
          <w:bCs/>
          <w:sz w:val="28"/>
          <w:szCs w:val="32"/>
          <w:lang w:val="en-GB"/>
        </w:rPr>
      </w:pPr>
      <w:r>
        <w:rPr>
          <w:b/>
          <w:bCs/>
          <w:sz w:val="28"/>
          <w:szCs w:val="32"/>
          <w:lang w:val="en-GB"/>
        </w:rPr>
        <w:t xml:space="preserve">How does home country </w:t>
      </w:r>
      <w:r w:rsidR="00E32374">
        <w:rPr>
          <w:b/>
          <w:bCs/>
          <w:sz w:val="28"/>
          <w:szCs w:val="32"/>
          <w:lang w:val="en-GB"/>
        </w:rPr>
        <w:t xml:space="preserve">munificence </w:t>
      </w:r>
      <w:r>
        <w:rPr>
          <w:b/>
          <w:bCs/>
          <w:sz w:val="28"/>
          <w:szCs w:val="32"/>
          <w:lang w:val="en-GB"/>
        </w:rPr>
        <w:t>matter?</w:t>
      </w:r>
    </w:p>
    <w:p w14:paraId="50061BB2" w14:textId="77777777" w:rsidR="00F87301" w:rsidRDefault="00F87301" w:rsidP="003E0A45">
      <w:pPr>
        <w:spacing w:line="360" w:lineRule="auto"/>
        <w:jc w:val="center"/>
        <w:outlineLvl w:val="0"/>
        <w:rPr>
          <w:b/>
          <w:bCs/>
          <w:sz w:val="28"/>
          <w:szCs w:val="32"/>
          <w:lang w:val="en-GB"/>
        </w:rPr>
      </w:pPr>
    </w:p>
    <w:p w14:paraId="5B6AD29E" w14:textId="0A520A5C" w:rsidR="00FE5B08" w:rsidRDefault="00D11FB6" w:rsidP="007720D9">
      <w:pPr>
        <w:spacing w:line="360" w:lineRule="auto"/>
        <w:outlineLvl w:val="0"/>
        <w:rPr>
          <w:b/>
          <w:bCs/>
          <w:lang w:val="en-GB"/>
        </w:rPr>
      </w:pPr>
      <w:r>
        <w:rPr>
          <w:b/>
          <w:bCs/>
          <w:lang w:val="en-GB"/>
        </w:rPr>
        <w:t>Abstract</w:t>
      </w:r>
    </w:p>
    <w:p w14:paraId="2C1EE28C" w14:textId="77777777" w:rsidR="00D11FB6" w:rsidRDefault="00D11FB6" w:rsidP="0018025D">
      <w:pPr>
        <w:spacing w:line="480" w:lineRule="auto"/>
        <w:rPr>
          <w:bCs/>
          <w:lang w:val="en-GB"/>
        </w:rPr>
      </w:pPr>
    </w:p>
    <w:p w14:paraId="37E5E4F5" w14:textId="37F7D90D" w:rsidR="003C2758" w:rsidRDefault="003C2758" w:rsidP="0018025D">
      <w:pPr>
        <w:spacing w:line="480" w:lineRule="auto"/>
        <w:rPr>
          <w:bCs/>
          <w:lang w:val="en-GB"/>
        </w:rPr>
      </w:pPr>
      <w:r>
        <w:rPr>
          <w:bCs/>
          <w:lang w:val="en-GB"/>
        </w:rPr>
        <w:t>Multinational Enterprises (MNEs) from emerging economies (EEs) are establishing operations in advanced economies</w:t>
      </w:r>
      <w:r w:rsidR="00940A61">
        <w:rPr>
          <w:bCs/>
          <w:lang w:val="en-GB"/>
        </w:rPr>
        <w:t xml:space="preserve"> (AEs)</w:t>
      </w:r>
      <w:r>
        <w:rPr>
          <w:bCs/>
          <w:lang w:val="en-GB"/>
        </w:rPr>
        <w:t xml:space="preserve">, apparently departing from traditional models of internationalization. We </w:t>
      </w:r>
      <w:r w:rsidR="00CF4567">
        <w:rPr>
          <w:bCs/>
          <w:lang w:val="en-GB"/>
        </w:rPr>
        <w:t>explore an under-</w:t>
      </w:r>
      <w:r w:rsidR="00E32374">
        <w:rPr>
          <w:bCs/>
          <w:lang w:val="en-GB"/>
        </w:rPr>
        <w:t xml:space="preserve">explored </w:t>
      </w:r>
      <w:r>
        <w:rPr>
          <w:bCs/>
          <w:lang w:val="en-GB"/>
        </w:rPr>
        <w:t xml:space="preserve">difference </w:t>
      </w:r>
      <w:r w:rsidR="00E32374">
        <w:rPr>
          <w:bCs/>
          <w:lang w:val="en-GB"/>
        </w:rPr>
        <w:t>between EE MNE and their AE</w:t>
      </w:r>
      <w:r w:rsidR="00CF4567">
        <w:rPr>
          <w:bCs/>
          <w:lang w:val="en-GB"/>
        </w:rPr>
        <w:t xml:space="preserve"> counterparts concerning their country of origin: EEs </w:t>
      </w:r>
      <w:r w:rsidR="00562BBF">
        <w:rPr>
          <w:bCs/>
          <w:lang w:val="en-GB"/>
        </w:rPr>
        <w:t>have less munificent business environments</w:t>
      </w:r>
      <w:r>
        <w:rPr>
          <w:bCs/>
          <w:lang w:val="en-GB"/>
        </w:rPr>
        <w:t>. Th</w:t>
      </w:r>
      <w:r w:rsidR="00562BBF">
        <w:rPr>
          <w:bCs/>
          <w:lang w:val="en-GB"/>
        </w:rPr>
        <w:t xml:space="preserve">is leads </w:t>
      </w:r>
      <w:r w:rsidR="00B43ABE">
        <w:rPr>
          <w:bCs/>
          <w:lang w:val="en-GB"/>
        </w:rPr>
        <w:t xml:space="preserve">EE MNEs </w:t>
      </w:r>
      <w:r w:rsidR="00562BBF">
        <w:rPr>
          <w:bCs/>
          <w:lang w:val="en-GB"/>
        </w:rPr>
        <w:t xml:space="preserve">to </w:t>
      </w:r>
      <w:r w:rsidR="00E32374">
        <w:rPr>
          <w:bCs/>
          <w:lang w:val="en-GB"/>
        </w:rPr>
        <w:t xml:space="preserve">make different location choices </w:t>
      </w:r>
      <w:r w:rsidR="00B43ABE">
        <w:rPr>
          <w:bCs/>
          <w:lang w:val="en-GB"/>
        </w:rPr>
        <w:t xml:space="preserve">than </w:t>
      </w:r>
      <w:r w:rsidR="00E32374">
        <w:rPr>
          <w:bCs/>
          <w:lang w:val="en-GB"/>
        </w:rPr>
        <w:t xml:space="preserve">AE MNEs when entering </w:t>
      </w:r>
      <w:r w:rsidR="00940A61">
        <w:rPr>
          <w:bCs/>
          <w:lang w:val="en-GB"/>
        </w:rPr>
        <w:t>AEs</w:t>
      </w:r>
      <w:r w:rsidR="00E32374">
        <w:rPr>
          <w:bCs/>
          <w:lang w:val="en-GB"/>
        </w:rPr>
        <w:t xml:space="preserve">, specifically </w:t>
      </w:r>
      <w:r w:rsidR="00900D99">
        <w:rPr>
          <w:bCs/>
          <w:lang w:val="en-GB"/>
        </w:rPr>
        <w:t xml:space="preserve">because they are </w:t>
      </w:r>
      <w:r w:rsidR="00E32374">
        <w:rPr>
          <w:bCs/>
          <w:lang w:val="en-GB"/>
        </w:rPr>
        <w:t xml:space="preserve">more deterred by barriers to entry.  </w:t>
      </w:r>
      <w:r w:rsidR="00562BBF">
        <w:rPr>
          <w:bCs/>
          <w:lang w:val="en-GB"/>
        </w:rPr>
        <w:t>W</w:t>
      </w:r>
      <w:r>
        <w:rPr>
          <w:bCs/>
          <w:lang w:val="en-GB"/>
        </w:rPr>
        <w:t xml:space="preserve">e </w:t>
      </w:r>
      <w:r w:rsidR="00562BBF">
        <w:rPr>
          <w:bCs/>
          <w:lang w:val="en-GB"/>
        </w:rPr>
        <w:t xml:space="preserve">therefore </w:t>
      </w:r>
      <w:r>
        <w:rPr>
          <w:bCs/>
          <w:lang w:val="en-GB"/>
        </w:rPr>
        <w:t xml:space="preserve">predict EE MNEs to be relatively </w:t>
      </w:r>
      <w:r w:rsidR="00481B6D">
        <w:rPr>
          <w:bCs/>
          <w:lang w:val="en-GB"/>
        </w:rPr>
        <w:t xml:space="preserve">more deterred by distance and weak </w:t>
      </w:r>
      <w:r w:rsidR="00940A61">
        <w:rPr>
          <w:bCs/>
          <w:lang w:val="en-GB"/>
        </w:rPr>
        <w:t xml:space="preserve">intellectual property </w:t>
      </w:r>
      <w:r w:rsidR="00481B6D">
        <w:rPr>
          <w:bCs/>
          <w:lang w:val="en-GB"/>
        </w:rPr>
        <w:t>protection</w:t>
      </w:r>
      <w:r w:rsidR="00481B6D" w:rsidDel="00481B6D">
        <w:rPr>
          <w:bCs/>
          <w:lang w:val="en-GB"/>
        </w:rPr>
        <w:t xml:space="preserve"> </w:t>
      </w:r>
      <w:r w:rsidR="00481B6D">
        <w:rPr>
          <w:bCs/>
          <w:lang w:val="en-GB"/>
        </w:rPr>
        <w:t xml:space="preserve">and relatively more attracted by </w:t>
      </w:r>
      <w:r w:rsidR="005E166E">
        <w:rPr>
          <w:bCs/>
          <w:lang w:val="en-GB"/>
        </w:rPr>
        <w:t xml:space="preserve">diaspora of </w:t>
      </w:r>
      <w:r w:rsidR="00481B6D">
        <w:rPr>
          <w:bCs/>
          <w:lang w:val="en-GB"/>
        </w:rPr>
        <w:t>migrant</w:t>
      </w:r>
      <w:r w:rsidR="005E166E">
        <w:rPr>
          <w:bCs/>
          <w:lang w:val="en-GB"/>
        </w:rPr>
        <w:t>s</w:t>
      </w:r>
      <w:r w:rsidR="00481B6D">
        <w:rPr>
          <w:bCs/>
          <w:lang w:val="en-GB"/>
        </w:rPr>
        <w:t xml:space="preserve"> and </w:t>
      </w:r>
      <w:r w:rsidR="00D7499F">
        <w:rPr>
          <w:bCs/>
          <w:lang w:val="en-GB"/>
        </w:rPr>
        <w:t xml:space="preserve">by </w:t>
      </w:r>
      <w:r>
        <w:rPr>
          <w:bCs/>
          <w:lang w:val="en-GB"/>
        </w:rPr>
        <w:t>market</w:t>
      </w:r>
      <w:r w:rsidR="00481B6D">
        <w:rPr>
          <w:bCs/>
          <w:lang w:val="en-GB"/>
        </w:rPr>
        <w:t>s.</w:t>
      </w:r>
      <w:r w:rsidR="007F5EA0">
        <w:rPr>
          <w:bCs/>
          <w:lang w:val="en-GB"/>
        </w:rPr>
        <w:t xml:space="preserve"> Our empirical results are consist</w:t>
      </w:r>
      <w:r w:rsidR="00481B6D">
        <w:rPr>
          <w:bCs/>
          <w:lang w:val="en-GB"/>
        </w:rPr>
        <w:t>ent</w:t>
      </w:r>
      <w:r w:rsidR="007F5EA0">
        <w:rPr>
          <w:bCs/>
          <w:lang w:val="en-GB"/>
        </w:rPr>
        <w:t xml:space="preserve"> with these predictions.</w:t>
      </w:r>
    </w:p>
    <w:p w14:paraId="098D6B84" w14:textId="77777777" w:rsidR="00CF6787" w:rsidRDefault="00CF6787" w:rsidP="0018025D">
      <w:pPr>
        <w:spacing w:line="480" w:lineRule="auto"/>
        <w:rPr>
          <w:bCs/>
          <w:lang w:val="en-GB"/>
        </w:rPr>
      </w:pPr>
    </w:p>
    <w:p w14:paraId="116258A2" w14:textId="77777777" w:rsidR="007F4E15" w:rsidRDefault="007F4E15" w:rsidP="0018025D">
      <w:pPr>
        <w:spacing w:line="480" w:lineRule="auto"/>
        <w:ind w:firstLine="720"/>
        <w:rPr>
          <w:bCs/>
          <w:lang w:val="en-GB"/>
        </w:rPr>
      </w:pPr>
    </w:p>
    <w:p w14:paraId="6048D5DD" w14:textId="72C52120" w:rsidR="00227E1E" w:rsidRDefault="007F4E15" w:rsidP="007C74F5">
      <w:pPr>
        <w:spacing w:line="480" w:lineRule="auto"/>
        <w:rPr>
          <w:bCs/>
          <w:lang w:val="en-GB"/>
        </w:rPr>
      </w:pPr>
      <w:r w:rsidRPr="0089615B">
        <w:rPr>
          <w:b/>
          <w:bCs/>
          <w:lang w:val="en-GB"/>
        </w:rPr>
        <w:t>Keywords</w:t>
      </w:r>
      <w:r>
        <w:rPr>
          <w:bCs/>
          <w:lang w:val="en-GB"/>
        </w:rPr>
        <w:t>: foreign direct investment</w:t>
      </w:r>
      <w:r w:rsidR="00BF5B35">
        <w:rPr>
          <w:bCs/>
          <w:lang w:val="en-GB"/>
        </w:rPr>
        <w:t xml:space="preserve">, </w:t>
      </w:r>
      <w:r w:rsidR="00BF5B35" w:rsidRPr="00481B6D">
        <w:rPr>
          <w:bCs/>
          <w:lang w:val="en-GB"/>
        </w:rPr>
        <w:t>location</w:t>
      </w:r>
      <w:r w:rsidR="00481B6D" w:rsidRPr="00481B6D">
        <w:rPr>
          <w:bCs/>
          <w:lang w:val="en-GB"/>
        </w:rPr>
        <w:t xml:space="preserve"> choice</w:t>
      </w:r>
      <w:r w:rsidR="00481B6D">
        <w:rPr>
          <w:bCs/>
          <w:lang w:val="en-GB"/>
        </w:rPr>
        <w:t>,</w:t>
      </w:r>
      <w:r w:rsidR="00481B6D" w:rsidRPr="00481B6D">
        <w:rPr>
          <w:bCs/>
          <w:lang w:val="en-GB"/>
        </w:rPr>
        <w:t xml:space="preserve"> </w:t>
      </w:r>
      <w:r>
        <w:rPr>
          <w:bCs/>
          <w:lang w:val="en-GB"/>
        </w:rPr>
        <w:t xml:space="preserve">emerging </w:t>
      </w:r>
      <w:r w:rsidR="0053539E">
        <w:rPr>
          <w:bCs/>
          <w:lang w:val="en-GB"/>
        </w:rPr>
        <w:t>economy multinationals</w:t>
      </w:r>
      <w:r>
        <w:rPr>
          <w:bCs/>
          <w:lang w:val="en-GB"/>
        </w:rPr>
        <w:t>,</w:t>
      </w:r>
      <w:r w:rsidR="00F361DE" w:rsidRPr="00F361DE">
        <w:rPr>
          <w:bCs/>
          <w:lang w:val="en-GB"/>
        </w:rPr>
        <w:t xml:space="preserve"> </w:t>
      </w:r>
      <w:r w:rsidR="00215AC2">
        <w:rPr>
          <w:bCs/>
          <w:lang w:val="en-GB"/>
        </w:rPr>
        <w:t>home country</w:t>
      </w:r>
      <w:r w:rsidR="00506246">
        <w:rPr>
          <w:bCs/>
          <w:lang w:val="en-GB"/>
        </w:rPr>
        <w:t xml:space="preserve"> </w:t>
      </w:r>
      <w:r w:rsidR="00562BBF">
        <w:rPr>
          <w:bCs/>
          <w:lang w:val="en-GB"/>
        </w:rPr>
        <w:t>munificence</w:t>
      </w:r>
      <w:r w:rsidR="00481B6D">
        <w:rPr>
          <w:bCs/>
          <w:lang w:val="en-GB"/>
        </w:rPr>
        <w:t xml:space="preserve">, </w:t>
      </w:r>
      <w:r w:rsidR="00D152CA">
        <w:rPr>
          <w:bCs/>
          <w:lang w:val="en-GB"/>
        </w:rPr>
        <w:t>liability</w:t>
      </w:r>
      <w:r w:rsidR="00481B6D">
        <w:rPr>
          <w:bCs/>
          <w:lang w:val="en-GB"/>
        </w:rPr>
        <w:t xml:space="preserve"> of foreign</w:t>
      </w:r>
      <w:r w:rsidR="00CF4567">
        <w:rPr>
          <w:bCs/>
          <w:lang w:val="en-GB"/>
        </w:rPr>
        <w:t>n</w:t>
      </w:r>
      <w:r w:rsidR="00481B6D">
        <w:rPr>
          <w:bCs/>
          <w:lang w:val="en-GB"/>
        </w:rPr>
        <w:t>ess</w:t>
      </w:r>
      <w:r w:rsidR="00E7160A">
        <w:rPr>
          <w:bCs/>
          <w:lang w:val="en-GB"/>
        </w:rPr>
        <w:t xml:space="preserve">. </w:t>
      </w:r>
    </w:p>
    <w:p w14:paraId="65416AE1" w14:textId="77777777" w:rsidR="00D11FB6" w:rsidRDefault="00D11FB6" w:rsidP="00475858">
      <w:pPr>
        <w:spacing w:line="360" w:lineRule="auto"/>
        <w:rPr>
          <w:b/>
          <w:bCs/>
          <w:lang w:val="en-GB"/>
        </w:rPr>
      </w:pPr>
    </w:p>
    <w:p w14:paraId="4B002F16" w14:textId="3E3F715D" w:rsidR="00D11FB6" w:rsidRDefault="00D11FB6" w:rsidP="00C46F54">
      <w:pPr>
        <w:spacing w:line="480" w:lineRule="auto"/>
        <w:jc w:val="center"/>
        <w:outlineLvl w:val="0"/>
        <w:rPr>
          <w:b/>
          <w:bCs/>
          <w:lang w:val="en-GB"/>
        </w:rPr>
      </w:pPr>
      <w:r>
        <w:rPr>
          <w:b/>
          <w:bCs/>
          <w:lang w:val="en-GB"/>
        </w:rPr>
        <w:br w:type="page"/>
      </w:r>
      <w:r w:rsidRPr="004C135D">
        <w:rPr>
          <w:b/>
          <w:bCs/>
          <w:lang w:val="en-GB"/>
        </w:rPr>
        <w:lastRenderedPageBreak/>
        <w:t>Introduction</w:t>
      </w:r>
    </w:p>
    <w:p w14:paraId="611B3947" w14:textId="3A4EA190" w:rsidR="003C2758" w:rsidRPr="00C244B9" w:rsidRDefault="003C2758" w:rsidP="0018025D">
      <w:pPr>
        <w:spacing w:line="480" w:lineRule="auto"/>
        <w:rPr>
          <w:sz w:val="22"/>
          <w:szCs w:val="22"/>
          <w:lang w:val="en-GB"/>
        </w:rPr>
      </w:pPr>
      <w:r w:rsidRPr="00C244B9">
        <w:rPr>
          <w:sz w:val="22"/>
          <w:szCs w:val="22"/>
          <w:lang w:val="en-GB"/>
        </w:rPr>
        <w:t xml:space="preserve">Historically, </w:t>
      </w:r>
      <w:r w:rsidRPr="00C244B9">
        <w:rPr>
          <w:bCs/>
          <w:sz w:val="22"/>
          <w:szCs w:val="22"/>
          <w:lang w:val="en-GB"/>
        </w:rPr>
        <w:t xml:space="preserve">foreign direct investment (FDI) </w:t>
      </w:r>
      <w:r w:rsidR="007B5FC9" w:rsidRPr="00C244B9">
        <w:rPr>
          <w:bCs/>
          <w:sz w:val="22"/>
          <w:szCs w:val="22"/>
          <w:lang w:val="en-GB"/>
        </w:rPr>
        <w:t xml:space="preserve">was </w:t>
      </w:r>
      <w:r w:rsidR="002A6C0A" w:rsidRPr="00C244B9">
        <w:rPr>
          <w:bCs/>
          <w:sz w:val="22"/>
          <w:szCs w:val="22"/>
          <w:lang w:val="en-GB"/>
        </w:rPr>
        <w:t xml:space="preserve">undertaken </w:t>
      </w:r>
      <w:r w:rsidRPr="00C244B9">
        <w:rPr>
          <w:bCs/>
          <w:sz w:val="22"/>
          <w:szCs w:val="22"/>
          <w:lang w:val="en-GB"/>
        </w:rPr>
        <w:t xml:space="preserve">primarily by multinational enterprises (MNEs) from </w:t>
      </w:r>
      <w:r w:rsidRPr="00C244B9">
        <w:rPr>
          <w:sz w:val="22"/>
          <w:szCs w:val="22"/>
          <w:lang w:val="en-GB"/>
        </w:rPr>
        <w:t>advanced economies (AE) investing in other AE</w:t>
      </w:r>
      <w:r w:rsidR="00900D99" w:rsidRPr="00C244B9">
        <w:rPr>
          <w:sz w:val="22"/>
          <w:szCs w:val="22"/>
          <w:lang w:val="en-GB"/>
        </w:rPr>
        <w:t>s</w:t>
      </w:r>
      <w:r w:rsidRPr="00C244B9">
        <w:rPr>
          <w:sz w:val="22"/>
          <w:szCs w:val="22"/>
          <w:lang w:val="en-GB"/>
        </w:rPr>
        <w:t xml:space="preserve"> or in emerging economies (EEs)</w:t>
      </w:r>
      <w:r w:rsidR="00E936C7" w:rsidRPr="00C244B9">
        <w:rPr>
          <w:sz w:val="22"/>
          <w:szCs w:val="22"/>
          <w:lang w:val="en-GB"/>
        </w:rPr>
        <w:t xml:space="preserve"> (Dunning,</w:t>
      </w:r>
      <w:r w:rsidR="001D0623" w:rsidRPr="00C244B9">
        <w:rPr>
          <w:sz w:val="22"/>
          <w:szCs w:val="22"/>
          <w:lang w:val="en-GB"/>
        </w:rPr>
        <w:t xml:space="preserve"> </w:t>
      </w:r>
      <w:r w:rsidR="00363F5A" w:rsidRPr="00C244B9">
        <w:rPr>
          <w:sz w:val="22"/>
          <w:szCs w:val="22"/>
          <w:lang w:val="en-GB"/>
        </w:rPr>
        <w:t>1998</w:t>
      </w:r>
      <w:r w:rsidR="00E936C7" w:rsidRPr="00C244B9">
        <w:rPr>
          <w:sz w:val="22"/>
          <w:szCs w:val="22"/>
          <w:lang w:val="en-GB"/>
        </w:rPr>
        <w:t>)</w:t>
      </w:r>
      <w:r w:rsidRPr="00C244B9">
        <w:rPr>
          <w:sz w:val="22"/>
          <w:szCs w:val="22"/>
          <w:lang w:val="en-GB"/>
        </w:rPr>
        <w:t xml:space="preserve">. Yet, </w:t>
      </w:r>
      <w:r w:rsidR="00D152CA" w:rsidRPr="00C244B9">
        <w:rPr>
          <w:sz w:val="22"/>
          <w:szCs w:val="22"/>
          <w:lang w:val="en-GB"/>
        </w:rPr>
        <w:t xml:space="preserve">there has been rapid growth in investment by </w:t>
      </w:r>
      <w:r w:rsidR="00FC3980" w:rsidRPr="00C244B9">
        <w:rPr>
          <w:sz w:val="22"/>
          <w:szCs w:val="22"/>
          <w:lang w:val="en-GB"/>
        </w:rPr>
        <w:t xml:space="preserve">MNEs </w:t>
      </w:r>
      <w:r w:rsidRPr="00C244B9">
        <w:rPr>
          <w:sz w:val="22"/>
          <w:szCs w:val="22"/>
          <w:lang w:val="en-GB"/>
        </w:rPr>
        <w:t>from EEs</w:t>
      </w:r>
      <w:r w:rsidR="001E65FF" w:rsidRPr="00C244B9">
        <w:rPr>
          <w:sz w:val="22"/>
          <w:szCs w:val="22"/>
          <w:lang w:val="en-GB"/>
        </w:rPr>
        <w:t xml:space="preserve">, up from </w:t>
      </w:r>
      <w:r w:rsidR="00940A61" w:rsidRPr="00C244B9">
        <w:rPr>
          <w:sz w:val="22"/>
          <w:szCs w:val="22"/>
          <w:lang w:val="en-GB"/>
        </w:rPr>
        <w:t>17</w:t>
      </w:r>
      <w:r w:rsidR="002A5131" w:rsidRPr="00C244B9">
        <w:rPr>
          <w:sz w:val="22"/>
          <w:szCs w:val="22"/>
          <w:lang w:val="en-GB"/>
        </w:rPr>
        <w:t>% of outward FDI flows in 200</w:t>
      </w:r>
      <w:r w:rsidR="00940A61" w:rsidRPr="00C244B9">
        <w:rPr>
          <w:sz w:val="22"/>
          <w:szCs w:val="22"/>
          <w:lang w:val="en-GB"/>
        </w:rPr>
        <w:t>7</w:t>
      </w:r>
      <w:r w:rsidR="002A5131" w:rsidRPr="00C244B9">
        <w:rPr>
          <w:sz w:val="22"/>
          <w:szCs w:val="22"/>
          <w:lang w:val="en-GB"/>
        </w:rPr>
        <w:t xml:space="preserve"> to 36% in 2014 (UNCTAD, </w:t>
      </w:r>
      <w:r w:rsidR="00940A61" w:rsidRPr="00C244B9">
        <w:rPr>
          <w:sz w:val="22"/>
          <w:szCs w:val="22"/>
          <w:lang w:val="en-GB"/>
        </w:rPr>
        <w:t xml:space="preserve">2012; </w:t>
      </w:r>
      <w:r w:rsidR="002A5131" w:rsidRPr="00C244B9">
        <w:rPr>
          <w:sz w:val="22"/>
          <w:szCs w:val="22"/>
          <w:lang w:val="en-GB"/>
        </w:rPr>
        <w:t xml:space="preserve">2016). While many of these investments have been in other emerging markets, a significant and highly publicised proportion of this outward FDI has been </w:t>
      </w:r>
      <w:r w:rsidR="007E349D" w:rsidRPr="00C244B9">
        <w:rPr>
          <w:sz w:val="22"/>
          <w:szCs w:val="22"/>
          <w:lang w:val="en-GB"/>
        </w:rPr>
        <w:t>invested in</w:t>
      </w:r>
      <w:r w:rsidRPr="00C244B9">
        <w:rPr>
          <w:sz w:val="22"/>
          <w:szCs w:val="22"/>
          <w:lang w:val="en-GB"/>
        </w:rPr>
        <w:t xml:space="preserve"> locations more </w:t>
      </w:r>
      <w:r w:rsidR="00EA16F5" w:rsidRPr="00C244B9">
        <w:rPr>
          <w:sz w:val="22"/>
          <w:szCs w:val="22"/>
          <w:lang w:val="en-GB"/>
        </w:rPr>
        <w:t xml:space="preserve">developed </w:t>
      </w:r>
      <w:r w:rsidR="002A6C0A" w:rsidRPr="00C244B9">
        <w:rPr>
          <w:sz w:val="22"/>
          <w:szCs w:val="22"/>
          <w:lang w:val="en-GB"/>
        </w:rPr>
        <w:t>than their country of origin</w:t>
      </w:r>
      <w:r w:rsidR="002A5131" w:rsidRPr="00C244B9">
        <w:rPr>
          <w:sz w:val="22"/>
          <w:szCs w:val="22"/>
          <w:lang w:val="en-GB"/>
        </w:rPr>
        <w:t xml:space="preserve"> (</w:t>
      </w:r>
      <w:r w:rsidR="00D7499F">
        <w:rPr>
          <w:sz w:val="22"/>
          <w:szCs w:val="22"/>
          <w:lang w:val="en-GB"/>
        </w:rPr>
        <w:t>Cui and Aulakh, 2018</w:t>
      </w:r>
      <w:r w:rsidR="002A5131" w:rsidRPr="00C244B9">
        <w:rPr>
          <w:sz w:val="22"/>
          <w:szCs w:val="22"/>
          <w:lang w:val="en-GB"/>
        </w:rPr>
        <w:t xml:space="preserve">). </w:t>
      </w:r>
      <w:r w:rsidRPr="00C244B9">
        <w:rPr>
          <w:sz w:val="22"/>
          <w:szCs w:val="22"/>
          <w:lang w:val="en-GB"/>
        </w:rPr>
        <w:t xml:space="preserve">Leading theories of MNEs focus on </w:t>
      </w:r>
      <w:r w:rsidR="00FC3980" w:rsidRPr="00C244B9">
        <w:rPr>
          <w:sz w:val="22"/>
          <w:szCs w:val="22"/>
          <w:lang w:val="en-GB"/>
        </w:rPr>
        <w:t>explaining FDI</w:t>
      </w:r>
      <w:r w:rsidR="006C6347" w:rsidRPr="00C244B9">
        <w:rPr>
          <w:sz w:val="22"/>
          <w:szCs w:val="22"/>
          <w:lang w:val="en-GB"/>
        </w:rPr>
        <w:t xml:space="preserve"> inflows</w:t>
      </w:r>
      <w:r w:rsidR="00FC3980" w:rsidRPr="00C244B9">
        <w:rPr>
          <w:sz w:val="22"/>
          <w:szCs w:val="22"/>
          <w:lang w:val="en-GB"/>
        </w:rPr>
        <w:t xml:space="preserve"> </w:t>
      </w:r>
      <w:r w:rsidR="006C6347" w:rsidRPr="00C244B9">
        <w:rPr>
          <w:sz w:val="22"/>
          <w:szCs w:val="22"/>
          <w:lang w:val="en-GB"/>
        </w:rPr>
        <w:t>in</w:t>
      </w:r>
      <w:r w:rsidR="00FC3980" w:rsidRPr="00C244B9">
        <w:rPr>
          <w:sz w:val="22"/>
          <w:szCs w:val="22"/>
          <w:lang w:val="en-GB"/>
        </w:rPr>
        <w:t>to similarly or less advanced environment</w:t>
      </w:r>
      <w:r w:rsidR="007E349D" w:rsidRPr="00C244B9">
        <w:rPr>
          <w:sz w:val="22"/>
          <w:szCs w:val="22"/>
          <w:lang w:val="en-GB"/>
        </w:rPr>
        <w:t>s</w:t>
      </w:r>
      <w:r w:rsidR="002A5131" w:rsidRPr="00C244B9">
        <w:rPr>
          <w:sz w:val="22"/>
          <w:szCs w:val="22"/>
          <w:lang w:val="en-GB"/>
        </w:rPr>
        <w:t xml:space="preserve"> (Dunning,</w:t>
      </w:r>
      <w:r w:rsidR="00CA50ED" w:rsidRPr="00C244B9">
        <w:rPr>
          <w:sz w:val="22"/>
          <w:szCs w:val="22"/>
          <w:lang w:val="en-GB"/>
        </w:rPr>
        <w:t xml:space="preserve"> 1993)</w:t>
      </w:r>
      <w:r w:rsidR="00FC3980" w:rsidRPr="00C244B9">
        <w:rPr>
          <w:sz w:val="22"/>
          <w:szCs w:val="22"/>
          <w:lang w:val="en-GB"/>
        </w:rPr>
        <w:t>,</w:t>
      </w:r>
      <w:r w:rsidRPr="00C244B9">
        <w:rPr>
          <w:sz w:val="22"/>
          <w:szCs w:val="22"/>
          <w:lang w:val="en-GB"/>
        </w:rPr>
        <w:t xml:space="preserve"> which raises the question</w:t>
      </w:r>
      <w:r w:rsidR="005F4F7D" w:rsidRPr="00C244B9">
        <w:rPr>
          <w:sz w:val="22"/>
          <w:szCs w:val="22"/>
          <w:lang w:val="en-GB"/>
        </w:rPr>
        <w:t xml:space="preserve"> </w:t>
      </w:r>
      <w:r w:rsidR="00E64112" w:rsidRPr="00C244B9">
        <w:rPr>
          <w:sz w:val="22"/>
          <w:szCs w:val="22"/>
          <w:lang w:val="en-GB"/>
        </w:rPr>
        <w:t>of how</w:t>
      </w:r>
      <w:r w:rsidRPr="00C244B9">
        <w:rPr>
          <w:sz w:val="22"/>
          <w:szCs w:val="22"/>
          <w:lang w:val="en-GB"/>
        </w:rPr>
        <w:t xml:space="preserve"> the</w:t>
      </w:r>
      <w:r w:rsidR="003E6FF1" w:rsidRPr="00C244B9">
        <w:rPr>
          <w:sz w:val="22"/>
          <w:szCs w:val="22"/>
          <w:lang w:val="en-GB"/>
        </w:rPr>
        <w:t>ories</w:t>
      </w:r>
      <w:r w:rsidRPr="00C244B9">
        <w:rPr>
          <w:sz w:val="22"/>
          <w:szCs w:val="22"/>
          <w:lang w:val="en-GB"/>
        </w:rPr>
        <w:t xml:space="preserve"> may have to be adapted to explain EE MNEs entering AEs</w:t>
      </w:r>
      <w:r w:rsidR="002A6C0A" w:rsidRPr="00C244B9">
        <w:rPr>
          <w:sz w:val="22"/>
          <w:szCs w:val="22"/>
          <w:lang w:val="en-GB"/>
        </w:rPr>
        <w:t xml:space="preserve"> (</w:t>
      </w:r>
      <w:r w:rsidR="006F3FA5" w:rsidRPr="00C244B9">
        <w:rPr>
          <w:sz w:val="22"/>
          <w:szCs w:val="22"/>
          <w:lang w:val="en-GB"/>
        </w:rPr>
        <w:t>Cuervo-Cazurra &amp; Ramamurti</w:t>
      </w:r>
      <w:r w:rsidR="002A6C0A" w:rsidRPr="00C244B9">
        <w:rPr>
          <w:sz w:val="22"/>
          <w:szCs w:val="22"/>
          <w:lang w:val="en-GB"/>
        </w:rPr>
        <w:t>, 2014)</w:t>
      </w:r>
      <w:r w:rsidRPr="00C244B9">
        <w:rPr>
          <w:sz w:val="22"/>
          <w:szCs w:val="22"/>
          <w:lang w:val="en-GB"/>
        </w:rPr>
        <w:t xml:space="preserve">. </w:t>
      </w:r>
    </w:p>
    <w:p w14:paraId="78AC0105" w14:textId="4C7CCB11" w:rsidR="00647390" w:rsidRPr="00C244B9" w:rsidRDefault="00F24016" w:rsidP="00C46F54">
      <w:pPr>
        <w:spacing w:line="480" w:lineRule="auto"/>
        <w:ind w:firstLine="284"/>
        <w:rPr>
          <w:sz w:val="22"/>
          <w:szCs w:val="22"/>
          <w:lang w:val="en-GB"/>
        </w:rPr>
      </w:pPr>
      <w:r w:rsidRPr="00C244B9">
        <w:rPr>
          <w:sz w:val="22"/>
          <w:szCs w:val="22"/>
          <w:lang w:val="en-GB"/>
        </w:rPr>
        <w:t xml:space="preserve">This </w:t>
      </w:r>
      <w:r w:rsidR="003E6FF1" w:rsidRPr="00C244B9">
        <w:rPr>
          <w:sz w:val="22"/>
          <w:szCs w:val="22"/>
          <w:lang w:val="en-GB"/>
        </w:rPr>
        <w:t>study compares</w:t>
      </w:r>
      <w:r w:rsidRPr="00C244B9">
        <w:rPr>
          <w:sz w:val="22"/>
          <w:szCs w:val="22"/>
          <w:lang w:val="en-GB"/>
        </w:rPr>
        <w:t xml:space="preserve"> the determinants of location choice by MNEs from </w:t>
      </w:r>
      <w:r w:rsidR="00940A61" w:rsidRPr="00C244B9">
        <w:rPr>
          <w:sz w:val="22"/>
          <w:szCs w:val="22"/>
          <w:lang w:val="en-GB"/>
        </w:rPr>
        <w:t xml:space="preserve">EEs </w:t>
      </w:r>
      <w:r w:rsidRPr="00C244B9">
        <w:rPr>
          <w:sz w:val="22"/>
          <w:szCs w:val="22"/>
          <w:lang w:val="en-GB"/>
        </w:rPr>
        <w:t xml:space="preserve">against </w:t>
      </w:r>
      <w:r w:rsidR="00647390" w:rsidRPr="00C244B9">
        <w:rPr>
          <w:sz w:val="22"/>
          <w:szCs w:val="22"/>
          <w:lang w:val="en-GB"/>
        </w:rPr>
        <w:t xml:space="preserve">those of </w:t>
      </w:r>
      <w:r w:rsidR="003E6FF1" w:rsidRPr="00C244B9">
        <w:rPr>
          <w:sz w:val="22"/>
          <w:szCs w:val="22"/>
          <w:lang w:val="en-GB"/>
        </w:rPr>
        <w:t xml:space="preserve">MNEs from </w:t>
      </w:r>
      <w:r w:rsidR="00940A61" w:rsidRPr="00C244B9">
        <w:rPr>
          <w:sz w:val="22"/>
          <w:szCs w:val="22"/>
          <w:lang w:val="en-GB"/>
        </w:rPr>
        <w:t>AEs</w:t>
      </w:r>
      <w:r w:rsidRPr="00C244B9">
        <w:rPr>
          <w:sz w:val="22"/>
          <w:szCs w:val="22"/>
          <w:lang w:val="en-GB"/>
        </w:rPr>
        <w:t xml:space="preserve">.  </w:t>
      </w:r>
      <w:r w:rsidR="003C2758" w:rsidRPr="00C244B9">
        <w:rPr>
          <w:sz w:val="22"/>
          <w:szCs w:val="22"/>
          <w:lang w:val="en-GB"/>
        </w:rPr>
        <w:t>The</w:t>
      </w:r>
      <w:r w:rsidR="009D70A6" w:rsidRPr="00C244B9">
        <w:rPr>
          <w:sz w:val="22"/>
          <w:szCs w:val="22"/>
          <w:lang w:val="en-GB"/>
        </w:rPr>
        <w:t xml:space="preserve"> </w:t>
      </w:r>
      <w:r w:rsidR="00E40578" w:rsidRPr="00C244B9">
        <w:rPr>
          <w:sz w:val="22"/>
          <w:szCs w:val="22"/>
          <w:lang w:val="en-GB"/>
        </w:rPr>
        <w:t>theory</w:t>
      </w:r>
      <w:r w:rsidR="003C2758" w:rsidRPr="00C244B9">
        <w:rPr>
          <w:sz w:val="22"/>
          <w:szCs w:val="22"/>
          <w:lang w:val="en-GB"/>
        </w:rPr>
        <w:t xml:space="preserve"> of the MNE suggests that location decisions depend on the interaction of the firm’s </w:t>
      </w:r>
      <w:r w:rsidR="00FC3980" w:rsidRPr="00C244B9">
        <w:rPr>
          <w:sz w:val="22"/>
          <w:szCs w:val="22"/>
          <w:lang w:val="en-GB"/>
        </w:rPr>
        <w:t xml:space="preserve">own </w:t>
      </w:r>
      <w:r w:rsidR="003C2758" w:rsidRPr="00C244B9">
        <w:rPr>
          <w:sz w:val="22"/>
          <w:szCs w:val="22"/>
          <w:lang w:val="en-GB"/>
        </w:rPr>
        <w:t xml:space="preserve">capabilities with the specific locational advantages of potential hosts (Alcácer, Denzsö, </w:t>
      </w:r>
      <w:r w:rsidR="00130589" w:rsidRPr="00C244B9">
        <w:rPr>
          <w:sz w:val="22"/>
          <w:szCs w:val="22"/>
          <w:lang w:val="en-GB"/>
        </w:rPr>
        <w:t xml:space="preserve">&amp; </w:t>
      </w:r>
      <w:r w:rsidR="003C2758" w:rsidRPr="00C244B9">
        <w:rPr>
          <w:sz w:val="22"/>
          <w:szCs w:val="22"/>
          <w:lang w:val="en-GB"/>
        </w:rPr>
        <w:t>Zhao, 201</w:t>
      </w:r>
      <w:r w:rsidR="00EE3664" w:rsidRPr="00C244B9">
        <w:rPr>
          <w:sz w:val="22"/>
          <w:szCs w:val="22"/>
          <w:lang w:val="en-GB"/>
        </w:rPr>
        <w:t>3</w:t>
      </w:r>
      <w:r w:rsidR="003C2758" w:rsidRPr="00C244B9">
        <w:rPr>
          <w:sz w:val="22"/>
          <w:szCs w:val="22"/>
          <w:lang w:val="en-GB"/>
        </w:rPr>
        <w:t xml:space="preserve">; </w:t>
      </w:r>
      <w:r w:rsidR="00741F79" w:rsidRPr="00C244B9">
        <w:rPr>
          <w:sz w:val="22"/>
          <w:szCs w:val="22"/>
          <w:lang w:val="en-GB"/>
        </w:rPr>
        <w:t>Dunning, 1998</w:t>
      </w:r>
      <w:r w:rsidR="00CA1A23" w:rsidRPr="00CA1A23">
        <w:rPr>
          <w:sz w:val="22"/>
          <w:szCs w:val="22"/>
          <w:lang w:val="en-GB"/>
        </w:rPr>
        <w:t>; Nielsen Asmussen &amp; Weatherall, 2017</w:t>
      </w:r>
      <w:r w:rsidR="006F3FA5" w:rsidRPr="00C244B9">
        <w:rPr>
          <w:color w:val="000000"/>
          <w:sz w:val="22"/>
          <w:szCs w:val="22"/>
        </w:rPr>
        <w:t xml:space="preserve">). </w:t>
      </w:r>
      <w:r w:rsidR="003A3775" w:rsidRPr="00C244B9">
        <w:rPr>
          <w:color w:val="000000"/>
          <w:sz w:val="22"/>
          <w:szCs w:val="22"/>
        </w:rPr>
        <w:t xml:space="preserve">However, </w:t>
      </w:r>
      <w:r w:rsidR="00363F5A" w:rsidRPr="00C244B9">
        <w:rPr>
          <w:color w:val="000000"/>
          <w:sz w:val="22"/>
          <w:szCs w:val="22"/>
          <w:lang w:val="en-GB"/>
        </w:rPr>
        <w:t>investment</w:t>
      </w:r>
      <w:r w:rsidR="003A3775" w:rsidRPr="00C244B9">
        <w:rPr>
          <w:color w:val="000000"/>
          <w:sz w:val="22"/>
          <w:szCs w:val="22"/>
          <w:lang w:val="en-GB"/>
        </w:rPr>
        <w:t xml:space="preserve"> by EE MNEs into </w:t>
      </w:r>
      <w:r w:rsidR="00940A61" w:rsidRPr="00C244B9">
        <w:rPr>
          <w:color w:val="000000"/>
          <w:sz w:val="22"/>
          <w:szCs w:val="22"/>
          <w:lang w:val="en-GB"/>
        </w:rPr>
        <w:t xml:space="preserve">AEs appears to challenge </w:t>
      </w:r>
      <w:r w:rsidR="00900D99" w:rsidRPr="00C244B9">
        <w:rPr>
          <w:color w:val="000000"/>
          <w:sz w:val="22"/>
          <w:szCs w:val="22"/>
          <w:lang w:val="en-GB"/>
        </w:rPr>
        <w:t xml:space="preserve">this </w:t>
      </w:r>
      <w:r w:rsidR="00B45C2B" w:rsidRPr="00C244B9">
        <w:rPr>
          <w:color w:val="000000"/>
          <w:sz w:val="22"/>
          <w:szCs w:val="22"/>
          <w:lang w:val="en-GB"/>
        </w:rPr>
        <w:t xml:space="preserve">view </w:t>
      </w:r>
      <w:r w:rsidR="003A3775" w:rsidRPr="00C244B9">
        <w:rPr>
          <w:color w:val="000000"/>
          <w:sz w:val="22"/>
          <w:szCs w:val="22"/>
          <w:lang w:val="en-GB"/>
        </w:rPr>
        <w:t>(Hennart, 2012, Ramamurti, 2012, Luo &amp; Tung, 2007)</w:t>
      </w:r>
      <w:r w:rsidR="0066437D" w:rsidRPr="00C244B9">
        <w:rPr>
          <w:color w:val="000000"/>
          <w:sz w:val="22"/>
          <w:szCs w:val="22"/>
          <w:lang w:val="en-GB"/>
        </w:rPr>
        <w:t>.</w:t>
      </w:r>
      <w:r w:rsidR="003A3775" w:rsidRPr="00C244B9">
        <w:rPr>
          <w:sz w:val="22"/>
          <w:szCs w:val="22"/>
          <w:lang w:val="en-GB"/>
        </w:rPr>
        <w:t xml:space="preserve"> </w:t>
      </w:r>
      <w:r w:rsidR="00940A61" w:rsidRPr="00C244B9">
        <w:rPr>
          <w:sz w:val="22"/>
          <w:szCs w:val="22"/>
          <w:lang w:val="en-GB"/>
        </w:rPr>
        <w:t>Specifically</w:t>
      </w:r>
      <w:r w:rsidR="00FC3980" w:rsidRPr="00C244B9">
        <w:rPr>
          <w:sz w:val="22"/>
          <w:szCs w:val="22"/>
          <w:lang w:val="en-GB"/>
        </w:rPr>
        <w:t xml:space="preserve">, </w:t>
      </w:r>
      <w:r w:rsidR="00FC3980" w:rsidRPr="00C244B9">
        <w:rPr>
          <w:i/>
          <w:sz w:val="22"/>
          <w:szCs w:val="22"/>
          <w:lang w:val="en-GB"/>
        </w:rPr>
        <w:t>when they invest in AEs</w:t>
      </w:r>
      <w:r w:rsidR="00FC3980" w:rsidRPr="00C244B9">
        <w:rPr>
          <w:sz w:val="22"/>
          <w:szCs w:val="22"/>
          <w:lang w:val="en-GB"/>
        </w:rPr>
        <w:t xml:space="preserve">, </w:t>
      </w:r>
      <w:r w:rsidR="00E64112" w:rsidRPr="00C244B9">
        <w:rPr>
          <w:sz w:val="22"/>
          <w:szCs w:val="22"/>
          <w:lang w:val="en-GB"/>
        </w:rPr>
        <w:t>EE</w:t>
      </w:r>
      <w:r w:rsidR="003C2758" w:rsidRPr="00C244B9">
        <w:rPr>
          <w:sz w:val="22"/>
          <w:szCs w:val="22"/>
          <w:lang w:val="en-GB"/>
        </w:rPr>
        <w:t xml:space="preserve"> </w:t>
      </w:r>
      <w:r w:rsidR="00EA16F5" w:rsidRPr="00C244B9">
        <w:rPr>
          <w:sz w:val="22"/>
          <w:szCs w:val="22"/>
          <w:lang w:val="en-GB"/>
        </w:rPr>
        <w:t xml:space="preserve">MNEs </w:t>
      </w:r>
      <w:r w:rsidR="003C2758" w:rsidRPr="00C244B9">
        <w:rPr>
          <w:sz w:val="22"/>
          <w:szCs w:val="22"/>
          <w:lang w:val="en-GB"/>
        </w:rPr>
        <w:t xml:space="preserve">have </w:t>
      </w:r>
      <w:r w:rsidR="00D35634" w:rsidRPr="00C244B9">
        <w:rPr>
          <w:i/>
          <w:sz w:val="22"/>
          <w:szCs w:val="22"/>
          <w:lang w:val="en-GB"/>
        </w:rPr>
        <w:t>fewer</w:t>
      </w:r>
      <w:r w:rsidR="00D35634" w:rsidRPr="00C244B9">
        <w:rPr>
          <w:b/>
          <w:sz w:val="22"/>
          <w:szCs w:val="22"/>
          <w:lang w:val="en-GB"/>
        </w:rPr>
        <w:t xml:space="preserve"> </w:t>
      </w:r>
      <w:r w:rsidR="003C2758" w:rsidRPr="00C244B9">
        <w:rPr>
          <w:sz w:val="22"/>
          <w:szCs w:val="22"/>
          <w:lang w:val="en-GB"/>
        </w:rPr>
        <w:t xml:space="preserve">capabilities suitable for exploitation in </w:t>
      </w:r>
      <w:r w:rsidR="00FC3980" w:rsidRPr="00C244B9">
        <w:rPr>
          <w:sz w:val="22"/>
          <w:szCs w:val="22"/>
          <w:lang w:val="en-GB"/>
        </w:rPr>
        <w:t xml:space="preserve">these </w:t>
      </w:r>
      <w:r w:rsidR="003C2758" w:rsidRPr="00C244B9">
        <w:rPr>
          <w:sz w:val="22"/>
          <w:szCs w:val="22"/>
          <w:lang w:val="en-GB"/>
        </w:rPr>
        <w:t xml:space="preserve">new locations </w:t>
      </w:r>
      <w:r w:rsidR="00D35634" w:rsidRPr="00C244B9">
        <w:rPr>
          <w:sz w:val="22"/>
          <w:szCs w:val="22"/>
          <w:lang w:val="en-GB"/>
        </w:rPr>
        <w:t xml:space="preserve">than their </w:t>
      </w:r>
      <w:r w:rsidR="00647390" w:rsidRPr="00C244B9">
        <w:rPr>
          <w:sz w:val="22"/>
          <w:szCs w:val="22"/>
          <w:lang w:val="en-GB"/>
        </w:rPr>
        <w:t>AE</w:t>
      </w:r>
      <w:r w:rsidR="00D35634" w:rsidRPr="00C244B9">
        <w:rPr>
          <w:sz w:val="22"/>
          <w:szCs w:val="22"/>
          <w:lang w:val="en-GB"/>
        </w:rPr>
        <w:t xml:space="preserve"> competitors </w:t>
      </w:r>
      <w:r w:rsidR="003C2758" w:rsidRPr="00C244B9">
        <w:rPr>
          <w:sz w:val="22"/>
          <w:szCs w:val="22"/>
          <w:lang w:val="en-GB"/>
        </w:rPr>
        <w:t>(</w:t>
      </w:r>
      <w:r w:rsidR="00A0323D" w:rsidRPr="00C244B9">
        <w:rPr>
          <w:sz w:val="22"/>
          <w:szCs w:val="22"/>
          <w:lang w:val="en-GB"/>
        </w:rPr>
        <w:t xml:space="preserve">Lu, Liu, Wright </w:t>
      </w:r>
      <w:r w:rsidR="00130589" w:rsidRPr="00C244B9">
        <w:rPr>
          <w:sz w:val="22"/>
          <w:szCs w:val="22"/>
          <w:lang w:val="en-GB"/>
        </w:rPr>
        <w:t xml:space="preserve">&amp; </w:t>
      </w:r>
      <w:r w:rsidR="00A0323D" w:rsidRPr="00C244B9">
        <w:rPr>
          <w:sz w:val="22"/>
          <w:szCs w:val="22"/>
          <w:lang w:val="en-GB"/>
        </w:rPr>
        <w:t xml:space="preserve">Filatotchev, 2014; </w:t>
      </w:r>
      <w:r w:rsidR="003C2758" w:rsidRPr="00C244B9">
        <w:rPr>
          <w:sz w:val="22"/>
          <w:szCs w:val="22"/>
          <w:lang w:val="en-GB"/>
        </w:rPr>
        <w:t>Ramamurti, 2012</w:t>
      </w:r>
      <w:r w:rsidR="0061397E">
        <w:rPr>
          <w:sz w:val="22"/>
          <w:szCs w:val="22"/>
          <w:lang w:val="en-GB"/>
        </w:rPr>
        <w:t xml:space="preserve">; </w:t>
      </w:r>
      <w:r w:rsidR="0061397E" w:rsidRPr="0061397E">
        <w:rPr>
          <w:sz w:val="22"/>
          <w:szCs w:val="22"/>
          <w:lang w:val="en-GB"/>
        </w:rPr>
        <w:t>Verbeke &amp; Kano, 2015</w:t>
      </w:r>
      <w:r w:rsidR="003C2758" w:rsidRPr="00C244B9">
        <w:rPr>
          <w:sz w:val="22"/>
          <w:szCs w:val="22"/>
          <w:lang w:val="en-GB"/>
        </w:rPr>
        <w:t xml:space="preserve">). </w:t>
      </w:r>
      <w:r w:rsidR="00D35634" w:rsidRPr="00C244B9">
        <w:rPr>
          <w:sz w:val="22"/>
          <w:szCs w:val="22"/>
          <w:lang w:val="en-GB"/>
        </w:rPr>
        <w:t xml:space="preserve">We propose that these </w:t>
      </w:r>
      <w:r w:rsidR="007757FF" w:rsidRPr="00C244B9">
        <w:rPr>
          <w:sz w:val="22"/>
          <w:szCs w:val="22"/>
          <w:lang w:val="en-GB"/>
        </w:rPr>
        <w:t>deficienc</w:t>
      </w:r>
      <w:r w:rsidR="00D35634" w:rsidRPr="00C244B9">
        <w:rPr>
          <w:sz w:val="22"/>
          <w:szCs w:val="22"/>
          <w:lang w:val="en-GB"/>
        </w:rPr>
        <w:t xml:space="preserve">ies largely </w:t>
      </w:r>
      <w:r w:rsidR="0066437D" w:rsidRPr="00C244B9">
        <w:rPr>
          <w:sz w:val="22"/>
          <w:szCs w:val="22"/>
          <w:lang w:val="en-GB"/>
        </w:rPr>
        <w:t xml:space="preserve">arise from </w:t>
      </w:r>
      <w:r w:rsidR="007757FF" w:rsidRPr="00C244B9">
        <w:rPr>
          <w:sz w:val="22"/>
          <w:szCs w:val="22"/>
          <w:lang w:val="en-GB"/>
        </w:rPr>
        <w:t>specific shortcomings of the home country business environment</w:t>
      </w:r>
      <w:r w:rsidR="00741F79" w:rsidRPr="00C244B9">
        <w:rPr>
          <w:sz w:val="22"/>
          <w:szCs w:val="22"/>
          <w:lang w:val="en-GB"/>
        </w:rPr>
        <w:t>s</w:t>
      </w:r>
      <w:r w:rsidR="00D35634" w:rsidRPr="00C244B9">
        <w:rPr>
          <w:sz w:val="22"/>
          <w:szCs w:val="22"/>
          <w:lang w:val="en-GB"/>
        </w:rPr>
        <w:t>; its resource munificence</w:t>
      </w:r>
      <w:r w:rsidR="00741F79" w:rsidRPr="00C244B9">
        <w:rPr>
          <w:sz w:val="22"/>
          <w:szCs w:val="22"/>
          <w:lang w:val="en-GB"/>
        </w:rPr>
        <w:t xml:space="preserve">. </w:t>
      </w:r>
    </w:p>
    <w:p w14:paraId="6C715446" w14:textId="5C286D32" w:rsidR="005F4F7D" w:rsidRPr="00C244B9" w:rsidRDefault="009D70A6" w:rsidP="00C46F54">
      <w:pPr>
        <w:spacing w:line="480" w:lineRule="auto"/>
        <w:ind w:firstLine="284"/>
        <w:rPr>
          <w:sz w:val="22"/>
          <w:szCs w:val="22"/>
          <w:lang w:val="en-GB"/>
        </w:rPr>
      </w:pPr>
      <w:r w:rsidRPr="00C244B9">
        <w:rPr>
          <w:sz w:val="22"/>
          <w:szCs w:val="22"/>
          <w:lang w:val="en-GB"/>
        </w:rPr>
        <w:t>Our argument is based on the notion that the home economy in EEs provides less support in terms of access to resources, market size and institutions than is the case in AEs. Thus</w:t>
      </w:r>
      <w:r w:rsidR="0066437D" w:rsidRPr="00C244B9">
        <w:rPr>
          <w:sz w:val="22"/>
          <w:szCs w:val="22"/>
          <w:lang w:val="en-GB"/>
        </w:rPr>
        <w:t>,</w:t>
      </w:r>
      <w:r w:rsidRPr="00C244B9">
        <w:rPr>
          <w:sz w:val="22"/>
          <w:szCs w:val="22"/>
          <w:lang w:val="en-GB"/>
        </w:rPr>
        <w:t xml:space="preserve"> while all MNEs have tangible and intangible assets that they can leverage internationally, </w:t>
      </w:r>
      <w:r w:rsidR="00CF4567" w:rsidRPr="00C244B9">
        <w:rPr>
          <w:sz w:val="22"/>
          <w:szCs w:val="22"/>
          <w:lang w:val="en-GB"/>
        </w:rPr>
        <w:t xml:space="preserve">country of origin </w:t>
      </w:r>
      <w:r w:rsidRPr="00C244B9">
        <w:rPr>
          <w:sz w:val="22"/>
          <w:szCs w:val="22"/>
          <w:lang w:val="en-GB"/>
        </w:rPr>
        <w:t xml:space="preserve">deficiencies place </w:t>
      </w:r>
      <w:r w:rsidR="00647390" w:rsidRPr="00C244B9">
        <w:rPr>
          <w:sz w:val="22"/>
          <w:szCs w:val="22"/>
          <w:lang w:val="en-GB"/>
        </w:rPr>
        <w:t>EE</w:t>
      </w:r>
      <w:r w:rsidRPr="00C244B9">
        <w:rPr>
          <w:sz w:val="22"/>
          <w:szCs w:val="22"/>
          <w:lang w:val="en-GB"/>
        </w:rPr>
        <w:t xml:space="preserve"> </w:t>
      </w:r>
      <w:r w:rsidR="00647390" w:rsidRPr="00C244B9">
        <w:rPr>
          <w:sz w:val="22"/>
          <w:szCs w:val="22"/>
          <w:lang w:val="en-GB"/>
        </w:rPr>
        <w:t xml:space="preserve">MNEs </w:t>
      </w:r>
      <w:r w:rsidRPr="00C244B9">
        <w:rPr>
          <w:sz w:val="22"/>
          <w:szCs w:val="22"/>
          <w:lang w:val="en-GB"/>
        </w:rPr>
        <w:t>at a disadvantage</w:t>
      </w:r>
      <w:r w:rsidR="00AC4486" w:rsidRPr="00C244B9">
        <w:rPr>
          <w:sz w:val="22"/>
          <w:szCs w:val="22"/>
          <w:lang w:val="en-GB"/>
        </w:rPr>
        <w:t xml:space="preserve"> relative to AE MNEs. This means that </w:t>
      </w:r>
      <w:r w:rsidR="00647390" w:rsidRPr="00C244B9">
        <w:rPr>
          <w:sz w:val="22"/>
          <w:szCs w:val="22"/>
          <w:lang w:val="en-GB"/>
        </w:rPr>
        <w:t>EE MNEs</w:t>
      </w:r>
      <w:r w:rsidR="00AC4486" w:rsidRPr="00C244B9">
        <w:rPr>
          <w:sz w:val="22"/>
          <w:szCs w:val="22"/>
          <w:lang w:val="en-GB"/>
        </w:rPr>
        <w:t xml:space="preserve"> face a greater liability of foreignness </w:t>
      </w:r>
      <w:r w:rsidR="00CF4567" w:rsidRPr="00C244B9">
        <w:rPr>
          <w:sz w:val="22"/>
          <w:szCs w:val="22"/>
          <w:lang w:val="en-GB"/>
        </w:rPr>
        <w:t xml:space="preserve">when entering </w:t>
      </w:r>
      <w:r w:rsidR="00647390" w:rsidRPr="00C244B9">
        <w:rPr>
          <w:sz w:val="22"/>
          <w:szCs w:val="22"/>
          <w:lang w:val="en-GB"/>
        </w:rPr>
        <w:lastRenderedPageBreak/>
        <w:t>AEs</w:t>
      </w:r>
      <w:r w:rsidR="00BF62D0">
        <w:rPr>
          <w:sz w:val="22"/>
          <w:szCs w:val="22"/>
          <w:lang w:val="en-GB"/>
        </w:rPr>
        <w:t xml:space="preserve"> (</w:t>
      </w:r>
      <w:r w:rsidR="00B75927">
        <w:rPr>
          <w:sz w:val="22"/>
          <w:szCs w:val="22"/>
          <w:lang w:val="en-GB"/>
        </w:rPr>
        <w:t xml:space="preserve">e.g. </w:t>
      </w:r>
      <w:r w:rsidR="00BF62D0">
        <w:rPr>
          <w:sz w:val="22"/>
          <w:szCs w:val="22"/>
          <w:lang w:val="en-GB"/>
        </w:rPr>
        <w:t>Klossek, Linke &amp; Nippa, 2012)</w:t>
      </w:r>
      <w:r w:rsidR="00C64294" w:rsidRPr="00C244B9">
        <w:rPr>
          <w:sz w:val="22"/>
          <w:szCs w:val="22"/>
        </w:rPr>
        <w:t xml:space="preserve">. We </w:t>
      </w:r>
      <w:r w:rsidR="0066437D" w:rsidRPr="00C244B9">
        <w:rPr>
          <w:sz w:val="22"/>
          <w:szCs w:val="22"/>
        </w:rPr>
        <w:t>argue that t</w:t>
      </w:r>
      <w:r w:rsidR="00C64294" w:rsidRPr="00C244B9">
        <w:rPr>
          <w:sz w:val="22"/>
          <w:szCs w:val="22"/>
        </w:rPr>
        <w:t xml:space="preserve">hese </w:t>
      </w:r>
      <w:r w:rsidR="002E2798" w:rsidRPr="00C244B9">
        <w:rPr>
          <w:sz w:val="22"/>
          <w:szCs w:val="22"/>
        </w:rPr>
        <w:t xml:space="preserve">home country </w:t>
      </w:r>
      <w:r w:rsidR="002E2798" w:rsidRPr="00C244B9">
        <w:rPr>
          <w:sz w:val="22"/>
          <w:szCs w:val="22"/>
          <w:lang w:val="en-GB"/>
        </w:rPr>
        <w:t xml:space="preserve">disadvantages </w:t>
      </w:r>
      <w:r w:rsidR="00CF4567" w:rsidRPr="00C244B9">
        <w:rPr>
          <w:sz w:val="22"/>
          <w:szCs w:val="22"/>
          <w:lang w:val="en-GB"/>
        </w:rPr>
        <w:t xml:space="preserve">lead </w:t>
      </w:r>
      <w:r w:rsidR="002E2798" w:rsidRPr="00C244B9">
        <w:rPr>
          <w:sz w:val="22"/>
          <w:szCs w:val="22"/>
          <w:lang w:val="en-GB"/>
        </w:rPr>
        <w:t>E</w:t>
      </w:r>
      <w:r w:rsidR="00647390" w:rsidRPr="00C244B9">
        <w:rPr>
          <w:sz w:val="22"/>
          <w:szCs w:val="22"/>
          <w:lang w:val="en-GB"/>
        </w:rPr>
        <w:t xml:space="preserve">E </w:t>
      </w:r>
      <w:r w:rsidR="002E2798" w:rsidRPr="00C244B9">
        <w:rPr>
          <w:sz w:val="22"/>
          <w:szCs w:val="22"/>
          <w:lang w:val="en-GB"/>
        </w:rPr>
        <w:t xml:space="preserve">MNEs to be relatively more deterred by barriers to entry, or more attracted by their absence, in </w:t>
      </w:r>
      <w:r w:rsidR="008C3994" w:rsidRPr="00C244B9">
        <w:rPr>
          <w:sz w:val="22"/>
          <w:szCs w:val="22"/>
          <w:lang w:val="en-GB"/>
        </w:rPr>
        <w:t xml:space="preserve">a potential </w:t>
      </w:r>
      <w:r w:rsidR="002E2798" w:rsidRPr="00C244B9">
        <w:rPr>
          <w:sz w:val="22"/>
          <w:szCs w:val="22"/>
          <w:lang w:val="en-GB"/>
        </w:rPr>
        <w:t>host economy.</w:t>
      </w:r>
      <w:r w:rsidRPr="00C244B9">
        <w:rPr>
          <w:sz w:val="22"/>
          <w:szCs w:val="22"/>
          <w:lang w:val="en-GB"/>
        </w:rPr>
        <w:t xml:space="preserve">   </w:t>
      </w:r>
    </w:p>
    <w:p w14:paraId="2268782D" w14:textId="2BF453C4" w:rsidR="00647390" w:rsidRPr="00C244B9" w:rsidRDefault="00BD47BF" w:rsidP="00C46F54">
      <w:pPr>
        <w:spacing w:line="480" w:lineRule="auto"/>
        <w:ind w:firstLine="284"/>
        <w:rPr>
          <w:bCs/>
          <w:sz w:val="22"/>
          <w:szCs w:val="22"/>
          <w:lang w:val="en-GB"/>
        </w:rPr>
      </w:pPr>
      <w:r w:rsidRPr="00C244B9">
        <w:rPr>
          <w:sz w:val="22"/>
          <w:szCs w:val="22"/>
          <w:lang w:val="en-GB"/>
        </w:rPr>
        <w:t>A</w:t>
      </w:r>
      <w:r w:rsidR="006C6347" w:rsidRPr="00C244B9">
        <w:rPr>
          <w:sz w:val="22"/>
          <w:szCs w:val="22"/>
          <w:lang w:val="en-GB"/>
        </w:rPr>
        <w:t xml:space="preserve"> </w:t>
      </w:r>
      <w:r w:rsidRPr="00C244B9">
        <w:rPr>
          <w:sz w:val="22"/>
          <w:szCs w:val="22"/>
          <w:lang w:val="en-GB"/>
        </w:rPr>
        <w:t xml:space="preserve">variety </w:t>
      </w:r>
      <w:r w:rsidR="00DE7BCC" w:rsidRPr="00C244B9">
        <w:rPr>
          <w:sz w:val="22"/>
          <w:szCs w:val="22"/>
          <w:lang w:val="en-GB"/>
        </w:rPr>
        <w:t xml:space="preserve">of </w:t>
      </w:r>
      <w:r w:rsidR="002E2798" w:rsidRPr="00C244B9">
        <w:rPr>
          <w:sz w:val="22"/>
          <w:szCs w:val="22"/>
          <w:lang w:val="en-GB"/>
        </w:rPr>
        <w:t xml:space="preserve">deficiencies in the munificence of the </w:t>
      </w:r>
      <w:r w:rsidR="003C2758" w:rsidRPr="00C244B9">
        <w:rPr>
          <w:sz w:val="22"/>
          <w:szCs w:val="22"/>
          <w:lang w:val="en-GB"/>
        </w:rPr>
        <w:t xml:space="preserve">home country </w:t>
      </w:r>
      <w:r w:rsidRPr="00C244B9">
        <w:rPr>
          <w:sz w:val="22"/>
          <w:szCs w:val="22"/>
          <w:lang w:val="en-GB"/>
        </w:rPr>
        <w:t>limit</w:t>
      </w:r>
      <w:r w:rsidR="00B45C2B" w:rsidRPr="00C244B9">
        <w:rPr>
          <w:sz w:val="22"/>
          <w:szCs w:val="22"/>
          <w:lang w:val="en-GB"/>
        </w:rPr>
        <w:t xml:space="preserve"> EE MNEs </w:t>
      </w:r>
      <w:r w:rsidR="003C2758" w:rsidRPr="00C244B9">
        <w:rPr>
          <w:sz w:val="22"/>
          <w:szCs w:val="22"/>
          <w:lang w:val="en-GB"/>
        </w:rPr>
        <w:t xml:space="preserve">when they start to </w:t>
      </w:r>
      <w:r w:rsidR="00DD4D5F" w:rsidRPr="00C244B9">
        <w:rPr>
          <w:sz w:val="22"/>
          <w:szCs w:val="22"/>
          <w:lang w:val="en-GB"/>
        </w:rPr>
        <w:t>internationaliz</w:t>
      </w:r>
      <w:r w:rsidR="003C2758" w:rsidRPr="00C244B9">
        <w:rPr>
          <w:sz w:val="22"/>
          <w:szCs w:val="22"/>
          <w:lang w:val="en-GB"/>
        </w:rPr>
        <w:t>e (</w:t>
      </w:r>
      <w:r w:rsidR="003846E1" w:rsidRPr="00C244B9">
        <w:rPr>
          <w:sz w:val="22"/>
          <w:szCs w:val="22"/>
          <w:lang w:val="en-GB"/>
        </w:rPr>
        <w:t xml:space="preserve">Luo </w:t>
      </w:r>
      <w:r w:rsidR="001E4532" w:rsidRPr="00C244B9">
        <w:rPr>
          <w:sz w:val="22"/>
          <w:szCs w:val="22"/>
          <w:lang w:val="en-GB"/>
        </w:rPr>
        <w:t xml:space="preserve">&amp; </w:t>
      </w:r>
      <w:r w:rsidR="003846E1" w:rsidRPr="00C244B9">
        <w:rPr>
          <w:sz w:val="22"/>
          <w:szCs w:val="22"/>
          <w:lang w:val="en-GB"/>
        </w:rPr>
        <w:t xml:space="preserve">Wang, 2012; </w:t>
      </w:r>
      <w:r w:rsidR="003C2758" w:rsidRPr="00C244B9">
        <w:rPr>
          <w:sz w:val="22"/>
          <w:szCs w:val="22"/>
          <w:lang w:val="en-GB"/>
        </w:rPr>
        <w:t xml:space="preserve">Meyer </w:t>
      </w:r>
      <w:r w:rsidR="001E4532" w:rsidRPr="00C244B9">
        <w:rPr>
          <w:sz w:val="22"/>
          <w:szCs w:val="22"/>
          <w:lang w:val="en-GB"/>
        </w:rPr>
        <w:t xml:space="preserve">&amp; </w:t>
      </w:r>
      <w:r w:rsidR="003C2758" w:rsidRPr="00C244B9">
        <w:rPr>
          <w:sz w:val="22"/>
          <w:szCs w:val="22"/>
          <w:lang w:val="en-GB"/>
        </w:rPr>
        <w:t>Thaijongrak, 2013; Ramamurti, 2012)</w:t>
      </w:r>
      <w:r w:rsidR="00951C3C" w:rsidRPr="00C244B9">
        <w:rPr>
          <w:sz w:val="22"/>
          <w:szCs w:val="22"/>
          <w:lang w:val="en-GB"/>
        </w:rPr>
        <w:t xml:space="preserve">. </w:t>
      </w:r>
      <w:r w:rsidR="003C2758" w:rsidRPr="00C244B9">
        <w:rPr>
          <w:sz w:val="22"/>
          <w:szCs w:val="22"/>
          <w:lang w:val="en-GB"/>
        </w:rPr>
        <w:t xml:space="preserve">For example, </w:t>
      </w:r>
      <w:r w:rsidR="00B45C2B" w:rsidRPr="00C244B9">
        <w:rPr>
          <w:sz w:val="22"/>
          <w:szCs w:val="22"/>
          <w:lang w:val="en-GB"/>
        </w:rPr>
        <w:t xml:space="preserve">they </w:t>
      </w:r>
      <w:r w:rsidR="003C2758" w:rsidRPr="00C244B9">
        <w:rPr>
          <w:sz w:val="22"/>
          <w:szCs w:val="22"/>
          <w:lang w:val="en-GB"/>
        </w:rPr>
        <w:t xml:space="preserve">face shortages </w:t>
      </w:r>
      <w:r w:rsidR="002E2798" w:rsidRPr="00C244B9">
        <w:rPr>
          <w:sz w:val="22"/>
          <w:szCs w:val="22"/>
          <w:lang w:val="en-GB"/>
        </w:rPr>
        <w:t xml:space="preserve">of outward-oriented business networks (Manolova, Manev, &amp; Gyoshev, 2010; Musteen, Datta, &amp; Francis, 2014) and of intermediaries for the gathering, analysing and disseminating intelligence about global markets as well as </w:t>
      </w:r>
      <w:r w:rsidR="003C2758" w:rsidRPr="00C244B9">
        <w:rPr>
          <w:sz w:val="22"/>
          <w:szCs w:val="22"/>
          <w:lang w:val="en-GB"/>
        </w:rPr>
        <w:t>of managers experienced in operating in AEs</w:t>
      </w:r>
      <w:r w:rsidR="00C26F4E" w:rsidRPr="00C244B9">
        <w:rPr>
          <w:sz w:val="22"/>
          <w:szCs w:val="22"/>
          <w:lang w:val="en-GB"/>
        </w:rPr>
        <w:t xml:space="preserve"> (</w:t>
      </w:r>
      <w:r w:rsidR="00AF601C" w:rsidRPr="00C244B9">
        <w:rPr>
          <w:sz w:val="22"/>
          <w:szCs w:val="22"/>
          <w:lang w:val="en-GB"/>
        </w:rPr>
        <w:t xml:space="preserve">Leung, 2014; </w:t>
      </w:r>
      <w:r w:rsidR="00B75927">
        <w:rPr>
          <w:sz w:val="22"/>
          <w:szCs w:val="22"/>
          <w:lang w:val="en-GB"/>
        </w:rPr>
        <w:t xml:space="preserve">Meyer &amp; Xin, 2018; </w:t>
      </w:r>
      <w:r w:rsidR="00C26F4E" w:rsidRPr="00C244B9">
        <w:rPr>
          <w:sz w:val="22"/>
          <w:szCs w:val="22"/>
          <w:lang w:val="en-GB"/>
        </w:rPr>
        <w:t>Wang, Luo, Lu</w:t>
      </w:r>
      <w:r w:rsidR="00DD4D5F" w:rsidRPr="00C244B9">
        <w:rPr>
          <w:sz w:val="22"/>
          <w:szCs w:val="22"/>
          <w:lang w:val="en-GB"/>
        </w:rPr>
        <w:t>,</w:t>
      </w:r>
      <w:r w:rsidR="00C26F4E" w:rsidRPr="00C244B9">
        <w:rPr>
          <w:sz w:val="22"/>
          <w:szCs w:val="22"/>
          <w:lang w:val="en-GB"/>
        </w:rPr>
        <w:t xml:space="preserve"> </w:t>
      </w:r>
      <w:r w:rsidR="001E4532" w:rsidRPr="00C244B9">
        <w:rPr>
          <w:sz w:val="22"/>
          <w:szCs w:val="22"/>
          <w:lang w:val="en-GB"/>
        </w:rPr>
        <w:t xml:space="preserve">&amp; </w:t>
      </w:r>
      <w:r w:rsidR="00C26F4E" w:rsidRPr="00C244B9">
        <w:rPr>
          <w:sz w:val="22"/>
          <w:szCs w:val="22"/>
          <w:lang w:val="en-GB"/>
        </w:rPr>
        <w:t>Maksimov, 2014)</w:t>
      </w:r>
      <w:r w:rsidR="00647390" w:rsidRPr="00C244B9">
        <w:rPr>
          <w:sz w:val="22"/>
          <w:szCs w:val="22"/>
          <w:lang w:val="en-GB"/>
        </w:rPr>
        <w:t>.</w:t>
      </w:r>
      <w:r w:rsidR="00C736EC" w:rsidRPr="00C244B9">
        <w:rPr>
          <w:sz w:val="22"/>
          <w:szCs w:val="22"/>
          <w:lang w:val="en-GB"/>
        </w:rPr>
        <w:t xml:space="preserve"> </w:t>
      </w:r>
      <w:r w:rsidRPr="00C244B9">
        <w:rPr>
          <w:sz w:val="22"/>
          <w:szCs w:val="22"/>
          <w:lang w:val="en-GB"/>
        </w:rPr>
        <w:t>M</w:t>
      </w:r>
      <w:r w:rsidR="003C2758" w:rsidRPr="00C244B9">
        <w:rPr>
          <w:sz w:val="22"/>
          <w:szCs w:val="22"/>
          <w:lang w:val="en-GB"/>
        </w:rPr>
        <w:t xml:space="preserve">any of these </w:t>
      </w:r>
      <w:r w:rsidR="005E1704" w:rsidRPr="00C244B9">
        <w:rPr>
          <w:sz w:val="22"/>
          <w:szCs w:val="22"/>
          <w:lang w:val="en-GB"/>
        </w:rPr>
        <w:t xml:space="preserve">resources </w:t>
      </w:r>
      <w:r w:rsidR="003C2758" w:rsidRPr="00C244B9">
        <w:rPr>
          <w:sz w:val="22"/>
          <w:szCs w:val="22"/>
          <w:lang w:val="en-GB"/>
        </w:rPr>
        <w:t xml:space="preserve">are based on tacit knowledge and therefore cannot be bought in the market place. </w:t>
      </w:r>
      <w:r w:rsidR="00CF4567" w:rsidRPr="00C244B9">
        <w:rPr>
          <w:bCs/>
          <w:sz w:val="22"/>
          <w:szCs w:val="22"/>
          <w:lang w:val="en-GB"/>
        </w:rPr>
        <w:t xml:space="preserve">This leads </w:t>
      </w:r>
      <w:r w:rsidR="00647390" w:rsidRPr="00C244B9">
        <w:rPr>
          <w:bCs/>
          <w:sz w:val="22"/>
          <w:szCs w:val="22"/>
          <w:lang w:val="en-GB"/>
        </w:rPr>
        <w:t xml:space="preserve">EE MNEs </w:t>
      </w:r>
      <w:r w:rsidR="00CF4567" w:rsidRPr="00C244B9">
        <w:rPr>
          <w:bCs/>
          <w:sz w:val="22"/>
          <w:szCs w:val="22"/>
          <w:lang w:val="en-GB"/>
        </w:rPr>
        <w:t xml:space="preserve">to make different location choices </w:t>
      </w:r>
      <w:r w:rsidR="00940A61" w:rsidRPr="00C244B9">
        <w:rPr>
          <w:bCs/>
          <w:sz w:val="22"/>
          <w:szCs w:val="22"/>
          <w:lang w:val="en-GB"/>
        </w:rPr>
        <w:t>than</w:t>
      </w:r>
      <w:r w:rsidR="00CF4567" w:rsidRPr="00C244B9">
        <w:rPr>
          <w:bCs/>
          <w:sz w:val="22"/>
          <w:szCs w:val="22"/>
          <w:lang w:val="en-GB"/>
        </w:rPr>
        <w:t xml:space="preserve"> AE MNEs when entering </w:t>
      </w:r>
      <w:r w:rsidR="00647390" w:rsidRPr="00C244B9">
        <w:rPr>
          <w:bCs/>
          <w:sz w:val="22"/>
          <w:szCs w:val="22"/>
          <w:lang w:val="en-GB"/>
        </w:rPr>
        <w:t>AEs</w:t>
      </w:r>
      <w:r w:rsidR="00CF4567" w:rsidRPr="00C244B9">
        <w:rPr>
          <w:bCs/>
          <w:sz w:val="22"/>
          <w:szCs w:val="22"/>
          <w:lang w:val="en-GB"/>
        </w:rPr>
        <w:t xml:space="preserve">, specifically </w:t>
      </w:r>
      <w:r w:rsidR="00C244B9">
        <w:rPr>
          <w:bCs/>
          <w:sz w:val="22"/>
          <w:szCs w:val="22"/>
          <w:lang w:val="en-GB"/>
        </w:rPr>
        <w:t>they are</w:t>
      </w:r>
      <w:r w:rsidR="00CF4567" w:rsidRPr="00C244B9">
        <w:rPr>
          <w:bCs/>
          <w:sz w:val="22"/>
          <w:szCs w:val="22"/>
          <w:lang w:val="en-GB"/>
        </w:rPr>
        <w:t xml:space="preserve"> more deterred by barriers to entry.  </w:t>
      </w:r>
    </w:p>
    <w:p w14:paraId="005353AE" w14:textId="7EAEB9E9" w:rsidR="003C2758" w:rsidRPr="00C244B9" w:rsidRDefault="00B45C2B" w:rsidP="00C46F54">
      <w:pPr>
        <w:spacing w:line="480" w:lineRule="auto"/>
        <w:ind w:firstLine="284"/>
        <w:rPr>
          <w:sz w:val="22"/>
          <w:szCs w:val="22"/>
          <w:lang w:val="en-GB"/>
        </w:rPr>
      </w:pPr>
      <w:r w:rsidRPr="00C244B9">
        <w:rPr>
          <w:bCs/>
          <w:sz w:val="22"/>
          <w:szCs w:val="22"/>
          <w:lang w:val="en-GB"/>
        </w:rPr>
        <w:t>W</w:t>
      </w:r>
      <w:r w:rsidR="00CF4567" w:rsidRPr="00C244B9">
        <w:rPr>
          <w:bCs/>
          <w:sz w:val="22"/>
          <w:szCs w:val="22"/>
          <w:lang w:val="en-GB"/>
        </w:rPr>
        <w:t xml:space="preserve">e </w:t>
      </w:r>
      <w:r w:rsidR="003A3775" w:rsidRPr="00C244B9">
        <w:rPr>
          <w:bCs/>
          <w:sz w:val="22"/>
          <w:szCs w:val="22"/>
          <w:lang w:val="en-GB"/>
        </w:rPr>
        <w:t>develop four hypotheses about the relationship between aspects of the host economy</w:t>
      </w:r>
      <w:r w:rsidR="00C244B9">
        <w:rPr>
          <w:bCs/>
          <w:sz w:val="22"/>
          <w:szCs w:val="22"/>
          <w:lang w:val="en-GB"/>
        </w:rPr>
        <w:t>:</w:t>
      </w:r>
      <w:r w:rsidR="003A3775" w:rsidRPr="00C244B9">
        <w:rPr>
          <w:bCs/>
          <w:sz w:val="22"/>
          <w:szCs w:val="22"/>
          <w:lang w:val="en-GB"/>
        </w:rPr>
        <w:t xml:space="preserve"> </w:t>
      </w:r>
      <w:r w:rsidR="00BD47BF" w:rsidRPr="00C244B9">
        <w:rPr>
          <w:bCs/>
          <w:sz w:val="22"/>
          <w:szCs w:val="22"/>
          <w:lang w:val="en-GB"/>
        </w:rPr>
        <w:t xml:space="preserve">that </w:t>
      </w:r>
      <w:r w:rsidR="00CF4567" w:rsidRPr="00C244B9">
        <w:rPr>
          <w:bCs/>
          <w:sz w:val="22"/>
          <w:szCs w:val="22"/>
          <w:lang w:val="en-GB"/>
        </w:rPr>
        <w:t xml:space="preserve">EE MNEs </w:t>
      </w:r>
      <w:r w:rsidR="00BD47BF" w:rsidRPr="00C244B9">
        <w:rPr>
          <w:bCs/>
          <w:sz w:val="22"/>
          <w:szCs w:val="22"/>
          <w:lang w:val="en-GB"/>
        </w:rPr>
        <w:t xml:space="preserve">will </w:t>
      </w:r>
      <w:r w:rsidR="00CF4567" w:rsidRPr="00C244B9">
        <w:rPr>
          <w:bCs/>
          <w:sz w:val="22"/>
          <w:szCs w:val="22"/>
          <w:lang w:val="en-GB"/>
        </w:rPr>
        <w:t xml:space="preserve">be relatively more deterred by </w:t>
      </w:r>
      <w:r w:rsidR="003A3775" w:rsidRPr="00C244B9">
        <w:rPr>
          <w:bCs/>
          <w:sz w:val="22"/>
          <w:szCs w:val="22"/>
          <w:lang w:val="en-GB"/>
        </w:rPr>
        <w:t xml:space="preserve">host economy </w:t>
      </w:r>
      <w:r w:rsidR="00CF4567" w:rsidRPr="00C244B9">
        <w:rPr>
          <w:bCs/>
          <w:sz w:val="22"/>
          <w:szCs w:val="22"/>
          <w:lang w:val="en-GB"/>
        </w:rPr>
        <w:t>distance and weak IPR protection</w:t>
      </w:r>
      <w:r w:rsidR="00CF4567" w:rsidRPr="00C244B9" w:rsidDel="00481B6D">
        <w:rPr>
          <w:bCs/>
          <w:sz w:val="22"/>
          <w:szCs w:val="22"/>
          <w:lang w:val="en-GB"/>
        </w:rPr>
        <w:t xml:space="preserve"> </w:t>
      </w:r>
      <w:r w:rsidR="00CF4567" w:rsidRPr="00C244B9">
        <w:rPr>
          <w:bCs/>
          <w:sz w:val="22"/>
          <w:szCs w:val="22"/>
          <w:lang w:val="en-GB"/>
        </w:rPr>
        <w:t>a</w:t>
      </w:r>
      <w:r w:rsidR="003A3775" w:rsidRPr="00C244B9">
        <w:rPr>
          <w:bCs/>
          <w:sz w:val="22"/>
          <w:szCs w:val="22"/>
          <w:lang w:val="en-GB"/>
        </w:rPr>
        <w:t xml:space="preserve">nd relatively more attracted to countries with larger </w:t>
      </w:r>
      <w:r w:rsidR="00CF4567" w:rsidRPr="00C244B9">
        <w:rPr>
          <w:bCs/>
          <w:sz w:val="22"/>
          <w:szCs w:val="22"/>
          <w:lang w:val="en-GB"/>
        </w:rPr>
        <w:t xml:space="preserve">migrant </w:t>
      </w:r>
      <w:r w:rsidR="003A3775" w:rsidRPr="00C244B9">
        <w:rPr>
          <w:bCs/>
          <w:sz w:val="22"/>
          <w:szCs w:val="22"/>
          <w:lang w:val="en-GB"/>
        </w:rPr>
        <w:t>diaspora</w:t>
      </w:r>
      <w:r w:rsidR="00CF4567" w:rsidRPr="00C244B9">
        <w:rPr>
          <w:bCs/>
          <w:sz w:val="22"/>
          <w:szCs w:val="22"/>
          <w:lang w:val="en-GB"/>
        </w:rPr>
        <w:t xml:space="preserve"> and </w:t>
      </w:r>
      <w:r w:rsidR="003A3775" w:rsidRPr="00C244B9">
        <w:rPr>
          <w:bCs/>
          <w:sz w:val="22"/>
          <w:szCs w:val="22"/>
          <w:lang w:val="en-GB"/>
        </w:rPr>
        <w:t xml:space="preserve">greater </w:t>
      </w:r>
      <w:r w:rsidR="00CF4567" w:rsidRPr="00C244B9">
        <w:rPr>
          <w:bCs/>
          <w:sz w:val="22"/>
          <w:szCs w:val="22"/>
          <w:lang w:val="en-GB"/>
        </w:rPr>
        <w:t>market</w:t>
      </w:r>
      <w:r w:rsidR="003A3775" w:rsidRPr="00C244B9">
        <w:rPr>
          <w:bCs/>
          <w:sz w:val="22"/>
          <w:szCs w:val="22"/>
          <w:lang w:val="en-GB"/>
        </w:rPr>
        <w:t xml:space="preserve"> size</w:t>
      </w:r>
      <w:r w:rsidR="00CF4567" w:rsidRPr="00C244B9">
        <w:rPr>
          <w:bCs/>
          <w:sz w:val="22"/>
          <w:szCs w:val="22"/>
          <w:lang w:val="en-GB"/>
        </w:rPr>
        <w:t>.</w:t>
      </w:r>
      <w:r w:rsidR="003A3775" w:rsidRPr="00C244B9">
        <w:rPr>
          <w:bCs/>
          <w:sz w:val="22"/>
          <w:szCs w:val="22"/>
          <w:lang w:val="en-GB"/>
        </w:rPr>
        <w:t xml:space="preserve"> </w:t>
      </w:r>
      <w:r w:rsidR="00BD47BF" w:rsidRPr="00C244B9">
        <w:rPr>
          <w:bCs/>
          <w:sz w:val="22"/>
          <w:szCs w:val="22"/>
          <w:lang w:val="en-GB"/>
        </w:rPr>
        <w:t>W</w:t>
      </w:r>
      <w:r w:rsidR="00363F5A" w:rsidRPr="00C244B9">
        <w:rPr>
          <w:bCs/>
          <w:sz w:val="22"/>
          <w:szCs w:val="22"/>
          <w:lang w:val="en-GB"/>
        </w:rPr>
        <w:t xml:space="preserve">e </w:t>
      </w:r>
      <w:r w:rsidR="00363F5A" w:rsidRPr="00C244B9">
        <w:rPr>
          <w:sz w:val="22"/>
          <w:szCs w:val="22"/>
          <w:lang w:val="en-GB"/>
        </w:rPr>
        <w:t>construct</w:t>
      </w:r>
      <w:r w:rsidR="003C2758" w:rsidRPr="00C244B9">
        <w:rPr>
          <w:sz w:val="22"/>
          <w:szCs w:val="22"/>
          <w:lang w:val="en-GB"/>
        </w:rPr>
        <w:t xml:space="preserve"> a unique firm-level dataset which allows us to compare the FDI location choices </w:t>
      </w:r>
      <w:r w:rsidR="00647390" w:rsidRPr="00C244B9">
        <w:rPr>
          <w:sz w:val="22"/>
          <w:szCs w:val="22"/>
          <w:lang w:val="en-GB"/>
        </w:rPr>
        <w:t xml:space="preserve">in AEs by </w:t>
      </w:r>
      <w:r w:rsidR="001E1A2C" w:rsidRPr="00C244B9">
        <w:rPr>
          <w:sz w:val="22"/>
          <w:szCs w:val="22"/>
          <w:lang w:val="en-GB"/>
        </w:rPr>
        <w:t>MNEs from AEs against those from EEs.</w:t>
      </w:r>
      <w:r w:rsidR="003C2758" w:rsidRPr="00C244B9">
        <w:rPr>
          <w:sz w:val="22"/>
          <w:szCs w:val="22"/>
          <w:lang w:val="en-GB"/>
        </w:rPr>
        <w:t xml:space="preserve"> </w:t>
      </w:r>
      <w:r w:rsidR="006F3FA5" w:rsidRPr="00C244B9">
        <w:rPr>
          <w:sz w:val="22"/>
          <w:szCs w:val="22"/>
          <w:lang w:val="en-GB"/>
        </w:rPr>
        <w:t>O</w:t>
      </w:r>
      <w:r w:rsidR="00D500E6" w:rsidRPr="00C244B9">
        <w:rPr>
          <w:sz w:val="22"/>
          <w:szCs w:val="22"/>
          <w:lang w:val="en-GB"/>
        </w:rPr>
        <w:t xml:space="preserve">ur </w:t>
      </w:r>
      <w:r w:rsidR="006F3FA5" w:rsidRPr="00C244B9">
        <w:rPr>
          <w:sz w:val="22"/>
          <w:szCs w:val="22"/>
          <w:lang w:val="en-GB"/>
        </w:rPr>
        <w:t xml:space="preserve">empirical tests </w:t>
      </w:r>
      <w:r w:rsidR="00D500E6" w:rsidRPr="00C244B9">
        <w:rPr>
          <w:sz w:val="22"/>
          <w:szCs w:val="22"/>
          <w:lang w:val="en-GB"/>
        </w:rPr>
        <w:t xml:space="preserve">provide evidence in favour of </w:t>
      </w:r>
      <w:r w:rsidR="00B10E62" w:rsidRPr="00C244B9">
        <w:rPr>
          <w:sz w:val="22"/>
          <w:szCs w:val="22"/>
          <w:lang w:val="en-GB"/>
        </w:rPr>
        <w:t>our hypotheses</w:t>
      </w:r>
      <w:r w:rsidR="00D500E6" w:rsidRPr="00C244B9">
        <w:rPr>
          <w:sz w:val="22"/>
          <w:szCs w:val="22"/>
          <w:lang w:val="en-GB"/>
        </w:rPr>
        <w:t>. Specifically, the direction of the effects of key explanatory variables is the same for MNEs from both EE</w:t>
      </w:r>
      <w:r w:rsidR="00A27687" w:rsidRPr="00C244B9">
        <w:rPr>
          <w:sz w:val="22"/>
          <w:szCs w:val="22"/>
          <w:lang w:val="en-GB"/>
        </w:rPr>
        <w:t>s</w:t>
      </w:r>
      <w:r w:rsidR="00D500E6" w:rsidRPr="00C244B9">
        <w:rPr>
          <w:sz w:val="22"/>
          <w:szCs w:val="22"/>
          <w:lang w:val="en-GB"/>
        </w:rPr>
        <w:t xml:space="preserve"> and </w:t>
      </w:r>
      <w:r w:rsidR="005E1704" w:rsidRPr="00C244B9">
        <w:rPr>
          <w:sz w:val="22"/>
          <w:szCs w:val="22"/>
          <w:lang w:val="en-GB"/>
        </w:rPr>
        <w:t>A</w:t>
      </w:r>
      <w:r w:rsidR="00D500E6" w:rsidRPr="00C244B9">
        <w:rPr>
          <w:sz w:val="22"/>
          <w:szCs w:val="22"/>
          <w:lang w:val="en-GB"/>
        </w:rPr>
        <w:t>E</w:t>
      </w:r>
      <w:r w:rsidR="00A27687" w:rsidRPr="00C244B9">
        <w:rPr>
          <w:sz w:val="22"/>
          <w:szCs w:val="22"/>
          <w:lang w:val="en-GB"/>
        </w:rPr>
        <w:t>s</w:t>
      </w:r>
      <w:r w:rsidR="006963B3" w:rsidRPr="00C244B9">
        <w:rPr>
          <w:sz w:val="22"/>
          <w:szCs w:val="22"/>
          <w:lang w:val="en-GB"/>
        </w:rPr>
        <w:t>, but there is evidence of greater deterrence by barriers to entry</w:t>
      </w:r>
      <w:r w:rsidR="00B10E62" w:rsidRPr="00C244B9">
        <w:rPr>
          <w:sz w:val="22"/>
          <w:szCs w:val="22"/>
          <w:lang w:val="en-GB"/>
        </w:rPr>
        <w:t>, and attraction for positive hos</w:t>
      </w:r>
      <w:r w:rsidR="00363F5A" w:rsidRPr="00C244B9">
        <w:rPr>
          <w:sz w:val="22"/>
          <w:szCs w:val="22"/>
          <w:lang w:val="en-GB"/>
        </w:rPr>
        <w:t>t</w:t>
      </w:r>
      <w:r w:rsidR="00B10E62" w:rsidRPr="00C244B9">
        <w:rPr>
          <w:sz w:val="22"/>
          <w:szCs w:val="22"/>
          <w:lang w:val="en-GB"/>
        </w:rPr>
        <w:t xml:space="preserve"> economy characteristics</w:t>
      </w:r>
      <w:r w:rsidR="00F75AEC" w:rsidRPr="00C244B9">
        <w:rPr>
          <w:sz w:val="22"/>
          <w:szCs w:val="22"/>
          <w:lang w:val="en-GB"/>
        </w:rPr>
        <w:t>, for</w:t>
      </w:r>
      <w:r w:rsidR="006963B3" w:rsidRPr="00C244B9">
        <w:rPr>
          <w:sz w:val="22"/>
          <w:szCs w:val="22"/>
          <w:lang w:val="en-GB"/>
        </w:rPr>
        <w:t xml:space="preserve"> EE</w:t>
      </w:r>
      <w:r w:rsidRPr="00C244B9">
        <w:rPr>
          <w:sz w:val="22"/>
          <w:szCs w:val="22"/>
          <w:lang w:val="en-GB"/>
        </w:rPr>
        <w:t xml:space="preserve"> MNEs</w:t>
      </w:r>
      <w:r w:rsidR="006963B3" w:rsidRPr="00C244B9">
        <w:rPr>
          <w:sz w:val="22"/>
          <w:szCs w:val="22"/>
          <w:lang w:val="en-GB"/>
        </w:rPr>
        <w:t xml:space="preserve"> than AE</w:t>
      </w:r>
      <w:r w:rsidRPr="00C244B9">
        <w:rPr>
          <w:sz w:val="22"/>
          <w:szCs w:val="22"/>
          <w:lang w:val="en-GB"/>
        </w:rPr>
        <w:t xml:space="preserve"> MNE</w:t>
      </w:r>
      <w:r w:rsidR="006963B3" w:rsidRPr="00C244B9">
        <w:rPr>
          <w:sz w:val="22"/>
          <w:szCs w:val="22"/>
          <w:lang w:val="en-GB"/>
        </w:rPr>
        <w:t xml:space="preserve">s. </w:t>
      </w:r>
      <w:r w:rsidR="00D500E6" w:rsidRPr="00C244B9">
        <w:rPr>
          <w:sz w:val="22"/>
          <w:szCs w:val="22"/>
          <w:lang w:val="en-GB"/>
        </w:rPr>
        <w:t xml:space="preserve"> </w:t>
      </w:r>
    </w:p>
    <w:p w14:paraId="324524B6" w14:textId="13A5AA23" w:rsidR="00647390" w:rsidRPr="00C244B9" w:rsidRDefault="003C2758" w:rsidP="00C46F54">
      <w:pPr>
        <w:spacing w:line="480" w:lineRule="auto"/>
        <w:ind w:firstLine="284"/>
        <w:rPr>
          <w:sz w:val="22"/>
          <w:szCs w:val="22"/>
          <w:lang w:val="en-GB"/>
        </w:rPr>
      </w:pPr>
      <w:r w:rsidRPr="00C244B9">
        <w:rPr>
          <w:sz w:val="22"/>
          <w:szCs w:val="22"/>
          <w:lang w:val="en-GB"/>
        </w:rPr>
        <w:t xml:space="preserve">We offer the following contributions to the literature. First, we develop a theoretical argument that integrates the </w:t>
      </w:r>
      <w:r w:rsidR="00BD47BF" w:rsidRPr="00C244B9">
        <w:rPr>
          <w:sz w:val="22"/>
          <w:szCs w:val="22"/>
          <w:lang w:val="en-GB"/>
        </w:rPr>
        <w:t xml:space="preserve">resource munificence of the </w:t>
      </w:r>
      <w:r w:rsidRPr="00C244B9">
        <w:rPr>
          <w:sz w:val="22"/>
          <w:szCs w:val="22"/>
          <w:lang w:val="en-GB"/>
        </w:rPr>
        <w:t>home</w:t>
      </w:r>
      <w:r w:rsidR="00BD47BF" w:rsidRPr="00C244B9">
        <w:rPr>
          <w:sz w:val="22"/>
          <w:szCs w:val="22"/>
          <w:lang w:val="en-GB"/>
        </w:rPr>
        <w:t xml:space="preserve"> economy</w:t>
      </w:r>
      <w:r w:rsidRPr="00C244B9">
        <w:rPr>
          <w:sz w:val="22"/>
          <w:szCs w:val="22"/>
          <w:lang w:val="en-GB"/>
        </w:rPr>
        <w:t xml:space="preserve"> with theories of location choice</w:t>
      </w:r>
      <w:r w:rsidR="00D500E6" w:rsidRPr="00C244B9">
        <w:rPr>
          <w:sz w:val="22"/>
          <w:szCs w:val="22"/>
          <w:lang w:val="en-GB"/>
        </w:rPr>
        <w:t xml:space="preserve"> </w:t>
      </w:r>
      <w:r w:rsidRPr="00C244B9">
        <w:rPr>
          <w:sz w:val="22"/>
          <w:szCs w:val="22"/>
          <w:lang w:val="en-GB"/>
        </w:rPr>
        <w:t xml:space="preserve">to explain </w:t>
      </w:r>
      <w:r w:rsidR="00D500E6" w:rsidRPr="00C244B9">
        <w:rPr>
          <w:sz w:val="22"/>
          <w:szCs w:val="22"/>
          <w:lang w:val="en-GB"/>
        </w:rPr>
        <w:t xml:space="preserve">the pattern of </w:t>
      </w:r>
      <w:r w:rsidRPr="00C244B9">
        <w:rPr>
          <w:sz w:val="22"/>
          <w:szCs w:val="22"/>
          <w:lang w:val="en-GB"/>
        </w:rPr>
        <w:t>EE MNEs</w:t>
      </w:r>
      <w:r w:rsidR="00FC3980" w:rsidRPr="00C244B9">
        <w:rPr>
          <w:sz w:val="22"/>
          <w:szCs w:val="22"/>
          <w:lang w:val="en-GB"/>
        </w:rPr>
        <w:t xml:space="preserve"> outward investments</w:t>
      </w:r>
      <w:r w:rsidRPr="00C244B9">
        <w:rPr>
          <w:sz w:val="22"/>
          <w:szCs w:val="22"/>
          <w:lang w:val="en-GB"/>
        </w:rPr>
        <w:t xml:space="preserve">. </w:t>
      </w:r>
      <w:r w:rsidR="006963B3" w:rsidRPr="00C244B9">
        <w:rPr>
          <w:sz w:val="22"/>
          <w:szCs w:val="22"/>
          <w:lang w:val="en-GB"/>
        </w:rPr>
        <w:t xml:space="preserve">To achieve this, we extend the liability of foreignness concept to the country of origin, to </w:t>
      </w:r>
      <w:r w:rsidR="00940A61" w:rsidRPr="00C244B9">
        <w:rPr>
          <w:sz w:val="22"/>
          <w:szCs w:val="22"/>
          <w:lang w:val="en-GB"/>
        </w:rPr>
        <w:t>explain</w:t>
      </w:r>
      <w:r w:rsidR="006963B3" w:rsidRPr="00C244B9">
        <w:rPr>
          <w:sz w:val="22"/>
          <w:szCs w:val="22"/>
          <w:lang w:val="en-GB"/>
        </w:rPr>
        <w:t xml:space="preserve"> why EE </w:t>
      </w:r>
      <w:r w:rsidR="006963B3" w:rsidRPr="00C244B9">
        <w:rPr>
          <w:sz w:val="22"/>
          <w:szCs w:val="22"/>
          <w:lang w:val="en-GB"/>
        </w:rPr>
        <w:lastRenderedPageBreak/>
        <w:t xml:space="preserve">MNEs find it more challenging than AE MNEs to overcome barriers.  </w:t>
      </w:r>
      <w:r w:rsidR="00BD47BF" w:rsidRPr="00C244B9">
        <w:rPr>
          <w:sz w:val="22"/>
          <w:szCs w:val="22"/>
          <w:lang w:val="en-GB"/>
        </w:rPr>
        <w:t xml:space="preserve">We </w:t>
      </w:r>
      <w:r w:rsidR="0058557A" w:rsidRPr="00C244B9">
        <w:rPr>
          <w:sz w:val="22"/>
          <w:szCs w:val="22"/>
          <w:lang w:val="en-GB"/>
        </w:rPr>
        <w:t>provide</w:t>
      </w:r>
      <w:r w:rsidRPr="00C244B9">
        <w:rPr>
          <w:sz w:val="22"/>
          <w:szCs w:val="22"/>
          <w:lang w:val="en-GB"/>
        </w:rPr>
        <w:t xml:space="preserve"> a powerful explanation of EE MNEs investment into AEs</w:t>
      </w:r>
      <w:r w:rsidR="00FC3980" w:rsidRPr="00C244B9">
        <w:rPr>
          <w:sz w:val="22"/>
          <w:szCs w:val="22"/>
          <w:lang w:val="en-GB"/>
        </w:rPr>
        <w:t xml:space="preserve"> and</w:t>
      </w:r>
      <w:r w:rsidRPr="00C244B9">
        <w:rPr>
          <w:sz w:val="22"/>
          <w:szCs w:val="22"/>
          <w:lang w:val="en-GB"/>
        </w:rPr>
        <w:t xml:space="preserve"> resolv</w:t>
      </w:r>
      <w:r w:rsidR="00FC3980" w:rsidRPr="00C244B9">
        <w:rPr>
          <w:sz w:val="22"/>
          <w:szCs w:val="22"/>
          <w:lang w:val="en-GB"/>
        </w:rPr>
        <w:t xml:space="preserve">e </w:t>
      </w:r>
      <w:r w:rsidRPr="00C244B9">
        <w:rPr>
          <w:sz w:val="22"/>
          <w:szCs w:val="22"/>
          <w:lang w:val="en-GB"/>
        </w:rPr>
        <w:t>apparent contradictions noted in the recent literature.</w:t>
      </w:r>
      <w:r w:rsidR="006963B3" w:rsidRPr="00C244B9">
        <w:rPr>
          <w:sz w:val="22"/>
          <w:szCs w:val="22"/>
          <w:lang w:val="en-GB"/>
        </w:rPr>
        <w:t xml:space="preserve"> </w:t>
      </w:r>
      <w:r w:rsidR="00B45C2B" w:rsidRPr="00C244B9">
        <w:rPr>
          <w:sz w:val="22"/>
          <w:szCs w:val="22"/>
          <w:lang w:val="en-GB"/>
        </w:rPr>
        <w:t xml:space="preserve">This allows us to address </w:t>
      </w:r>
      <w:r w:rsidR="00A27687" w:rsidRPr="00C244B9">
        <w:rPr>
          <w:sz w:val="22"/>
          <w:szCs w:val="22"/>
          <w:lang w:val="en-GB"/>
        </w:rPr>
        <w:t>a pertinent question</w:t>
      </w:r>
      <w:r w:rsidR="00B45C2B" w:rsidRPr="00C244B9">
        <w:rPr>
          <w:sz w:val="22"/>
          <w:szCs w:val="22"/>
          <w:lang w:val="en-GB"/>
        </w:rPr>
        <w:t xml:space="preserve"> in the IB literature</w:t>
      </w:r>
      <w:r w:rsidR="00A27687" w:rsidRPr="00C244B9">
        <w:rPr>
          <w:sz w:val="22"/>
          <w:szCs w:val="22"/>
          <w:lang w:val="en-GB"/>
        </w:rPr>
        <w:t xml:space="preserve"> </w:t>
      </w:r>
      <w:r w:rsidR="00355DEE" w:rsidRPr="00C244B9">
        <w:rPr>
          <w:sz w:val="22"/>
          <w:szCs w:val="22"/>
          <w:lang w:val="en-GB"/>
        </w:rPr>
        <w:t>(e.g. Hennart, 2012; Luo &amp; Tung, 2007; Luo &amp; Zhang, 2016</w:t>
      </w:r>
      <w:r w:rsidR="00363F5A" w:rsidRPr="00C244B9">
        <w:rPr>
          <w:sz w:val="22"/>
          <w:szCs w:val="22"/>
          <w:lang w:val="en-GB"/>
        </w:rPr>
        <w:t>):</w:t>
      </w:r>
      <w:r w:rsidR="00A27687" w:rsidRPr="00C244B9">
        <w:rPr>
          <w:sz w:val="22"/>
          <w:szCs w:val="22"/>
          <w:lang w:val="en-GB"/>
        </w:rPr>
        <w:t xml:space="preserve"> do we need a </w:t>
      </w:r>
      <w:r w:rsidR="001316A3" w:rsidRPr="00C244B9">
        <w:rPr>
          <w:sz w:val="22"/>
          <w:szCs w:val="22"/>
          <w:lang w:val="en-GB"/>
        </w:rPr>
        <w:t>new theory to explain EE MNEs? Our answer is that we do not</w:t>
      </w:r>
      <w:r w:rsidR="00EA16F5" w:rsidRPr="00C244B9">
        <w:rPr>
          <w:sz w:val="22"/>
          <w:szCs w:val="22"/>
          <w:lang w:val="en-GB"/>
        </w:rPr>
        <w:t xml:space="preserve">; </w:t>
      </w:r>
      <w:r w:rsidR="004F00FA" w:rsidRPr="00C244B9">
        <w:rPr>
          <w:sz w:val="22"/>
          <w:szCs w:val="22"/>
          <w:lang w:val="en-GB"/>
        </w:rPr>
        <w:t xml:space="preserve">rather </w:t>
      </w:r>
      <w:r w:rsidR="001316A3" w:rsidRPr="00C244B9">
        <w:rPr>
          <w:sz w:val="22"/>
          <w:szCs w:val="22"/>
          <w:lang w:val="en-GB"/>
        </w:rPr>
        <w:t xml:space="preserve">we need to incorporate home country </w:t>
      </w:r>
      <w:r w:rsidR="006963B3" w:rsidRPr="00C244B9">
        <w:rPr>
          <w:sz w:val="22"/>
          <w:szCs w:val="22"/>
          <w:lang w:val="en-GB"/>
        </w:rPr>
        <w:t xml:space="preserve">munificence </w:t>
      </w:r>
      <w:r w:rsidR="001316A3" w:rsidRPr="00C244B9">
        <w:rPr>
          <w:sz w:val="22"/>
          <w:szCs w:val="22"/>
          <w:lang w:val="en-GB"/>
        </w:rPr>
        <w:t xml:space="preserve">into the existing models. </w:t>
      </w:r>
    </w:p>
    <w:p w14:paraId="40AB0352" w14:textId="2BA3B2C7" w:rsidR="00DD4D5F" w:rsidRPr="00C244B9" w:rsidRDefault="0036542C" w:rsidP="00032263">
      <w:pPr>
        <w:spacing w:line="480" w:lineRule="auto"/>
        <w:ind w:firstLine="284"/>
        <w:rPr>
          <w:b/>
          <w:sz w:val="22"/>
          <w:szCs w:val="22"/>
          <w:lang w:val="en-GB"/>
        </w:rPr>
      </w:pPr>
      <w:r w:rsidRPr="00C244B9">
        <w:rPr>
          <w:sz w:val="22"/>
          <w:szCs w:val="22"/>
          <w:lang w:val="en-GB"/>
        </w:rPr>
        <w:t>Second</w:t>
      </w:r>
      <w:r w:rsidR="006A233B" w:rsidRPr="00C244B9">
        <w:rPr>
          <w:sz w:val="22"/>
          <w:szCs w:val="22"/>
          <w:lang w:val="en-GB"/>
        </w:rPr>
        <w:t>,</w:t>
      </w:r>
      <w:r w:rsidRPr="00C244B9">
        <w:rPr>
          <w:sz w:val="22"/>
          <w:szCs w:val="22"/>
          <w:lang w:val="en-GB"/>
        </w:rPr>
        <w:t xml:space="preserve"> we make a number of empirical contributions. </w:t>
      </w:r>
      <w:r w:rsidR="00940A61" w:rsidRPr="00C244B9">
        <w:rPr>
          <w:sz w:val="22"/>
          <w:szCs w:val="22"/>
          <w:lang w:val="en-GB"/>
        </w:rPr>
        <w:t xml:space="preserve">Our novel </w:t>
      </w:r>
      <w:r w:rsidRPr="00C244B9">
        <w:rPr>
          <w:sz w:val="22"/>
          <w:szCs w:val="22"/>
          <w:lang w:val="en-GB"/>
        </w:rPr>
        <w:t xml:space="preserve">dataset provides </w:t>
      </w:r>
      <w:r w:rsidR="00B75927">
        <w:rPr>
          <w:sz w:val="22"/>
          <w:szCs w:val="22"/>
          <w:lang w:val="en-GB"/>
        </w:rPr>
        <w:t>insights on</w:t>
      </w:r>
      <w:r w:rsidRPr="00C244B9">
        <w:rPr>
          <w:sz w:val="22"/>
          <w:szCs w:val="22"/>
          <w:lang w:val="en-GB"/>
        </w:rPr>
        <w:t xml:space="preserve"> location choices by MNEs from both AEs and EEs into </w:t>
      </w:r>
      <w:r w:rsidR="006A233B" w:rsidRPr="00C244B9">
        <w:rPr>
          <w:sz w:val="22"/>
          <w:szCs w:val="22"/>
          <w:lang w:val="en-GB"/>
        </w:rPr>
        <w:t>AEs</w:t>
      </w:r>
      <w:r w:rsidR="00B75927">
        <w:rPr>
          <w:sz w:val="22"/>
          <w:szCs w:val="22"/>
          <w:lang w:val="en-GB"/>
        </w:rPr>
        <w:t xml:space="preserve">, specifically identifying </w:t>
      </w:r>
      <w:r w:rsidRPr="00C244B9">
        <w:rPr>
          <w:sz w:val="22"/>
          <w:szCs w:val="22"/>
          <w:lang w:val="en-GB"/>
        </w:rPr>
        <w:t>important differences in the pattern of determination of location choice between AEs and EEs that arise from the greater liability of foreignness of EE MNEs. Finally, we document and interpret more finely grained results for individual countries of origin</w:t>
      </w:r>
      <w:r w:rsidR="00B75927">
        <w:rPr>
          <w:sz w:val="22"/>
          <w:szCs w:val="22"/>
          <w:lang w:val="en-GB"/>
        </w:rPr>
        <w:t>, which enables us to critically evaluate the generalizability of our findings</w:t>
      </w:r>
      <w:r w:rsidR="005A3198" w:rsidRPr="00C244B9">
        <w:rPr>
          <w:sz w:val="22"/>
          <w:szCs w:val="22"/>
          <w:lang w:val="en-GB"/>
        </w:rPr>
        <w:t>.</w:t>
      </w:r>
      <w:r w:rsidRPr="00C244B9">
        <w:rPr>
          <w:sz w:val="22"/>
          <w:szCs w:val="22"/>
          <w:lang w:val="en-GB"/>
        </w:rPr>
        <w:t xml:space="preserve"> </w:t>
      </w:r>
    </w:p>
    <w:p w14:paraId="6E1A762D" w14:textId="0C2C0B06" w:rsidR="00E95149" w:rsidRPr="00C244B9" w:rsidRDefault="00B770C0" w:rsidP="00B979EE">
      <w:pPr>
        <w:spacing w:line="480" w:lineRule="auto"/>
        <w:jc w:val="center"/>
        <w:outlineLvl w:val="0"/>
        <w:rPr>
          <w:b/>
          <w:bCs/>
          <w:sz w:val="22"/>
          <w:szCs w:val="22"/>
          <w:lang w:val="en-GB"/>
        </w:rPr>
      </w:pPr>
      <w:r w:rsidRPr="00C244B9">
        <w:rPr>
          <w:b/>
          <w:sz w:val="22"/>
          <w:szCs w:val="22"/>
          <w:lang w:val="en-GB"/>
        </w:rPr>
        <w:t xml:space="preserve">Theorizing about </w:t>
      </w:r>
      <w:r w:rsidR="00E95149" w:rsidRPr="00C244B9">
        <w:rPr>
          <w:b/>
          <w:sz w:val="22"/>
          <w:szCs w:val="22"/>
          <w:lang w:val="en-GB"/>
        </w:rPr>
        <w:t>Emerging Economy Multinationals</w:t>
      </w:r>
    </w:p>
    <w:p w14:paraId="40616EE8" w14:textId="0082FAAF" w:rsidR="00BF46AC" w:rsidRPr="009A570D" w:rsidRDefault="00BF46AC" w:rsidP="00FF44B2">
      <w:pPr>
        <w:spacing w:line="480" w:lineRule="auto"/>
        <w:rPr>
          <w:b/>
          <w:i/>
          <w:iCs/>
          <w:sz w:val="22"/>
          <w:szCs w:val="22"/>
          <w:lang w:val="en-GB"/>
        </w:rPr>
      </w:pPr>
      <w:r w:rsidRPr="009A570D">
        <w:rPr>
          <w:b/>
          <w:i/>
          <w:iCs/>
          <w:sz w:val="22"/>
          <w:szCs w:val="22"/>
          <w:lang w:val="en-GB"/>
        </w:rPr>
        <w:t>A challenge to theory?</w:t>
      </w:r>
    </w:p>
    <w:p w14:paraId="3DC221B0" w14:textId="16A9A188" w:rsidR="00940A61" w:rsidRPr="00C244B9" w:rsidRDefault="00337ED8" w:rsidP="00FF44B2">
      <w:pPr>
        <w:spacing w:line="480" w:lineRule="auto"/>
        <w:rPr>
          <w:iCs/>
          <w:sz w:val="22"/>
          <w:szCs w:val="22"/>
          <w:lang w:val="en-GB"/>
        </w:rPr>
      </w:pPr>
      <w:r w:rsidRPr="00C244B9">
        <w:rPr>
          <w:iCs/>
          <w:sz w:val="22"/>
          <w:szCs w:val="22"/>
          <w:lang w:val="en-GB"/>
        </w:rPr>
        <w:t>The theory of the MNE suggests that firms engage in outward FDI to transfer and exploit their capabilities (</w:t>
      </w:r>
      <w:r w:rsidRPr="00C244B9">
        <w:rPr>
          <w:sz w:val="22"/>
          <w:szCs w:val="22"/>
          <w:lang w:val="en-GB"/>
        </w:rPr>
        <w:t>Buckley &amp; Casson, 2009</w:t>
      </w:r>
      <w:r w:rsidR="009A570D">
        <w:rPr>
          <w:sz w:val="22"/>
          <w:szCs w:val="22"/>
          <w:lang w:val="en-GB"/>
        </w:rPr>
        <w:t>; Narula &amp; Verbeke, 2015</w:t>
      </w:r>
      <w:r w:rsidR="009A570D" w:rsidRPr="00C244B9">
        <w:rPr>
          <w:iCs/>
          <w:sz w:val="22"/>
          <w:szCs w:val="22"/>
          <w:lang w:val="en-GB"/>
        </w:rPr>
        <w:t xml:space="preserve">). </w:t>
      </w:r>
      <w:r w:rsidR="009A570D">
        <w:rPr>
          <w:iCs/>
          <w:sz w:val="22"/>
          <w:szCs w:val="22"/>
          <w:lang w:val="en-GB"/>
        </w:rPr>
        <w:t>Yet recent empirical</w:t>
      </w:r>
      <w:r w:rsidR="009A570D" w:rsidRPr="00C244B9">
        <w:rPr>
          <w:iCs/>
          <w:sz w:val="22"/>
          <w:szCs w:val="22"/>
          <w:lang w:val="en-GB"/>
        </w:rPr>
        <w:t xml:space="preserve"> </w:t>
      </w:r>
      <w:r w:rsidR="009A570D">
        <w:rPr>
          <w:iCs/>
          <w:sz w:val="22"/>
          <w:szCs w:val="22"/>
          <w:lang w:val="en-GB"/>
        </w:rPr>
        <w:t>studies</w:t>
      </w:r>
      <w:r w:rsidR="009A570D" w:rsidRPr="00C244B9">
        <w:rPr>
          <w:iCs/>
          <w:sz w:val="22"/>
          <w:szCs w:val="22"/>
          <w:lang w:val="en-GB"/>
        </w:rPr>
        <w:t xml:space="preserve"> highlight</w:t>
      </w:r>
      <w:r w:rsidR="006A233B" w:rsidRPr="00C244B9">
        <w:rPr>
          <w:iCs/>
          <w:sz w:val="22"/>
          <w:szCs w:val="22"/>
          <w:lang w:val="en-GB"/>
        </w:rPr>
        <w:t xml:space="preserve"> that </w:t>
      </w:r>
      <w:r w:rsidRPr="00C244B9">
        <w:rPr>
          <w:sz w:val="22"/>
          <w:szCs w:val="22"/>
          <w:lang w:val="en-GB"/>
        </w:rPr>
        <w:t>t</w:t>
      </w:r>
      <w:r w:rsidR="00EA5C74" w:rsidRPr="00C244B9">
        <w:rPr>
          <w:sz w:val="22"/>
          <w:szCs w:val="22"/>
          <w:lang w:val="en-GB"/>
        </w:rPr>
        <w:t>h</w:t>
      </w:r>
      <w:r w:rsidR="00B770C0" w:rsidRPr="00C244B9">
        <w:rPr>
          <w:sz w:val="22"/>
          <w:szCs w:val="22"/>
          <w:lang w:val="en-GB"/>
        </w:rPr>
        <w:t>e</w:t>
      </w:r>
      <w:r w:rsidR="00EA5C74" w:rsidRPr="00C244B9">
        <w:rPr>
          <w:sz w:val="22"/>
          <w:szCs w:val="22"/>
          <w:lang w:val="en-GB"/>
        </w:rPr>
        <w:t xml:space="preserve"> recent wave of </w:t>
      </w:r>
      <w:r w:rsidR="002F2232" w:rsidRPr="00C244B9">
        <w:rPr>
          <w:sz w:val="22"/>
          <w:szCs w:val="22"/>
          <w:lang w:val="en-GB"/>
        </w:rPr>
        <w:t xml:space="preserve">EE </w:t>
      </w:r>
      <w:r w:rsidR="0036542C" w:rsidRPr="00C244B9">
        <w:rPr>
          <w:sz w:val="22"/>
          <w:szCs w:val="22"/>
          <w:lang w:val="en-GB"/>
        </w:rPr>
        <w:t xml:space="preserve">MNEs </w:t>
      </w:r>
      <w:r w:rsidR="00A01B1A" w:rsidRPr="00C244B9">
        <w:rPr>
          <w:bCs/>
          <w:iCs/>
          <w:sz w:val="22"/>
          <w:szCs w:val="22"/>
          <w:lang w:val="en-GB"/>
        </w:rPr>
        <w:t>lack</w:t>
      </w:r>
      <w:r w:rsidRPr="00C244B9">
        <w:rPr>
          <w:bCs/>
          <w:iCs/>
          <w:sz w:val="22"/>
          <w:szCs w:val="22"/>
          <w:lang w:val="en-GB"/>
        </w:rPr>
        <w:t>s</w:t>
      </w:r>
      <w:r w:rsidR="00151C06" w:rsidRPr="00C244B9">
        <w:rPr>
          <w:b/>
          <w:bCs/>
          <w:iCs/>
          <w:sz w:val="22"/>
          <w:szCs w:val="22"/>
          <w:lang w:val="en-GB"/>
        </w:rPr>
        <w:t xml:space="preserve"> </w:t>
      </w:r>
      <w:r w:rsidR="00A01B1A" w:rsidRPr="00C244B9">
        <w:rPr>
          <w:bCs/>
          <w:iCs/>
          <w:sz w:val="22"/>
          <w:szCs w:val="22"/>
          <w:lang w:val="en-GB"/>
        </w:rPr>
        <w:t>the</w:t>
      </w:r>
      <w:r w:rsidR="00D11FB6" w:rsidRPr="00C244B9">
        <w:rPr>
          <w:iCs/>
          <w:sz w:val="22"/>
          <w:szCs w:val="22"/>
          <w:lang w:val="en-GB"/>
        </w:rPr>
        <w:t xml:space="preserve"> famous brands and leading-edge technologies that are</w:t>
      </w:r>
      <w:r w:rsidR="00151C06" w:rsidRPr="00C244B9">
        <w:rPr>
          <w:iCs/>
          <w:sz w:val="22"/>
          <w:szCs w:val="22"/>
          <w:lang w:val="en-GB"/>
        </w:rPr>
        <w:t xml:space="preserve"> usually viewed as the </w:t>
      </w:r>
      <w:r w:rsidR="004026E5">
        <w:rPr>
          <w:iCs/>
          <w:sz w:val="22"/>
          <w:szCs w:val="22"/>
          <w:lang w:val="en-GB"/>
        </w:rPr>
        <w:t xml:space="preserve">principal </w:t>
      </w:r>
      <w:r w:rsidR="00D11FB6" w:rsidRPr="00C244B9">
        <w:rPr>
          <w:iCs/>
          <w:sz w:val="22"/>
          <w:szCs w:val="22"/>
          <w:lang w:val="en-GB"/>
        </w:rPr>
        <w:t>drivers of MNEs</w:t>
      </w:r>
      <w:r w:rsidR="00916438" w:rsidRPr="00C244B9">
        <w:rPr>
          <w:iCs/>
          <w:sz w:val="22"/>
          <w:szCs w:val="22"/>
          <w:lang w:val="en-GB"/>
        </w:rPr>
        <w:t>’</w:t>
      </w:r>
      <w:r w:rsidR="00D11FB6" w:rsidRPr="00C244B9">
        <w:rPr>
          <w:iCs/>
          <w:sz w:val="22"/>
          <w:szCs w:val="22"/>
          <w:lang w:val="en-GB"/>
        </w:rPr>
        <w:t xml:space="preserve"> overseas </w:t>
      </w:r>
      <w:r w:rsidR="00FC3980" w:rsidRPr="00C244B9">
        <w:rPr>
          <w:iCs/>
          <w:sz w:val="22"/>
          <w:szCs w:val="22"/>
          <w:lang w:val="en-GB"/>
        </w:rPr>
        <w:t xml:space="preserve">expansion </w:t>
      </w:r>
      <w:r w:rsidR="006148C7" w:rsidRPr="00C244B9">
        <w:rPr>
          <w:iCs/>
          <w:sz w:val="22"/>
          <w:szCs w:val="22"/>
          <w:lang w:val="en-GB"/>
        </w:rPr>
        <w:t>(</w:t>
      </w:r>
      <w:r w:rsidR="00BF46AC">
        <w:rPr>
          <w:iCs/>
          <w:sz w:val="22"/>
          <w:szCs w:val="22"/>
          <w:lang w:val="en-GB"/>
        </w:rPr>
        <w:t xml:space="preserve">e.g. </w:t>
      </w:r>
      <w:r w:rsidR="006148C7" w:rsidRPr="00C244B9">
        <w:rPr>
          <w:iCs/>
          <w:sz w:val="22"/>
          <w:szCs w:val="22"/>
          <w:lang w:val="en-GB"/>
        </w:rPr>
        <w:t>Mathews</w:t>
      </w:r>
      <w:r w:rsidR="00782F18" w:rsidRPr="00C244B9">
        <w:rPr>
          <w:iCs/>
          <w:sz w:val="22"/>
          <w:szCs w:val="22"/>
          <w:lang w:val="en-GB"/>
        </w:rPr>
        <w:t>,</w:t>
      </w:r>
      <w:r w:rsidR="006148C7" w:rsidRPr="00C244B9">
        <w:rPr>
          <w:iCs/>
          <w:sz w:val="22"/>
          <w:szCs w:val="22"/>
          <w:lang w:val="en-GB"/>
        </w:rPr>
        <w:t xml:space="preserve"> 2006</w:t>
      </w:r>
      <w:r w:rsidR="006D401D" w:rsidRPr="00C244B9">
        <w:rPr>
          <w:iCs/>
          <w:sz w:val="22"/>
          <w:szCs w:val="22"/>
          <w:lang w:val="en-GB"/>
        </w:rPr>
        <w:t>;</w:t>
      </w:r>
      <w:r w:rsidR="00363F5A" w:rsidRPr="00C244B9">
        <w:rPr>
          <w:iCs/>
          <w:sz w:val="22"/>
          <w:szCs w:val="22"/>
          <w:lang w:val="en-GB"/>
        </w:rPr>
        <w:t xml:space="preserve"> </w:t>
      </w:r>
      <w:r w:rsidR="00FF44B2" w:rsidRPr="00C244B9">
        <w:rPr>
          <w:iCs/>
          <w:sz w:val="22"/>
          <w:szCs w:val="22"/>
          <w:lang w:val="en-GB"/>
        </w:rPr>
        <w:t xml:space="preserve">Kim et al., 2014; </w:t>
      </w:r>
      <w:r w:rsidR="00BF46AC">
        <w:rPr>
          <w:iCs/>
          <w:sz w:val="22"/>
          <w:szCs w:val="22"/>
          <w:lang w:val="en-GB"/>
        </w:rPr>
        <w:t xml:space="preserve">Klossek et al., 2012; </w:t>
      </w:r>
      <w:r w:rsidR="00FF44B2" w:rsidRPr="00C244B9">
        <w:rPr>
          <w:iCs/>
          <w:sz w:val="22"/>
          <w:szCs w:val="22"/>
          <w:lang w:val="en-GB"/>
        </w:rPr>
        <w:t xml:space="preserve">Luo &amp; Wang, 2012). </w:t>
      </w:r>
    </w:p>
    <w:p w14:paraId="63D0E36A" w14:textId="71C53B58" w:rsidR="00FF44B2" w:rsidRPr="00C244B9" w:rsidRDefault="00FF44B2" w:rsidP="00032263">
      <w:pPr>
        <w:spacing w:line="480" w:lineRule="auto"/>
        <w:ind w:firstLine="397"/>
        <w:rPr>
          <w:iCs/>
          <w:sz w:val="22"/>
          <w:szCs w:val="22"/>
          <w:lang w:val="en-GB"/>
        </w:rPr>
      </w:pPr>
      <w:r w:rsidRPr="00C244B9">
        <w:rPr>
          <w:iCs/>
          <w:sz w:val="22"/>
          <w:szCs w:val="22"/>
          <w:lang w:val="en-GB"/>
        </w:rPr>
        <w:t xml:space="preserve">In particular, </w:t>
      </w:r>
      <w:r w:rsidR="006A233B" w:rsidRPr="00C244B9">
        <w:rPr>
          <w:iCs/>
          <w:sz w:val="22"/>
          <w:szCs w:val="22"/>
          <w:lang w:val="en-GB"/>
        </w:rPr>
        <w:t xml:space="preserve">EE MNEs </w:t>
      </w:r>
      <w:r w:rsidRPr="00C244B9">
        <w:rPr>
          <w:iCs/>
          <w:sz w:val="22"/>
          <w:szCs w:val="22"/>
          <w:lang w:val="en-GB"/>
        </w:rPr>
        <w:t>tend to operate with comparatively older technologies, labor rather than technology intensive processes, and with brands that have limited appeal beyond their country of origin (Rugman &amp; Nguyen, 2014</w:t>
      </w:r>
      <w:r w:rsidRPr="00C244B9">
        <w:rPr>
          <w:sz w:val="22"/>
          <w:szCs w:val="22"/>
          <w:lang w:val="en-GB"/>
        </w:rPr>
        <w:t>; Verbeke &amp; Kano, 2015</w:t>
      </w:r>
      <w:r w:rsidRPr="00C244B9">
        <w:rPr>
          <w:iCs/>
          <w:sz w:val="22"/>
          <w:szCs w:val="22"/>
          <w:lang w:val="en-GB"/>
        </w:rPr>
        <w:t>). Moreover, due to their relatively short history of international operations, they have not yet build up international management capabilities grounded in experience of managing international operations in a variety of host countries (</w:t>
      </w:r>
      <w:r w:rsidR="00940A61" w:rsidRPr="00C244B9">
        <w:rPr>
          <w:iCs/>
          <w:sz w:val="22"/>
          <w:szCs w:val="22"/>
          <w:lang w:val="en-GB"/>
        </w:rPr>
        <w:t>Meyer &amp; Xin, 2018</w:t>
      </w:r>
      <w:r w:rsidRPr="00C244B9">
        <w:rPr>
          <w:iCs/>
          <w:sz w:val="22"/>
          <w:szCs w:val="22"/>
          <w:lang w:val="en-GB"/>
        </w:rPr>
        <w:t xml:space="preserve">; Wang et al., 2014). Thus, EE MNEs enter the global stage with different types of resources than AE MNEs. </w:t>
      </w:r>
      <w:r w:rsidR="00646650" w:rsidRPr="00C244B9">
        <w:rPr>
          <w:iCs/>
          <w:sz w:val="22"/>
          <w:szCs w:val="22"/>
          <w:lang w:val="en-GB"/>
        </w:rPr>
        <w:t xml:space="preserve">Indeed </w:t>
      </w:r>
      <w:r w:rsidR="00072716" w:rsidRPr="00C244B9">
        <w:rPr>
          <w:sz w:val="22"/>
          <w:szCs w:val="22"/>
          <w:lang w:val="en-GB"/>
        </w:rPr>
        <w:t xml:space="preserve">EE </w:t>
      </w:r>
      <w:r w:rsidR="00072716" w:rsidRPr="00C244B9">
        <w:rPr>
          <w:sz w:val="22"/>
          <w:szCs w:val="22"/>
          <w:lang w:val="en-GB"/>
        </w:rPr>
        <w:lastRenderedPageBreak/>
        <w:t xml:space="preserve">MNEs have been argued </w:t>
      </w:r>
      <w:r w:rsidRPr="00C244B9">
        <w:rPr>
          <w:sz w:val="22"/>
          <w:szCs w:val="22"/>
          <w:lang w:val="en-GB"/>
        </w:rPr>
        <w:t xml:space="preserve">to </w:t>
      </w:r>
      <w:r w:rsidR="00646650" w:rsidRPr="00C244B9">
        <w:rPr>
          <w:sz w:val="22"/>
          <w:szCs w:val="22"/>
          <w:lang w:val="en-GB"/>
        </w:rPr>
        <w:t xml:space="preserve">have </w:t>
      </w:r>
      <w:r w:rsidRPr="00C244B9">
        <w:rPr>
          <w:sz w:val="22"/>
          <w:szCs w:val="22"/>
          <w:lang w:val="en-GB"/>
        </w:rPr>
        <w:t>develop</w:t>
      </w:r>
      <w:r w:rsidR="00646650" w:rsidRPr="00C244B9">
        <w:rPr>
          <w:sz w:val="22"/>
          <w:szCs w:val="22"/>
          <w:lang w:val="en-GB"/>
        </w:rPr>
        <w:t>ed</w:t>
      </w:r>
      <w:r w:rsidR="00072716" w:rsidRPr="00C244B9">
        <w:rPr>
          <w:iCs/>
          <w:sz w:val="22"/>
          <w:szCs w:val="22"/>
          <w:lang w:val="en-GB"/>
        </w:rPr>
        <w:t xml:space="preserve"> capabilities to cope with the particular conditions of an EE and while these can support internationalization, this is primarily to other EEs</w:t>
      </w:r>
      <w:r w:rsidR="00B75927">
        <w:rPr>
          <w:iCs/>
          <w:sz w:val="22"/>
          <w:szCs w:val="22"/>
          <w:lang w:val="en-GB"/>
        </w:rPr>
        <w:t xml:space="preserve"> but not AEs</w:t>
      </w:r>
      <w:r w:rsidR="00072716" w:rsidRPr="00C244B9">
        <w:rPr>
          <w:iCs/>
          <w:sz w:val="22"/>
          <w:szCs w:val="22"/>
          <w:lang w:val="en-GB"/>
        </w:rPr>
        <w:t xml:space="preserve"> (Cuervo-Cazurra &amp; Genc, 2008; Verbeke &amp; Kano, 2015)</w:t>
      </w:r>
      <w:r w:rsidR="005358BA" w:rsidRPr="00C244B9">
        <w:rPr>
          <w:iCs/>
          <w:sz w:val="22"/>
          <w:szCs w:val="22"/>
          <w:lang w:val="en-GB"/>
        </w:rPr>
        <w:t>.</w:t>
      </w:r>
      <w:r w:rsidR="00072716" w:rsidRPr="00C244B9">
        <w:rPr>
          <w:rStyle w:val="FootnoteReference"/>
          <w:iCs/>
          <w:sz w:val="22"/>
          <w:szCs w:val="22"/>
          <w:lang w:val="en-GB"/>
        </w:rPr>
        <w:footnoteReference w:id="1"/>
      </w:r>
      <w:r w:rsidR="00072716" w:rsidRPr="00C244B9">
        <w:rPr>
          <w:iCs/>
          <w:sz w:val="22"/>
          <w:szCs w:val="22"/>
          <w:lang w:val="en-GB"/>
        </w:rPr>
        <w:t xml:space="preserve"> </w:t>
      </w:r>
      <w:r w:rsidR="001F1188" w:rsidRPr="00C244B9">
        <w:rPr>
          <w:iCs/>
          <w:sz w:val="22"/>
          <w:szCs w:val="22"/>
          <w:lang w:val="en-GB"/>
        </w:rPr>
        <w:t xml:space="preserve"> </w:t>
      </w:r>
    </w:p>
    <w:p w14:paraId="745398C0" w14:textId="32245179" w:rsidR="009A570D" w:rsidRPr="00B979EE" w:rsidRDefault="009A570D" w:rsidP="00B979EE">
      <w:pPr>
        <w:spacing w:line="480" w:lineRule="auto"/>
        <w:rPr>
          <w:b/>
          <w:i/>
          <w:iCs/>
          <w:sz w:val="22"/>
          <w:szCs w:val="22"/>
          <w:lang w:val="en-GB"/>
        </w:rPr>
      </w:pPr>
      <w:r w:rsidRPr="00B979EE">
        <w:rPr>
          <w:b/>
          <w:i/>
          <w:iCs/>
          <w:sz w:val="22"/>
          <w:szCs w:val="22"/>
          <w:lang w:val="en-GB"/>
        </w:rPr>
        <w:t>Home countries in the theory of the MNE</w:t>
      </w:r>
    </w:p>
    <w:p w14:paraId="5B538D71" w14:textId="2A9A491C" w:rsidR="00FF44B2" w:rsidRPr="00C244B9" w:rsidRDefault="009A570D" w:rsidP="00B979EE">
      <w:pPr>
        <w:spacing w:line="480" w:lineRule="auto"/>
        <w:rPr>
          <w:sz w:val="22"/>
          <w:szCs w:val="22"/>
        </w:rPr>
      </w:pPr>
      <w:r>
        <w:rPr>
          <w:iCs/>
          <w:sz w:val="22"/>
          <w:szCs w:val="22"/>
          <w:lang w:val="en-GB"/>
        </w:rPr>
        <w:t xml:space="preserve">We </w:t>
      </w:r>
      <w:r w:rsidR="001F1188" w:rsidRPr="00C244B9">
        <w:rPr>
          <w:iCs/>
          <w:sz w:val="22"/>
          <w:szCs w:val="22"/>
          <w:lang w:val="en-GB"/>
        </w:rPr>
        <w:t>focus on country of origin effects</w:t>
      </w:r>
      <w:r>
        <w:rPr>
          <w:iCs/>
          <w:sz w:val="22"/>
          <w:szCs w:val="22"/>
          <w:lang w:val="en-GB"/>
        </w:rPr>
        <w:t xml:space="preserve"> and </w:t>
      </w:r>
      <w:r w:rsidR="00072716" w:rsidRPr="00C244B9">
        <w:rPr>
          <w:iCs/>
          <w:sz w:val="22"/>
          <w:szCs w:val="22"/>
          <w:lang w:val="en-GB"/>
        </w:rPr>
        <w:t xml:space="preserve">propose that </w:t>
      </w:r>
      <w:r w:rsidR="00146AF6" w:rsidRPr="00C244B9">
        <w:rPr>
          <w:iCs/>
          <w:sz w:val="22"/>
          <w:szCs w:val="22"/>
          <w:lang w:val="en-GB"/>
        </w:rPr>
        <w:t xml:space="preserve">the range of capabilities that </w:t>
      </w:r>
      <w:r>
        <w:rPr>
          <w:iCs/>
          <w:sz w:val="22"/>
          <w:szCs w:val="22"/>
          <w:lang w:val="en-GB"/>
        </w:rPr>
        <w:t xml:space="preserve">an MNE </w:t>
      </w:r>
      <w:r w:rsidR="00146AF6" w:rsidRPr="00C244B9">
        <w:rPr>
          <w:iCs/>
          <w:sz w:val="22"/>
          <w:szCs w:val="22"/>
          <w:lang w:val="en-GB"/>
        </w:rPr>
        <w:t xml:space="preserve">can exploit </w:t>
      </w:r>
      <w:r w:rsidR="0085299E" w:rsidRPr="00C244B9">
        <w:rPr>
          <w:iCs/>
          <w:sz w:val="22"/>
          <w:szCs w:val="22"/>
          <w:lang w:val="en-GB"/>
        </w:rPr>
        <w:t>differ</w:t>
      </w:r>
      <w:r w:rsidR="006A233B" w:rsidRPr="00C244B9">
        <w:rPr>
          <w:iCs/>
          <w:sz w:val="22"/>
          <w:szCs w:val="22"/>
          <w:lang w:val="en-GB"/>
        </w:rPr>
        <w:t>s</w:t>
      </w:r>
      <w:r w:rsidR="0085299E" w:rsidRPr="00C244B9">
        <w:rPr>
          <w:iCs/>
          <w:sz w:val="22"/>
          <w:szCs w:val="22"/>
          <w:lang w:val="en-GB"/>
        </w:rPr>
        <w:t xml:space="preserve"> between AE MNEs and EE MNEs</w:t>
      </w:r>
      <w:r w:rsidR="00072716" w:rsidRPr="00C244B9">
        <w:rPr>
          <w:iCs/>
          <w:sz w:val="22"/>
          <w:szCs w:val="22"/>
          <w:lang w:val="en-GB"/>
        </w:rPr>
        <w:t xml:space="preserve">. </w:t>
      </w:r>
      <w:r w:rsidR="00747B2D" w:rsidRPr="00C244B9">
        <w:rPr>
          <w:sz w:val="22"/>
          <w:szCs w:val="22"/>
        </w:rPr>
        <w:t>Focusing on emerging economies,</w:t>
      </w:r>
      <w:r w:rsidR="00045445" w:rsidRPr="00C244B9">
        <w:rPr>
          <w:sz w:val="22"/>
          <w:szCs w:val="22"/>
          <w:lang w:val="en-GB"/>
        </w:rPr>
        <w:t xml:space="preserve"> Hobdari</w:t>
      </w:r>
      <w:r w:rsidR="00045445" w:rsidRPr="00C244B9">
        <w:rPr>
          <w:sz w:val="22"/>
          <w:szCs w:val="22"/>
        </w:rPr>
        <w:t>, Gammeltoft, Li &amp; Meyer (2017)</w:t>
      </w:r>
      <w:r w:rsidR="00747B2D" w:rsidRPr="00C244B9">
        <w:rPr>
          <w:sz w:val="22"/>
          <w:szCs w:val="22"/>
        </w:rPr>
        <w:t xml:space="preserve"> model the relationship between home country resource munificence and institutions and link these first to the domestic business eco-system and then to outward investment strategies. They propose that interactions between firms in the home economy affect</w:t>
      </w:r>
      <w:r>
        <w:rPr>
          <w:sz w:val="22"/>
          <w:szCs w:val="22"/>
        </w:rPr>
        <w:t>s</w:t>
      </w:r>
      <w:r w:rsidR="00747B2D" w:rsidRPr="00C244B9">
        <w:rPr>
          <w:sz w:val="22"/>
          <w:szCs w:val="22"/>
        </w:rPr>
        <w:t xml:space="preserve"> internationalization because companies in a given country of origin share resources, coordinate actions and serve as each other’s role model</w:t>
      </w:r>
      <w:r w:rsidR="006A233B" w:rsidRPr="00C244B9">
        <w:rPr>
          <w:sz w:val="22"/>
          <w:szCs w:val="22"/>
        </w:rPr>
        <w:t>s</w:t>
      </w:r>
      <w:r w:rsidR="00747B2D" w:rsidRPr="00C244B9">
        <w:rPr>
          <w:sz w:val="22"/>
          <w:szCs w:val="22"/>
        </w:rPr>
        <w:t xml:space="preserve">. Strategies of outward investment thus reflect the competition and collaboration in their home country business eco-system. </w:t>
      </w:r>
      <w:r w:rsidR="00FF44B2" w:rsidRPr="00C244B9">
        <w:rPr>
          <w:sz w:val="22"/>
          <w:szCs w:val="22"/>
        </w:rPr>
        <w:t xml:space="preserve">This argument is summarized in Figure 1. </w:t>
      </w:r>
    </w:p>
    <w:p w14:paraId="4EF49A75" w14:textId="46715B68" w:rsidR="006A233B" w:rsidRPr="00C244B9" w:rsidRDefault="006A233B" w:rsidP="00D34638">
      <w:pPr>
        <w:spacing w:line="480" w:lineRule="auto"/>
        <w:jc w:val="center"/>
        <w:rPr>
          <w:i/>
          <w:sz w:val="22"/>
          <w:szCs w:val="22"/>
        </w:rPr>
      </w:pPr>
      <w:r w:rsidRPr="00C244B9">
        <w:rPr>
          <w:i/>
          <w:sz w:val="22"/>
          <w:szCs w:val="22"/>
        </w:rPr>
        <w:t xml:space="preserve"> insert Figure 1 here </w:t>
      </w:r>
    </w:p>
    <w:p w14:paraId="7C90A541" w14:textId="3DFB3034" w:rsidR="002546C0" w:rsidRPr="00C244B9" w:rsidRDefault="005358BA" w:rsidP="002546C0">
      <w:pPr>
        <w:spacing w:line="480" w:lineRule="auto"/>
        <w:ind w:firstLine="284"/>
        <w:rPr>
          <w:sz w:val="22"/>
          <w:szCs w:val="22"/>
          <w:lang w:val="en-GB"/>
        </w:rPr>
      </w:pPr>
      <w:r w:rsidRPr="00C244B9">
        <w:rPr>
          <w:sz w:val="22"/>
          <w:szCs w:val="22"/>
          <w:lang w:val="en-GB"/>
        </w:rPr>
        <w:t>The OLI paradigm (Dunning</w:t>
      </w:r>
      <w:r w:rsidR="006A233B" w:rsidRPr="00C244B9">
        <w:rPr>
          <w:sz w:val="22"/>
          <w:szCs w:val="22"/>
          <w:lang w:val="en-GB"/>
        </w:rPr>
        <w:t>, 1993)</w:t>
      </w:r>
      <w:r w:rsidRPr="00C244B9">
        <w:rPr>
          <w:sz w:val="22"/>
          <w:szCs w:val="22"/>
          <w:lang w:val="en-GB"/>
        </w:rPr>
        <w:t xml:space="preserve"> suggests that </w:t>
      </w:r>
      <w:r w:rsidR="00FF44B2" w:rsidRPr="00C244B9">
        <w:rPr>
          <w:sz w:val="22"/>
          <w:szCs w:val="22"/>
          <w:lang w:val="en-GB"/>
        </w:rPr>
        <w:t xml:space="preserve">MNEs possess some ownership advantages </w:t>
      </w:r>
      <w:r w:rsidRPr="00C244B9">
        <w:rPr>
          <w:sz w:val="22"/>
          <w:szCs w:val="22"/>
          <w:lang w:val="en-GB"/>
        </w:rPr>
        <w:t xml:space="preserve">that </w:t>
      </w:r>
      <w:r w:rsidR="00FF44B2" w:rsidRPr="00C244B9">
        <w:rPr>
          <w:sz w:val="22"/>
          <w:szCs w:val="22"/>
          <w:lang w:val="en-GB"/>
        </w:rPr>
        <w:t xml:space="preserve">allow them to overcome the liabilities of foreignness associated with operating in </w:t>
      </w:r>
      <w:r w:rsidR="00B75927">
        <w:rPr>
          <w:sz w:val="22"/>
          <w:szCs w:val="22"/>
          <w:lang w:val="en-GB"/>
        </w:rPr>
        <w:t>unfamiliar</w:t>
      </w:r>
      <w:r w:rsidR="00B41998" w:rsidRPr="00C244B9">
        <w:rPr>
          <w:sz w:val="22"/>
          <w:szCs w:val="22"/>
          <w:lang w:val="en-GB"/>
        </w:rPr>
        <w:t xml:space="preserve"> host business contexts. We argue that this proposition appl</w:t>
      </w:r>
      <w:r w:rsidRPr="00C244B9">
        <w:rPr>
          <w:sz w:val="22"/>
          <w:szCs w:val="22"/>
          <w:lang w:val="en-GB"/>
        </w:rPr>
        <w:t>ies</w:t>
      </w:r>
      <w:r w:rsidR="00B41998" w:rsidRPr="00C244B9">
        <w:rPr>
          <w:sz w:val="22"/>
          <w:szCs w:val="22"/>
          <w:lang w:val="en-GB"/>
        </w:rPr>
        <w:t xml:space="preserve"> equal</w:t>
      </w:r>
      <w:r w:rsidR="009A570D">
        <w:rPr>
          <w:sz w:val="22"/>
          <w:szCs w:val="22"/>
          <w:lang w:val="en-GB"/>
        </w:rPr>
        <w:t>ly</w:t>
      </w:r>
      <w:r w:rsidR="00B41998" w:rsidRPr="00C244B9">
        <w:rPr>
          <w:sz w:val="22"/>
          <w:szCs w:val="22"/>
          <w:lang w:val="en-GB"/>
        </w:rPr>
        <w:t xml:space="preserve"> to AE and EE MNEs, and thus </w:t>
      </w:r>
      <w:r w:rsidR="006A233B" w:rsidRPr="00C244B9">
        <w:rPr>
          <w:sz w:val="22"/>
          <w:szCs w:val="22"/>
          <w:lang w:val="en-GB"/>
        </w:rPr>
        <w:t>E</w:t>
      </w:r>
      <w:r w:rsidR="00FF44B2" w:rsidRPr="00C244B9">
        <w:rPr>
          <w:sz w:val="22"/>
          <w:szCs w:val="22"/>
          <w:lang w:val="en-GB"/>
        </w:rPr>
        <w:t>E</w:t>
      </w:r>
      <w:r w:rsidR="006A233B" w:rsidRPr="00C244B9">
        <w:rPr>
          <w:sz w:val="22"/>
          <w:szCs w:val="22"/>
          <w:lang w:val="en-GB"/>
        </w:rPr>
        <w:t xml:space="preserve"> </w:t>
      </w:r>
      <w:r w:rsidR="00FF44B2" w:rsidRPr="00C244B9">
        <w:rPr>
          <w:sz w:val="22"/>
          <w:szCs w:val="22"/>
          <w:lang w:val="en-GB"/>
        </w:rPr>
        <w:t>MNEs must possess some s</w:t>
      </w:r>
      <w:r w:rsidR="00B41998" w:rsidRPr="00C244B9">
        <w:rPr>
          <w:sz w:val="22"/>
          <w:szCs w:val="22"/>
          <w:lang w:val="en-GB"/>
        </w:rPr>
        <w:t xml:space="preserve">ource of competitive advantage. </w:t>
      </w:r>
      <w:r w:rsidR="009A570D">
        <w:rPr>
          <w:sz w:val="22"/>
          <w:szCs w:val="22"/>
          <w:lang w:val="en-GB"/>
        </w:rPr>
        <w:t>However, these ownership advantages are subject to c</w:t>
      </w:r>
      <w:r w:rsidR="00B41998" w:rsidRPr="00C244B9">
        <w:rPr>
          <w:sz w:val="22"/>
          <w:szCs w:val="22"/>
          <w:lang w:val="en-GB"/>
        </w:rPr>
        <w:t xml:space="preserve">ountry of origin effects </w:t>
      </w:r>
      <w:r w:rsidR="00B75927">
        <w:rPr>
          <w:sz w:val="22"/>
          <w:szCs w:val="22"/>
          <w:lang w:val="en-GB"/>
        </w:rPr>
        <w:t xml:space="preserve">(Narula, 2012). In particular, </w:t>
      </w:r>
      <w:r w:rsidR="00B41998" w:rsidRPr="00C244B9">
        <w:rPr>
          <w:sz w:val="22"/>
          <w:szCs w:val="22"/>
          <w:lang w:val="en-GB"/>
        </w:rPr>
        <w:t xml:space="preserve">as </w:t>
      </w:r>
      <w:r w:rsidR="00B22496">
        <w:rPr>
          <w:sz w:val="22"/>
          <w:szCs w:val="22"/>
          <w:lang w:val="en-GB"/>
        </w:rPr>
        <w:t>indicated</w:t>
      </w:r>
      <w:r w:rsidR="00B22496" w:rsidRPr="00C244B9">
        <w:rPr>
          <w:sz w:val="22"/>
          <w:szCs w:val="22"/>
          <w:lang w:val="en-GB"/>
        </w:rPr>
        <w:t xml:space="preserve"> </w:t>
      </w:r>
      <w:r w:rsidR="00B41998" w:rsidRPr="00C244B9">
        <w:rPr>
          <w:sz w:val="22"/>
          <w:szCs w:val="22"/>
          <w:lang w:val="en-GB"/>
        </w:rPr>
        <w:t xml:space="preserve">in Figure 1, international </w:t>
      </w:r>
      <w:r w:rsidR="00B22496">
        <w:rPr>
          <w:sz w:val="22"/>
          <w:szCs w:val="22"/>
          <w:lang w:val="en-GB"/>
        </w:rPr>
        <w:t>management</w:t>
      </w:r>
      <w:r w:rsidR="00B22496" w:rsidRPr="00C244B9">
        <w:rPr>
          <w:sz w:val="22"/>
          <w:szCs w:val="22"/>
          <w:lang w:val="en-GB"/>
        </w:rPr>
        <w:t xml:space="preserve"> </w:t>
      </w:r>
      <w:r w:rsidR="00B41998" w:rsidRPr="00C244B9">
        <w:rPr>
          <w:sz w:val="22"/>
          <w:szCs w:val="22"/>
          <w:lang w:val="en-GB"/>
        </w:rPr>
        <w:t>exper</w:t>
      </w:r>
      <w:r w:rsidR="00B22496">
        <w:rPr>
          <w:sz w:val="22"/>
          <w:szCs w:val="22"/>
          <w:lang w:val="en-GB"/>
        </w:rPr>
        <w:t>tise is</w:t>
      </w:r>
      <w:r w:rsidR="00B41998" w:rsidRPr="00C244B9">
        <w:rPr>
          <w:sz w:val="22"/>
          <w:szCs w:val="22"/>
          <w:lang w:val="en-GB"/>
        </w:rPr>
        <w:t xml:space="preserve"> developed interdependently </w:t>
      </w:r>
      <w:r w:rsidR="00B22496">
        <w:rPr>
          <w:sz w:val="22"/>
          <w:szCs w:val="22"/>
          <w:lang w:val="en-GB"/>
        </w:rPr>
        <w:t>between</w:t>
      </w:r>
      <w:r w:rsidR="00B22496" w:rsidRPr="00C244B9">
        <w:rPr>
          <w:sz w:val="22"/>
          <w:szCs w:val="22"/>
          <w:lang w:val="en-GB"/>
        </w:rPr>
        <w:t xml:space="preserve"> </w:t>
      </w:r>
      <w:r w:rsidR="00B41998" w:rsidRPr="00C244B9">
        <w:rPr>
          <w:sz w:val="22"/>
          <w:szCs w:val="22"/>
          <w:lang w:val="en-GB"/>
        </w:rPr>
        <w:t>the national economy,</w:t>
      </w:r>
      <w:r w:rsidR="00C275ED" w:rsidRPr="00C244B9">
        <w:rPr>
          <w:sz w:val="22"/>
          <w:szCs w:val="22"/>
          <w:lang w:val="en-GB"/>
        </w:rPr>
        <w:t xml:space="preserve"> the business eco-</w:t>
      </w:r>
      <w:r w:rsidR="00B41998" w:rsidRPr="00C244B9">
        <w:rPr>
          <w:sz w:val="22"/>
          <w:szCs w:val="22"/>
          <w:lang w:val="en-GB"/>
        </w:rPr>
        <w:t xml:space="preserve">system and the enterprise itself. </w:t>
      </w:r>
    </w:p>
    <w:p w14:paraId="2E17A4B1" w14:textId="74850CBD" w:rsidR="00C275ED" w:rsidRPr="00C244B9" w:rsidRDefault="00B41998" w:rsidP="002546C0">
      <w:pPr>
        <w:spacing w:line="480" w:lineRule="auto"/>
        <w:ind w:firstLine="284"/>
        <w:rPr>
          <w:sz w:val="22"/>
          <w:szCs w:val="22"/>
          <w:lang w:val="en-GB"/>
        </w:rPr>
      </w:pPr>
      <w:r w:rsidRPr="00C244B9">
        <w:rPr>
          <w:sz w:val="22"/>
          <w:szCs w:val="22"/>
          <w:lang w:val="en-GB"/>
        </w:rPr>
        <w:lastRenderedPageBreak/>
        <w:t>The national economy provides the fundamental resources, capabilities and institutions upon which firms can draw. Critical among these for MNEs are the education system including the levels of attainment</w:t>
      </w:r>
      <w:r w:rsidR="006A233B" w:rsidRPr="00C244B9">
        <w:rPr>
          <w:sz w:val="22"/>
          <w:szCs w:val="22"/>
          <w:lang w:val="en-GB"/>
        </w:rPr>
        <w:t xml:space="preserve"> of</w:t>
      </w:r>
      <w:r w:rsidRPr="00C244B9">
        <w:rPr>
          <w:sz w:val="22"/>
          <w:szCs w:val="22"/>
          <w:lang w:val="en-GB"/>
        </w:rPr>
        <w:t>, for example</w:t>
      </w:r>
      <w:r w:rsidR="006A233B" w:rsidRPr="00C244B9">
        <w:rPr>
          <w:sz w:val="22"/>
          <w:szCs w:val="22"/>
          <w:lang w:val="en-GB"/>
        </w:rPr>
        <w:t>,</w:t>
      </w:r>
      <w:r w:rsidRPr="00C244B9">
        <w:rPr>
          <w:sz w:val="22"/>
          <w:szCs w:val="22"/>
          <w:lang w:val="en-GB"/>
        </w:rPr>
        <w:t xml:space="preserve"> technical, managerial </w:t>
      </w:r>
      <w:r w:rsidR="002546C0" w:rsidRPr="00C244B9">
        <w:rPr>
          <w:sz w:val="22"/>
          <w:szCs w:val="22"/>
          <w:lang w:val="en-GB"/>
        </w:rPr>
        <w:t xml:space="preserve">and </w:t>
      </w:r>
      <w:r w:rsidRPr="00C244B9">
        <w:rPr>
          <w:sz w:val="22"/>
          <w:szCs w:val="22"/>
          <w:lang w:val="en-GB"/>
        </w:rPr>
        <w:t>language skills; the financial system with its implications on the cost of domestic as against foreign capital; and the property rights system, notably the structure of corporate governance and regulation (</w:t>
      </w:r>
      <w:r w:rsidR="00C275ED" w:rsidRPr="00C244B9">
        <w:rPr>
          <w:sz w:val="22"/>
          <w:szCs w:val="22"/>
        </w:rPr>
        <w:t>Gugler, Mueller, Peev,</w:t>
      </w:r>
      <w:r w:rsidR="006A233B" w:rsidRPr="00C244B9">
        <w:rPr>
          <w:sz w:val="22"/>
          <w:szCs w:val="22"/>
        </w:rPr>
        <w:t xml:space="preserve"> </w:t>
      </w:r>
      <w:r w:rsidR="00C275ED" w:rsidRPr="00C244B9">
        <w:rPr>
          <w:sz w:val="22"/>
          <w:szCs w:val="22"/>
        </w:rPr>
        <w:t>&amp; Segalla, 2013</w:t>
      </w:r>
      <w:r w:rsidRPr="00C244B9">
        <w:rPr>
          <w:sz w:val="22"/>
          <w:szCs w:val="22"/>
          <w:lang w:val="en-GB"/>
        </w:rPr>
        <w:t xml:space="preserve">). </w:t>
      </w:r>
      <w:r w:rsidR="00C275ED" w:rsidRPr="00C244B9">
        <w:rPr>
          <w:sz w:val="22"/>
          <w:szCs w:val="22"/>
          <w:lang w:val="en-GB"/>
        </w:rPr>
        <w:t>In home economies w</w:t>
      </w:r>
      <w:r w:rsidR="00B75927">
        <w:rPr>
          <w:sz w:val="22"/>
          <w:szCs w:val="22"/>
          <w:lang w:val="en-GB"/>
        </w:rPr>
        <w:t>ith low</w:t>
      </w:r>
      <w:r w:rsidR="00C275ED" w:rsidRPr="00C244B9">
        <w:rPr>
          <w:sz w:val="22"/>
          <w:szCs w:val="22"/>
          <w:lang w:val="en-GB"/>
        </w:rPr>
        <w:t xml:space="preserve"> resource munificence</w:t>
      </w:r>
      <w:r w:rsidR="00B75927">
        <w:rPr>
          <w:sz w:val="22"/>
          <w:szCs w:val="22"/>
          <w:lang w:val="en-GB"/>
        </w:rPr>
        <w:t>,</w:t>
      </w:r>
      <w:r w:rsidR="00C275ED" w:rsidRPr="00C244B9">
        <w:rPr>
          <w:sz w:val="22"/>
          <w:szCs w:val="22"/>
          <w:lang w:val="en-GB"/>
        </w:rPr>
        <w:t xml:space="preserve"> MNEs seeking to internationalise may find it difficult to recruit trained or competent managers for their overseas subsidiaries; finances for global expansion</w:t>
      </w:r>
      <w:r w:rsidR="00C275ED" w:rsidRPr="00C244B9">
        <w:rPr>
          <w:rStyle w:val="FootnoteReference"/>
          <w:sz w:val="22"/>
          <w:szCs w:val="22"/>
          <w:lang w:val="en-GB"/>
        </w:rPr>
        <w:footnoteReference w:id="2"/>
      </w:r>
      <w:r w:rsidR="00C275ED" w:rsidRPr="00C244B9">
        <w:rPr>
          <w:sz w:val="22"/>
          <w:szCs w:val="22"/>
          <w:lang w:val="en-GB"/>
        </w:rPr>
        <w:t xml:space="preserve"> or </w:t>
      </w:r>
      <w:r w:rsidR="00B75927">
        <w:rPr>
          <w:sz w:val="22"/>
          <w:szCs w:val="22"/>
          <w:lang w:val="en-GB"/>
        </w:rPr>
        <w:t xml:space="preserve">governance structures </w:t>
      </w:r>
      <w:r w:rsidR="00C275ED" w:rsidRPr="00C244B9">
        <w:rPr>
          <w:sz w:val="22"/>
          <w:szCs w:val="22"/>
          <w:lang w:val="en-GB"/>
        </w:rPr>
        <w:t xml:space="preserve">to prevent management from seeking </w:t>
      </w:r>
      <w:r w:rsidR="00B75927">
        <w:rPr>
          <w:sz w:val="22"/>
          <w:szCs w:val="22"/>
          <w:lang w:val="en-GB"/>
        </w:rPr>
        <w:t xml:space="preserve">(domestic) </w:t>
      </w:r>
      <w:r w:rsidR="00C275ED" w:rsidRPr="00C244B9">
        <w:rPr>
          <w:sz w:val="22"/>
          <w:szCs w:val="22"/>
          <w:lang w:val="en-GB"/>
        </w:rPr>
        <w:t xml:space="preserve">private benefits rather than international opportunities (Estrin, Meyer, Nielsen &amp; Nielsen, 2016). </w:t>
      </w:r>
      <w:r w:rsidR="00646650" w:rsidRPr="00C244B9">
        <w:rPr>
          <w:sz w:val="22"/>
          <w:szCs w:val="22"/>
          <w:lang w:val="en-GB"/>
        </w:rPr>
        <w:t>We develop these arguments below.</w:t>
      </w:r>
    </w:p>
    <w:p w14:paraId="374FA246" w14:textId="2F46976A" w:rsidR="009A570D" w:rsidRDefault="00C275ED" w:rsidP="005A3198">
      <w:pPr>
        <w:spacing w:line="480" w:lineRule="auto"/>
        <w:ind w:firstLine="284"/>
        <w:rPr>
          <w:sz w:val="22"/>
          <w:szCs w:val="22"/>
        </w:rPr>
      </w:pPr>
      <w:r w:rsidRPr="00C244B9">
        <w:rPr>
          <w:sz w:val="22"/>
          <w:szCs w:val="22"/>
          <w:lang w:val="en-GB"/>
        </w:rPr>
        <w:t>Further, the internationalisation process has public good properties, the importance of which depend</w:t>
      </w:r>
      <w:r w:rsidR="00B75927">
        <w:rPr>
          <w:sz w:val="22"/>
          <w:szCs w:val="22"/>
          <w:lang w:val="en-GB"/>
        </w:rPr>
        <w:t>s</w:t>
      </w:r>
      <w:r w:rsidRPr="00C244B9">
        <w:rPr>
          <w:sz w:val="22"/>
          <w:szCs w:val="22"/>
          <w:lang w:val="en-GB"/>
        </w:rPr>
        <w:t xml:space="preserve"> on the munificence of the home country environment and </w:t>
      </w:r>
      <w:r w:rsidR="002546C0" w:rsidRPr="00C244B9">
        <w:rPr>
          <w:sz w:val="22"/>
          <w:szCs w:val="22"/>
          <w:lang w:val="en-GB"/>
        </w:rPr>
        <w:t xml:space="preserve">its </w:t>
      </w:r>
      <w:r w:rsidRPr="00C244B9">
        <w:rPr>
          <w:sz w:val="22"/>
          <w:szCs w:val="22"/>
          <w:lang w:val="en-GB"/>
        </w:rPr>
        <w:t xml:space="preserve">business eco-system (Hennart, 2009; </w:t>
      </w:r>
      <w:r w:rsidRPr="00C244B9">
        <w:rPr>
          <w:sz w:val="22"/>
          <w:szCs w:val="22"/>
        </w:rPr>
        <w:t>Gugler, et al, 2013); hence </w:t>
      </w:r>
      <w:r w:rsidRPr="00C244B9">
        <w:rPr>
          <w:sz w:val="22"/>
          <w:szCs w:val="22"/>
          <w:lang w:val="en-GB"/>
        </w:rPr>
        <w:t>firm internationalization is interdependent with the internationalization of other actors in the home environment. Experience in operating in international environments critically facilitates the assessment of opportunities and risks, and reduces the marginal costs of further entries (Buckley, Elia &amp; Kafouros, 2015; Clarke, Tamaschke, &amp; Liesch, 2012). Such experience can to some extent be shared within business networks, especially in networks of companies from the same origins (Belderbos et al., 2011; Manolova et al., 2010; Tan &amp; Meyer, 2011). Hence, the munificence of the home environment is critical for internationalising firms.</w:t>
      </w:r>
      <w:r w:rsidRPr="00C244B9">
        <w:rPr>
          <w:sz w:val="22"/>
          <w:szCs w:val="22"/>
        </w:rPr>
        <w:t xml:space="preserve"> </w:t>
      </w:r>
    </w:p>
    <w:p w14:paraId="3A555661" w14:textId="112880CA" w:rsidR="009A570D" w:rsidRPr="009A570D" w:rsidRDefault="009A570D" w:rsidP="009A570D">
      <w:pPr>
        <w:spacing w:line="480" w:lineRule="auto"/>
        <w:rPr>
          <w:b/>
          <w:i/>
          <w:sz w:val="22"/>
          <w:szCs w:val="22"/>
        </w:rPr>
      </w:pPr>
      <w:r w:rsidRPr="009A570D">
        <w:rPr>
          <w:b/>
          <w:i/>
          <w:sz w:val="22"/>
          <w:szCs w:val="22"/>
        </w:rPr>
        <w:t>Emerging economies as MNE home countries</w:t>
      </w:r>
    </w:p>
    <w:p w14:paraId="558AB82C" w14:textId="455FF19D" w:rsidR="001F148E" w:rsidRPr="00C244B9" w:rsidRDefault="00A57EA5" w:rsidP="005A3198">
      <w:pPr>
        <w:spacing w:line="480" w:lineRule="auto"/>
        <w:ind w:firstLine="284"/>
        <w:rPr>
          <w:sz w:val="22"/>
          <w:szCs w:val="22"/>
        </w:rPr>
      </w:pPr>
      <w:r w:rsidRPr="00C244B9">
        <w:rPr>
          <w:sz w:val="22"/>
          <w:szCs w:val="22"/>
        </w:rPr>
        <w:lastRenderedPageBreak/>
        <w:t>We propose that for the most part, th</w:t>
      </w:r>
      <w:r w:rsidR="00B75927">
        <w:rPr>
          <w:sz w:val="22"/>
          <w:szCs w:val="22"/>
        </w:rPr>
        <w:t>e resource</w:t>
      </w:r>
      <w:r w:rsidRPr="00C244B9">
        <w:rPr>
          <w:sz w:val="22"/>
          <w:szCs w:val="22"/>
        </w:rPr>
        <w:t xml:space="preserve"> munificence </w:t>
      </w:r>
      <w:r w:rsidR="00B22496">
        <w:rPr>
          <w:sz w:val="22"/>
          <w:szCs w:val="22"/>
        </w:rPr>
        <w:t>is weaker</w:t>
      </w:r>
      <w:r w:rsidRPr="00C244B9">
        <w:rPr>
          <w:sz w:val="22"/>
          <w:szCs w:val="22"/>
        </w:rPr>
        <w:t xml:space="preserve"> </w:t>
      </w:r>
      <w:r w:rsidR="00B22496">
        <w:rPr>
          <w:sz w:val="22"/>
          <w:szCs w:val="22"/>
        </w:rPr>
        <w:t xml:space="preserve">in </w:t>
      </w:r>
      <w:r w:rsidR="006A233B" w:rsidRPr="00C244B9">
        <w:rPr>
          <w:sz w:val="22"/>
          <w:szCs w:val="22"/>
        </w:rPr>
        <w:t>EE</w:t>
      </w:r>
      <w:r w:rsidR="00B22496">
        <w:rPr>
          <w:sz w:val="22"/>
          <w:szCs w:val="22"/>
        </w:rPr>
        <w:t>s</w:t>
      </w:r>
      <w:r w:rsidRPr="00C244B9">
        <w:rPr>
          <w:sz w:val="22"/>
          <w:szCs w:val="22"/>
        </w:rPr>
        <w:t xml:space="preserve"> than </w:t>
      </w:r>
      <w:r w:rsidR="00B22496">
        <w:rPr>
          <w:sz w:val="22"/>
          <w:szCs w:val="22"/>
        </w:rPr>
        <w:t>in</w:t>
      </w:r>
      <w:r w:rsidRPr="00C244B9">
        <w:rPr>
          <w:sz w:val="22"/>
          <w:szCs w:val="22"/>
        </w:rPr>
        <w:t xml:space="preserve"> </w:t>
      </w:r>
      <w:r w:rsidR="006A233B" w:rsidRPr="00C244B9">
        <w:rPr>
          <w:sz w:val="22"/>
          <w:szCs w:val="22"/>
        </w:rPr>
        <w:t>AE</w:t>
      </w:r>
      <w:r w:rsidR="00B22496">
        <w:rPr>
          <w:sz w:val="22"/>
          <w:szCs w:val="22"/>
        </w:rPr>
        <w:t>s</w:t>
      </w:r>
      <w:r w:rsidRPr="00C244B9">
        <w:rPr>
          <w:sz w:val="22"/>
          <w:szCs w:val="22"/>
        </w:rPr>
        <w:t xml:space="preserve">, and that this </w:t>
      </w:r>
      <w:r w:rsidR="00B22496">
        <w:rPr>
          <w:sz w:val="22"/>
          <w:szCs w:val="22"/>
        </w:rPr>
        <w:t>has</w:t>
      </w:r>
      <w:r w:rsidRPr="00C244B9">
        <w:rPr>
          <w:sz w:val="22"/>
          <w:szCs w:val="22"/>
        </w:rPr>
        <w:t xml:space="preserve"> implications for strategic decisions of MNEs </w:t>
      </w:r>
      <w:r w:rsidR="002546C0" w:rsidRPr="00C244B9">
        <w:rPr>
          <w:sz w:val="22"/>
          <w:szCs w:val="22"/>
        </w:rPr>
        <w:t>from respectively EEs and AE</w:t>
      </w:r>
      <w:r w:rsidRPr="00C244B9">
        <w:rPr>
          <w:sz w:val="22"/>
          <w:szCs w:val="22"/>
        </w:rPr>
        <w:t xml:space="preserve">s. Specifically, while all MNEs have ownership advantages to help them overcome </w:t>
      </w:r>
      <w:r w:rsidR="00B75927">
        <w:rPr>
          <w:sz w:val="22"/>
          <w:szCs w:val="22"/>
        </w:rPr>
        <w:t>their</w:t>
      </w:r>
      <w:r w:rsidRPr="00C244B9">
        <w:rPr>
          <w:sz w:val="22"/>
          <w:szCs w:val="22"/>
        </w:rPr>
        <w:t xml:space="preserve"> liability of foreignness</w:t>
      </w:r>
      <w:r w:rsidR="00B75927">
        <w:rPr>
          <w:sz w:val="22"/>
          <w:szCs w:val="22"/>
        </w:rPr>
        <w:t xml:space="preserve"> in host economies</w:t>
      </w:r>
      <w:r w:rsidRPr="00C244B9">
        <w:rPr>
          <w:sz w:val="22"/>
          <w:szCs w:val="22"/>
        </w:rPr>
        <w:t>, these will be less marked for MNEs from EEs than AEs</w:t>
      </w:r>
      <w:r w:rsidR="00B75927">
        <w:rPr>
          <w:sz w:val="22"/>
          <w:szCs w:val="22"/>
        </w:rPr>
        <w:t xml:space="preserve"> (Klossek et al., 2012; Narula, 2012)</w:t>
      </w:r>
      <w:r w:rsidRPr="00C244B9">
        <w:rPr>
          <w:sz w:val="22"/>
          <w:szCs w:val="22"/>
        </w:rPr>
        <w:t>. Thus, all MNEs face barriers to entry in their host economies, a</w:t>
      </w:r>
      <w:r w:rsidR="002546C0" w:rsidRPr="00C244B9">
        <w:rPr>
          <w:sz w:val="22"/>
          <w:szCs w:val="22"/>
        </w:rPr>
        <w:t xml:space="preserve">nd seek </w:t>
      </w:r>
      <w:r w:rsidRPr="00C244B9">
        <w:rPr>
          <w:sz w:val="22"/>
          <w:szCs w:val="22"/>
        </w:rPr>
        <w:t>resource</w:t>
      </w:r>
      <w:r w:rsidR="002546C0" w:rsidRPr="00C244B9">
        <w:rPr>
          <w:sz w:val="22"/>
          <w:szCs w:val="22"/>
        </w:rPr>
        <w:t>s</w:t>
      </w:r>
      <w:r w:rsidRPr="00C244B9">
        <w:rPr>
          <w:sz w:val="22"/>
          <w:szCs w:val="22"/>
        </w:rPr>
        <w:t xml:space="preserve"> that help them to exploit their particular ownership advantages. The impact of home country munificence is to exacerbate those barriers to entry, or to enhance those attractors. Hence</w:t>
      </w:r>
      <w:r w:rsidR="005358BA" w:rsidRPr="00C244B9">
        <w:rPr>
          <w:sz w:val="22"/>
          <w:szCs w:val="22"/>
        </w:rPr>
        <w:t>,</w:t>
      </w:r>
      <w:r w:rsidRPr="00C244B9">
        <w:rPr>
          <w:sz w:val="22"/>
          <w:szCs w:val="22"/>
        </w:rPr>
        <w:t xml:space="preserve"> in our hypothesizing and subsequent empirical work we explore ways in which, EE MNEs</w:t>
      </w:r>
      <w:r w:rsidR="00BD337C">
        <w:rPr>
          <w:sz w:val="22"/>
          <w:szCs w:val="22"/>
        </w:rPr>
        <w:t>’</w:t>
      </w:r>
      <w:r w:rsidRPr="00C244B9">
        <w:rPr>
          <w:sz w:val="22"/>
          <w:szCs w:val="22"/>
        </w:rPr>
        <w:t xml:space="preserve"> location choice</w:t>
      </w:r>
      <w:r w:rsidR="002546C0" w:rsidRPr="00C244B9">
        <w:rPr>
          <w:sz w:val="22"/>
          <w:szCs w:val="22"/>
        </w:rPr>
        <w:t>s</w:t>
      </w:r>
      <w:r w:rsidRPr="00C244B9">
        <w:rPr>
          <w:sz w:val="22"/>
          <w:szCs w:val="22"/>
        </w:rPr>
        <w:t xml:space="preserve"> are driven by their lesser ability to overcome their liability of foreignness</w:t>
      </w:r>
      <w:r w:rsidRPr="00E90A30">
        <w:rPr>
          <w:sz w:val="22"/>
          <w:szCs w:val="22"/>
        </w:rPr>
        <w:t>,</w:t>
      </w:r>
      <w:r w:rsidRPr="00C244B9">
        <w:rPr>
          <w:sz w:val="22"/>
          <w:szCs w:val="22"/>
        </w:rPr>
        <w:t xml:space="preserve"> and their need to exploit more intensively their more limited areas of advantage.</w:t>
      </w:r>
    </w:p>
    <w:p w14:paraId="5E43A407" w14:textId="7E4EF1C6" w:rsidR="006A233B" w:rsidRPr="00C244B9" w:rsidRDefault="006A233B" w:rsidP="006A233B">
      <w:pPr>
        <w:spacing w:line="480" w:lineRule="auto"/>
        <w:ind w:firstLine="284"/>
        <w:rPr>
          <w:sz w:val="22"/>
          <w:szCs w:val="22"/>
          <w:lang w:val="en-GB"/>
        </w:rPr>
      </w:pPr>
      <w:r w:rsidRPr="00C244B9">
        <w:rPr>
          <w:sz w:val="22"/>
          <w:szCs w:val="22"/>
          <w:lang w:val="en-GB"/>
        </w:rPr>
        <w:t>EE business environments are normally less munificent in t</w:t>
      </w:r>
      <w:r w:rsidR="00B75927">
        <w:rPr>
          <w:sz w:val="22"/>
          <w:szCs w:val="22"/>
          <w:lang w:val="en-GB"/>
        </w:rPr>
        <w:t>hree</w:t>
      </w:r>
      <w:r w:rsidRPr="00C244B9">
        <w:rPr>
          <w:sz w:val="22"/>
          <w:szCs w:val="22"/>
          <w:lang w:val="en-GB"/>
        </w:rPr>
        <w:t xml:space="preserve"> aspects that fundamentally affect FDI location decisions: knowledge-based resources</w:t>
      </w:r>
      <w:r w:rsidR="00B75927">
        <w:rPr>
          <w:sz w:val="22"/>
          <w:szCs w:val="22"/>
          <w:lang w:val="en-GB"/>
        </w:rPr>
        <w:t xml:space="preserve">, </w:t>
      </w:r>
      <w:r w:rsidRPr="00C244B9">
        <w:rPr>
          <w:sz w:val="22"/>
          <w:szCs w:val="22"/>
          <w:lang w:val="en-GB"/>
        </w:rPr>
        <w:t>international management capabilities</w:t>
      </w:r>
      <w:r w:rsidR="00B75927">
        <w:rPr>
          <w:sz w:val="22"/>
          <w:szCs w:val="22"/>
          <w:lang w:val="en-GB"/>
        </w:rPr>
        <w:t xml:space="preserve"> and networks. </w:t>
      </w:r>
      <w:r w:rsidR="00110ABE" w:rsidRPr="00C244B9">
        <w:rPr>
          <w:bCs/>
          <w:sz w:val="22"/>
          <w:szCs w:val="22"/>
          <w:lang w:val="en-GB"/>
        </w:rPr>
        <w:t xml:space="preserve">First, </w:t>
      </w:r>
      <w:r w:rsidR="00B75927">
        <w:rPr>
          <w:bCs/>
          <w:sz w:val="22"/>
          <w:szCs w:val="22"/>
          <w:lang w:val="en-GB"/>
        </w:rPr>
        <w:t xml:space="preserve">ownership advantages enable firms to achieve </w:t>
      </w:r>
      <w:r w:rsidR="00110ABE" w:rsidRPr="00C244B9">
        <w:rPr>
          <w:bCs/>
          <w:sz w:val="22"/>
          <w:szCs w:val="22"/>
          <w:lang w:val="en-GB"/>
        </w:rPr>
        <w:t>competitive advantages in different national contexts</w:t>
      </w:r>
      <w:r w:rsidR="006F3FA5" w:rsidRPr="00C244B9">
        <w:rPr>
          <w:bCs/>
          <w:sz w:val="22"/>
          <w:szCs w:val="22"/>
          <w:lang w:val="en-GB"/>
        </w:rPr>
        <w:t xml:space="preserve"> (Dunning, 1993)</w:t>
      </w:r>
      <w:r w:rsidR="00110ABE" w:rsidRPr="00C244B9">
        <w:rPr>
          <w:bCs/>
          <w:sz w:val="22"/>
          <w:szCs w:val="22"/>
          <w:lang w:val="en-GB"/>
        </w:rPr>
        <w:t xml:space="preserve">. </w:t>
      </w:r>
      <w:r w:rsidR="00B75927">
        <w:rPr>
          <w:bCs/>
          <w:sz w:val="22"/>
          <w:szCs w:val="22"/>
          <w:lang w:val="en-GB"/>
        </w:rPr>
        <w:t xml:space="preserve">International business research has emphasized in particular </w:t>
      </w:r>
      <w:r w:rsidR="00110ABE" w:rsidRPr="00C244B9">
        <w:rPr>
          <w:bCs/>
          <w:sz w:val="22"/>
          <w:szCs w:val="22"/>
          <w:lang w:val="en-GB"/>
        </w:rPr>
        <w:t>technological and marketing capabilities</w:t>
      </w:r>
      <w:r w:rsidR="00B75927">
        <w:rPr>
          <w:bCs/>
          <w:sz w:val="22"/>
          <w:szCs w:val="22"/>
          <w:lang w:val="en-GB"/>
        </w:rPr>
        <w:t xml:space="preserve"> as basis for ownership advantages </w:t>
      </w:r>
      <w:r w:rsidR="00110ABE" w:rsidRPr="00C244B9">
        <w:rPr>
          <w:bCs/>
          <w:sz w:val="22"/>
          <w:szCs w:val="22"/>
          <w:lang w:val="en-GB"/>
        </w:rPr>
        <w:t>(</w:t>
      </w:r>
      <w:r w:rsidR="0051512A" w:rsidRPr="00C244B9">
        <w:rPr>
          <w:bCs/>
          <w:sz w:val="22"/>
          <w:szCs w:val="22"/>
          <w:lang w:val="en-GB"/>
        </w:rPr>
        <w:t xml:space="preserve">Anand </w:t>
      </w:r>
      <w:r w:rsidR="001E4532" w:rsidRPr="00C244B9">
        <w:rPr>
          <w:bCs/>
          <w:sz w:val="22"/>
          <w:szCs w:val="22"/>
          <w:lang w:val="en-GB"/>
        </w:rPr>
        <w:t xml:space="preserve">&amp; </w:t>
      </w:r>
      <w:r w:rsidR="0051512A" w:rsidRPr="00C244B9">
        <w:rPr>
          <w:bCs/>
          <w:sz w:val="22"/>
          <w:szCs w:val="22"/>
          <w:lang w:val="en-GB"/>
        </w:rPr>
        <w:t>Kogut, 1997</w:t>
      </w:r>
      <w:r w:rsidR="00980C54" w:rsidRPr="00C244B9">
        <w:rPr>
          <w:bCs/>
          <w:sz w:val="22"/>
          <w:szCs w:val="22"/>
          <w:lang w:val="en-GB"/>
        </w:rPr>
        <w:t>; Rugman, 2009</w:t>
      </w:r>
      <w:r w:rsidR="00110ABE" w:rsidRPr="00C244B9">
        <w:rPr>
          <w:bCs/>
          <w:sz w:val="22"/>
          <w:szCs w:val="22"/>
          <w:lang w:val="en-GB"/>
        </w:rPr>
        <w:t xml:space="preserve">). </w:t>
      </w:r>
      <w:r w:rsidR="00B75927">
        <w:rPr>
          <w:bCs/>
          <w:sz w:val="22"/>
          <w:szCs w:val="22"/>
          <w:lang w:val="en-GB"/>
        </w:rPr>
        <w:t xml:space="preserve">However, the </w:t>
      </w:r>
      <w:r w:rsidRPr="00C244B9">
        <w:rPr>
          <w:sz w:val="22"/>
          <w:szCs w:val="22"/>
          <w:lang w:val="en-GB"/>
        </w:rPr>
        <w:t xml:space="preserve">home environment in EEs normally provides less support for the development of world-leading technologies and internationally recognized brands that could be exploited in AEs (Luo &amp; Wang, 2012). For example, deficiencies in the education system and in public (and private) administration result in weaknesses of human capital formation in EEs, including narrower portfolios of technological capabilities (Awate, Larsen, &amp; Mudambi, 2012). </w:t>
      </w:r>
    </w:p>
    <w:p w14:paraId="1AA905CB" w14:textId="1BACF7C7" w:rsidR="008D1899" w:rsidRPr="00C244B9" w:rsidRDefault="00110ABE" w:rsidP="00C46F54">
      <w:pPr>
        <w:spacing w:line="480" w:lineRule="auto"/>
        <w:ind w:firstLine="284"/>
        <w:rPr>
          <w:bCs/>
          <w:sz w:val="22"/>
          <w:szCs w:val="22"/>
          <w:lang w:val="en-GB"/>
        </w:rPr>
      </w:pPr>
      <w:r w:rsidRPr="00C244B9">
        <w:rPr>
          <w:bCs/>
          <w:sz w:val="22"/>
          <w:szCs w:val="22"/>
          <w:lang w:val="en-GB"/>
        </w:rPr>
        <w:t xml:space="preserve">Second, international management capabilities enable firms to identify and implement cross-border business opportunities. This </w:t>
      </w:r>
      <w:r w:rsidR="00C103D9" w:rsidRPr="00C244B9">
        <w:rPr>
          <w:sz w:val="22"/>
          <w:szCs w:val="22"/>
          <w:lang w:val="en-GB"/>
        </w:rPr>
        <w:t xml:space="preserve">includes capabilities such as cross-cultural management </w:t>
      </w:r>
      <w:r w:rsidR="00BD33F5" w:rsidRPr="00C244B9">
        <w:rPr>
          <w:sz w:val="22"/>
          <w:szCs w:val="22"/>
          <w:lang w:val="en-GB"/>
        </w:rPr>
        <w:t xml:space="preserve">(Bird </w:t>
      </w:r>
      <w:r w:rsidR="001E4532" w:rsidRPr="00C244B9">
        <w:rPr>
          <w:sz w:val="22"/>
          <w:szCs w:val="22"/>
          <w:lang w:val="en-GB"/>
        </w:rPr>
        <w:t xml:space="preserve">&amp; </w:t>
      </w:r>
      <w:r w:rsidR="00BD33F5" w:rsidRPr="00C244B9">
        <w:rPr>
          <w:sz w:val="22"/>
          <w:szCs w:val="22"/>
          <w:lang w:val="en-GB"/>
        </w:rPr>
        <w:t>Mendenhall, 2016)</w:t>
      </w:r>
      <w:r w:rsidR="00570048" w:rsidRPr="00C244B9">
        <w:rPr>
          <w:sz w:val="22"/>
          <w:szCs w:val="22"/>
          <w:lang w:val="en-GB"/>
        </w:rPr>
        <w:t xml:space="preserve">, </w:t>
      </w:r>
      <w:r w:rsidR="00464AC8" w:rsidRPr="00C244B9">
        <w:rPr>
          <w:bCs/>
          <w:sz w:val="22"/>
          <w:szCs w:val="22"/>
          <w:lang w:val="en-GB"/>
        </w:rPr>
        <w:t xml:space="preserve">global strategic </w:t>
      </w:r>
      <w:r w:rsidR="00045445" w:rsidRPr="00C244B9">
        <w:rPr>
          <w:bCs/>
          <w:sz w:val="22"/>
          <w:szCs w:val="22"/>
          <w:lang w:val="en-GB"/>
        </w:rPr>
        <w:t>thinking and</w:t>
      </w:r>
      <w:r w:rsidR="00464AC8" w:rsidRPr="00C244B9">
        <w:rPr>
          <w:bCs/>
          <w:sz w:val="22"/>
          <w:szCs w:val="22"/>
          <w:lang w:val="en-GB"/>
        </w:rPr>
        <w:t xml:space="preserve"> </w:t>
      </w:r>
      <w:r w:rsidR="00570048" w:rsidRPr="00C244B9">
        <w:rPr>
          <w:sz w:val="22"/>
          <w:szCs w:val="22"/>
          <w:lang w:val="en-GB"/>
        </w:rPr>
        <w:t>g</w:t>
      </w:r>
      <w:r w:rsidRPr="00C244B9">
        <w:rPr>
          <w:bCs/>
          <w:sz w:val="22"/>
          <w:szCs w:val="22"/>
          <w:lang w:val="en-GB"/>
        </w:rPr>
        <w:t>lobal leadership (Caligiuri, 2006</w:t>
      </w:r>
      <w:r w:rsidR="00BD33F5" w:rsidRPr="00C244B9">
        <w:rPr>
          <w:bCs/>
          <w:sz w:val="22"/>
          <w:szCs w:val="22"/>
          <w:lang w:val="en-GB"/>
        </w:rPr>
        <w:t>; Stahl et al., 2012</w:t>
      </w:r>
      <w:r w:rsidRPr="00C244B9">
        <w:rPr>
          <w:bCs/>
          <w:sz w:val="22"/>
          <w:szCs w:val="22"/>
          <w:lang w:val="en-GB"/>
        </w:rPr>
        <w:t>)</w:t>
      </w:r>
      <w:r w:rsidR="00A17FC5" w:rsidRPr="00C244B9">
        <w:rPr>
          <w:bCs/>
          <w:sz w:val="22"/>
          <w:szCs w:val="22"/>
          <w:lang w:val="en-GB"/>
        </w:rPr>
        <w:t xml:space="preserve">. It includes </w:t>
      </w:r>
      <w:r w:rsidRPr="00C244B9">
        <w:rPr>
          <w:bCs/>
          <w:sz w:val="22"/>
          <w:szCs w:val="22"/>
          <w:lang w:val="en-GB"/>
        </w:rPr>
        <w:t>capabilities in utilizing location</w:t>
      </w:r>
      <w:r w:rsidR="008A14DB" w:rsidRPr="00C244B9">
        <w:rPr>
          <w:bCs/>
          <w:sz w:val="22"/>
          <w:szCs w:val="22"/>
          <w:lang w:val="en-GB"/>
        </w:rPr>
        <w:t>-</w:t>
      </w:r>
      <w:r w:rsidRPr="00C244B9">
        <w:rPr>
          <w:bCs/>
          <w:sz w:val="22"/>
          <w:szCs w:val="22"/>
          <w:lang w:val="en-GB"/>
        </w:rPr>
        <w:t xml:space="preserve">specific </w:t>
      </w:r>
      <w:r w:rsidRPr="00C244B9">
        <w:rPr>
          <w:bCs/>
          <w:sz w:val="22"/>
          <w:szCs w:val="22"/>
          <w:lang w:val="en-GB"/>
        </w:rPr>
        <w:lastRenderedPageBreak/>
        <w:t>resources (</w:t>
      </w:r>
      <w:r w:rsidR="00516C2C" w:rsidRPr="00C244B9">
        <w:rPr>
          <w:bCs/>
          <w:sz w:val="22"/>
          <w:szCs w:val="22"/>
          <w:lang w:val="en-GB"/>
        </w:rPr>
        <w:t xml:space="preserve">Zaheer &amp; </w:t>
      </w:r>
      <w:r w:rsidRPr="00C244B9">
        <w:rPr>
          <w:bCs/>
          <w:sz w:val="22"/>
          <w:szCs w:val="22"/>
          <w:lang w:val="en-GB"/>
        </w:rPr>
        <w:t>Nachum</w:t>
      </w:r>
      <w:r w:rsidR="00516C2C" w:rsidRPr="00C244B9">
        <w:rPr>
          <w:bCs/>
          <w:sz w:val="22"/>
          <w:szCs w:val="22"/>
          <w:lang w:val="en-GB"/>
        </w:rPr>
        <w:t>, 20</w:t>
      </w:r>
      <w:r w:rsidR="00EE3664" w:rsidRPr="00C244B9">
        <w:rPr>
          <w:bCs/>
          <w:sz w:val="22"/>
          <w:szCs w:val="22"/>
          <w:lang w:val="en-GB"/>
        </w:rPr>
        <w:t>11</w:t>
      </w:r>
      <w:r w:rsidRPr="00C244B9">
        <w:rPr>
          <w:bCs/>
          <w:sz w:val="22"/>
          <w:szCs w:val="22"/>
          <w:lang w:val="en-GB"/>
        </w:rPr>
        <w:t>)</w:t>
      </w:r>
      <w:r w:rsidR="00A17FC5" w:rsidRPr="00C244B9">
        <w:rPr>
          <w:bCs/>
          <w:sz w:val="22"/>
          <w:szCs w:val="22"/>
          <w:lang w:val="en-GB"/>
        </w:rPr>
        <w:t xml:space="preserve"> and the ability </w:t>
      </w:r>
      <w:r w:rsidR="002546C0" w:rsidRPr="00C244B9">
        <w:rPr>
          <w:bCs/>
          <w:sz w:val="22"/>
          <w:szCs w:val="22"/>
          <w:lang w:val="en-GB"/>
        </w:rPr>
        <w:t xml:space="preserve">of home country business units to absorb knowledge from overseas operations </w:t>
      </w:r>
      <w:r w:rsidR="008A14DB" w:rsidRPr="00C244B9">
        <w:rPr>
          <w:bCs/>
          <w:sz w:val="22"/>
          <w:szCs w:val="22"/>
          <w:lang w:val="en-GB"/>
        </w:rPr>
        <w:t>(Ambos, Ambos &amp; Schlegelmilch, 2006</w:t>
      </w:r>
      <w:r w:rsidR="008B0496" w:rsidRPr="00C244B9">
        <w:rPr>
          <w:bCs/>
          <w:sz w:val="22"/>
          <w:szCs w:val="22"/>
          <w:lang w:val="en-GB"/>
        </w:rPr>
        <w:t xml:space="preserve">; </w:t>
      </w:r>
      <w:r w:rsidR="00CA1A23">
        <w:rPr>
          <w:bCs/>
          <w:sz w:val="22"/>
          <w:szCs w:val="22"/>
          <w:lang w:val="en-GB"/>
        </w:rPr>
        <w:t xml:space="preserve">Cuervo-Cazurra &amp; Rui, 2017; </w:t>
      </w:r>
      <w:r w:rsidR="008B0496" w:rsidRPr="00C244B9">
        <w:rPr>
          <w:bCs/>
          <w:sz w:val="22"/>
          <w:szCs w:val="22"/>
          <w:lang w:val="en-GB"/>
        </w:rPr>
        <w:t>Kotabe, Jiang &amp; Murray, 2011</w:t>
      </w:r>
      <w:r w:rsidR="008A14DB" w:rsidRPr="00C244B9">
        <w:rPr>
          <w:bCs/>
          <w:sz w:val="22"/>
          <w:szCs w:val="22"/>
          <w:lang w:val="en-GB"/>
        </w:rPr>
        <w:t>)</w:t>
      </w:r>
      <w:r w:rsidR="00A17FC5" w:rsidRPr="00C244B9">
        <w:rPr>
          <w:bCs/>
          <w:sz w:val="22"/>
          <w:szCs w:val="22"/>
          <w:lang w:val="en-GB"/>
        </w:rPr>
        <w:t xml:space="preserve">. </w:t>
      </w:r>
      <w:r w:rsidR="008D1899" w:rsidRPr="00C244B9">
        <w:rPr>
          <w:bCs/>
          <w:sz w:val="22"/>
          <w:szCs w:val="22"/>
          <w:lang w:val="en-GB"/>
        </w:rPr>
        <w:t xml:space="preserve">These </w:t>
      </w:r>
      <w:r w:rsidR="00570048" w:rsidRPr="00C244B9">
        <w:rPr>
          <w:bCs/>
          <w:sz w:val="22"/>
          <w:szCs w:val="22"/>
          <w:lang w:val="en-GB"/>
        </w:rPr>
        <w:t xml:space="preserve">capabilities are </w:t>
      </w:r>
      <w:r w:rsidR="008D1899" w:rsidRPr="00C244B9">
        <w:rPr>
          <w:bCs/>
          <w:sz w:val="22"/>
          <w:szCs w:val="22"/>
          <w:lang w:val="en-GB"/>
        </w:rPr>
        <w:t xml:space="preserve">embedded in people and organizations and, since they are to a high degree </w:t>
      </w:r>
      <w:r w:rsidR="00B75927">
        <w:rPr>
          <w:bCs/>
          <w:sz w:val="22"/>
          <w:szCs w:val="22"/>
          <w:lang w:val="en-GB"/>
        </w:rPr>
        <w:t>based on experiential knowledge (e.g. Buckley, Munjal, Enderwick &amp; Forsans, 2016)</w:t>
      </w:r>
      <w:r w:rsidR="008D1899" w:rsidRPr="00C244B9">
        <w:rPr>
          <w:bCs/>
          <w:sz w:val="22"/>
          <w:szCs w:val="22"/>
          <w:lang w:val="en-GB"/>
        </w:rPr>
        <w:t xml:space="preserve">. </w:t>
      </w:r>
      <w:r w:rsidR="00A17FC5" w:rsidRPr="00C244B9">
        <w:rPr>
          <w:sz w:val="22"/>
          <w:szCs w:val="22"/>
          <w:lang w:val="en-GB"/>
        </w:rPr>
        <w:t xml:space="preserve">Especially </w:t>
      </w:r>
      <w:r w:rsidR="005358BA" w:rsidRPr="00C244B9">
        <w:rPr>
          <w:sz w:val="22"/>
          <w:szCs w:val="22"/>
          <w:lang w:val="en-GB"/>
        </w:rPr>
        <w:t xml:space="preserve">a </w:t>
      </w:r>
      <w:r w:rsidR="006F3FA5" w:rsidRPr="00C244B9">
        <w:rPr>
          <w:sz w:val="22"/>
          <w:szCs w:val="22"/>
          <w:lang w:val="en-GB"/>
        </w:rPr>
        <w:t xml:space="preserve">lack of experience with </w:t>
      </w:r>
      <w:r w:rsidR="00D454FE" w:rsidRPr="00C244B9">
        <w:rPr>
          <w:sz w:val="22"/>
          <w:szCs w:val="22"/>
          <w:lang w:val="en-GB"/>
        </w:rPr>
        <w:t xml:space="preserve">processes and practice of </w:t>
      </w:r>
      <w:r w:rsidR="00A17FC5" w:rsidRPr="00C244B9">
        <w:rPr>
          <w:sz w:val="22"/>
          <w:szCs w:val="22"/>
          <w:lang w:val="en-GB"/>
        </w:rPr>
        <w:t>international management raise</w:t>
      </w:r>
      <w:r w:rsidR="006F3FA5" w:rsidRPr="00C244B9">
        <w:rPr>
          <w:sz w:val="22"/>
          <w:szCs w:val="22"/>
          <w:lang w:val="en-GB"/>
        </w:rPr>
        <w:t>s</w:t>
      </w:r>
      <w:r w:rsidR="00A17FC5" w:rsidRPr="00C244B9">
        <w:rPr>
          <w:sz w:val="22"/>
          <w:szCs w:val="22"/>
          <w:lang w:val="en-GB"/>
        </w:rPr>
        <w:t xml:space="preserve"> barriers to entry </w:t>
      </w:r>
      <w:r w:rsidR="006F3FA5" w:rsidRPr="00C244B9">
        <w:rPr>
          <w:sz w:val="22"/>
          <w:szCs w:val="22"/>
          <w:lang w:val="en-GB"/>
        </w:rPr>
        <w:t>in</w:t>
      </w:r>
      <w:r w:rsidR="00A17FC5" w:rsidRPr="00C244B9">
        <w:rPr>
          <w:sz w:val="22"/>
          <w:szCs w:val="22"/>
          <w:lang w:val="en-GB"/>
        </w:rPr>
        <w:t xml:space="preserve"> ‘foreign’ locations (Clarke, et al., 2012).</w:t>
      </w:r>
    </w:p>
    <w:p w14:paraId="20E3D2D4" w14:textId="6A4DCBD6" w:rsidR="0019770E" w:rsidRPr="00C244B9" w:rsidRDefault="006A233B" w:rsidP="00C46F54">
      <w:pPr>
        <w:spacing w:line="480" w:lineRule="auto"/>
        <w:ind w:firstLine="284"/>
        <w:rPr>
          <w:sz w:val="22"/>
          <w:szCs w:val="22"/>
          <w:lang w:val="en-GB"/>
        </w:rPr>
      </w:pPr>
      <w:r w:rsidRPr="00C244B9">
        <w:rPr>
          <w:sz w:val="22"/>
          <w:szCs w:val="22"/>
          <w:lang w:val="en-GB"/>
        </w:rPr>
        <w:t>W</w:t>
      </w:r>
      <w:r w:rsidR="005019B5" w:rsidRPr="00C244B9">
        <w:rPr>
          <w:sz w:val="22"/>
          <w:szCs w:val="22"/>
          <w:lang w:val="en-GB"/>
        </w:rPr>
        <w:t>hen EE firms extend beyond national borders</w:t>
      </w:r>
      <w:r w:rsidR="00B64525" w:rsidRPr="00C244B9">
        <w:rPr>
          <w:sz w:val="22"/>
          <w:szCs w:val="22"/>
          <w:lang w:val="en-GB"/>
        </w:rPr>
        <w:t>,</w:t>
      </w:r>
      <w:r w:rsidR="005019B5" w:rsidRPr="00C244B9">
        <w:rPr>
          <w:sz w:val="22"/>
          <w:szCs w:val="22"/>
          <w:lang w:val="en-GB"/>
        </w:rPr>
        <w:t xml:space="preserve"> </w:t>
      </w:r>
      <w:r w:rsidRPr="00C244B9">
        <w:rPr>
          <w:sz w:val="22"/>
          <w:szCs w:val="22"/>
          <w:lang w:val="en-GB"/>
        </w:rPr>
        <w:t xml:space="preserve">they typically face </w:t>
      </w:r>
      <w:r w:rsidR="009B04CF" w:rsidRPr="00C244B9">
        <w:rPr>
          <w:sz w:val="22"/>
          <w:szCs w:val="22"/>
          <w:lang w:val="en-GB"/>
        </w:rPr>
        <w:t xml:space="preserve">a </w:t>
      </w:r>
      <w:r w:rsidR="001376D8" w:rsidRPr="00C244B9">
        <w:rPr>
          <w:sz w:val="22"/>
          <w:szCs w:val="22"/>
          <w:lang w:val="en-GB"/>
        </w:rPr>
        <w:t xml:space="preserve">national </w:t>
      </w:r>
      <w:r w:rsidR="009B04CF" w:rsidRPr="00C244B9">
        <w:rPr>
          <w:sz w:val="22"/>
          <w:szCs w:val="22"/>
          <w:lang w:val="en-GB"/>
        </w:rPr>
        <w:t xml:space="preserve">shortage of individuals and managerial teams with experience of operating in AEs (Arp, 2014; </w:t>
      </w:r>
      <w:r w:rsidR="008C3994" w:rsidRPr="00C244B9">
        <w:rPr>
          <w:sz w:val="22"/>
          <w:szCs w:val="22"/>
          <w:lang w:val="en-GB"/>
        </w:rPr>
        <w:t>Meyer &amp; Xin, 2018</w:t>
      </w:r>
      <w:r w:rsidR="009B04CF" w:rsidRPr="00C244B9">
        <w:rPr>
          <w:sz w:val="22"/>
          <w:szCs w:val="22"/>
          <w:lang w:val="en-GB"/>
        </w:rPr>
        <w:t xml:space="preserve">). </w:t>
      </w:r>
      <w:r w:rsidR="009640FB" w:rsidRPr="00C244B9">
        <w:rPr>
          <w:sz w:val="22"/>
          <w:szCs w:val="22"/>
          <w:lang w:val="en-GB"/>
        </w:rPr>
        <w:t xml:space="preserve">In consequence, EE MNEs typically lack, </w:t>
      </w:r>
      <w:r w:rsidR="009B04CF" w:rsidRPr="00C244B9">
        <w:rPr>
          <w:sz w:val="22"/>
          <w:szCs w:val="22"/>
          <w:lang w:val="en-GB"/>
        </w:rPr>
        <w:t>for example</w:t>
      </w:r>
      <w:r w:rsidR="009640FB" w:rsidRPr="00C244B9">
        <w:rPr>
          <w:sz w:val="22"/>
          <w:szCs w:val="22"/>
          <w:lang w:val="en-GB"/>
        </w:rPr>
        <w:t>,</w:t>
      </w:r>
      <w:r w:rsidR="00CA792A" w:rsidRPr="00C244B9">
        <w:rPr>
          <w:sz w:val="22"/>
          <w:szCs w:val="22"/>
          <w:lang w:val="en-GB"/>
        </w:rPr>
        <w:t xml:space="preserve"> </w:t>
      </w:r>
      <w:r w:rsidR="00974F6E" w:rsidRPr="00C244B9">
        <w:rPr>
          <w:sz w:val="22"/>
          <w:szCs w:val="22"/>
          <w:lang w:val="en-GB"/>
        </w:rPr>
        <w:t xml:space="preserve">cultural sensitivity </w:t>
      </w:r>
      <w:r w:rsidR="00CA792A" w:rsidRPr="00C244B9">
        <w:rPr>
          <w:sz w:val="22"/>
          <w:szCs w:val="22"/>
          <w:lang w:val="en-GB"/>
        </w:rPr>
        <w:t xml:space="preserve">for </w:t>
      </w:r>
      <w:r w:rsidR="007063C7" w:rsidRPr="00C244B9">
        <w:rPr>
          <w:sz w:val="22"/>
          <w:szCs w:val="22"/>
          <w:lang w:val="en-GB"/>
        </w:rPr>
        <w:t xml:space="preserve">managing </w:t>
      </w:r>
      <w:r w:rsidR="00F80A24" w:rsidRPr="00C244B9">
        <w:rPr>
          <w:sz w:val="22"/>
          <w:szCs w:val="22"/>
          <w:lang w:val="en-GB"/>
        </w:rPr>
        <w:t xml:space="preserve">international </w:t>
      </w:r>
      <w:r w:rsidR="00974F6E" w:rsidRPr="00C244B9">
        <w:rPr>
          <w:sz w:val="22"/>
          <w:szCs w:val="22"/>
          <w:lang w:val="en-GB"/>
        </w:rPr>
        <w:t xml:space="preserve">branding; </w:t>
      </w:r>
      <w:r w:rsidR="00FF6188" w:rsidRPr="00C244B9">
        <w:rPr>
          <w:sz w:val="22"/>
          <w:szCs w:val="22"/>
          <w:lang w:val="en-GB"/>
        </w:rPr>
        <w:t xml:space="preserve">human resource management </w:t>
      </w:r>
      <w:r w:rsidR="00F80A24" w:rsidRPr="00C244B9">
        <w:rPr>
          <w:sz w:val="22"/>
          <w:szCs w:val="22"/>
          <w:lang w:val="en-GB"/>
        </w:rPr>
        <w:t xml:space="preserve">practices </w:t>
      </w:r>
      <w:r w:rsidR="00CA792A" w:rsidRPr="00C244B9">
        <w:rPr>
          <w:sz w:val="22"/>
          <w:szCs w:val="22"/>
          <w:lang w:val="en-GB"/>
        </w:rPr>
        <w:t xml:space="preserve">for </w:t>
      </w:r>
      <w:r w:rsidR="00974F6E" w:rsidRPr="00C244B9">
        <w:rPr>
          <w:sz w:val="22"/>
          <w:szCs w:val="22"/>
          <w:lang w:val="en-GB"/>
        </w:rPr>
        <w:t>managing highly skilled labor forces</w:t>
      </w:r>
      <w:r w:rsidR="00CA792A" w:rsidRPr="00C244B9">
        <w:rPr>
          <w:sz w:val="22"/>
          <w:szCs w:val="22"/>
          <w:lang w:val="en-GB"/>
        </w:rPr>
        <w:t xml:space="preserve"> (</w:t>
      </w:r>
      <w:r w:rsidR="00974F6E" w:rsidRPr="00C244B9">
        <w:rPr>
          <w:sz w:val="22"/>
          <w:szCs w:val="22"/>
          <w:lang w:val="en-GB"/>
        </w:rPr>
        <w:t>such as research or creative workers</w:t>
      </w:r>
      <w:r w:rsidR="00CA792A" w:rsidRPr="00C244B9">
        <w:rPr>
          <w:sz w:val="22"/>
          <w:szCs w:val="22"/>
          <w:lang w:val="en-GB"/>
        </w:rPr>
        <w:t>)</w:t>
      </w:r>
      <w:r w:rsidR="00974F6E" w:rsidRPr="00C244B9">
        <w:rPr>
          <w:sz w:val="22"/>
          <w:szCs w:val="22"/>
          <w:lang w:val="en-GB"/>
        </w:rPr>
        <w:t xml:space="preserve">; and </w:t>
      </w:r>
      <w:r w:rsidR="00FF6188" w:rsidRPr="00C244B9">
        <w:rPr>
          <w:sz w:val="22"/>
          <w:szCs w:val="22"/>
          <w:lang w:val="en-GB"/>
        </w:rPr>
        <w:t xml:space="preserve">a corporate culture </w:t>
      </w:r>
      <w:r w:rsidR="009640FB" w:rsidRPr="00C244B9">
        <w:rPr>
          <w:sz w:val="22"/>
          <w:szCs w:val="22"/>
          <w:lang w:val="en-GB"/>
        </w:rPr>
        <w:t xml:space="preserve">supporting </w:t>
      </w:r>
      <w:r w:rsidR="00A7717F" w:rsidRPr="00C244B9">
        <w:rPr>
          <w:sz w:val="22"/>
          <w:szCs w:val="22"/>
          <w:lang w:val="en-GB"/>
        </w:rPr>
        <w:t>flat managerial structures</w:t>
      </w:r>
      <w:r w:rsidR="00974F6E" w:rsidRPr="00C244B9">
        <w:rPr>
          <w:sz w:val="22"/>
          <w:szCs w:val="22"/>
          <w:lang w:val="en-GB"/>
        </w:rPr>
        <w:t xml:space="preserve"> </w:t>
      </w:r>
      <w:r w:rsidR="00590CF2" w:rsidRPr="00C244B9">
        <w:rPr>
          <w:sz w:val="22"/>
          <w:szCs w:val="22"/>
          <w:lang w:val="en-GB"/>
        </w:rPr>
        <w:t>and</w:t>
      </w:r>
      <w:r w:rsidR="00974F6E" w:rsidRPr="00C244B9">
        <w:rPr>
          <w:sz w:val="22"/>
          <w:szCs w:val="22"/>
          <w:lang w:val="en-GB"/>
        </w:rPr>
        <w:t xml:space="preserve"> culturally diverse teams</w:t>
      </w:r>
      <w:r w:rsidR="00C73040" w:rsidRPr="00C244B9">
        <w:rPr>
          <w:sz w:val="22"/>
          <w:szCs w:val="22"/>
          <w:lang w:val="en-GB"/>
        </w:rPr>
        <w:t xml:space="preserve"> (</w:t>
      </w:r>
      <w:r w:rsidR="009B04CF" w:rsidRPr="00C244B9">
        <w:rPr>
          <w:sz w:val="22"/>
          <w:szCs w:val="22"/>
          <w:lang w:val="en-GB"/>
        </w:rPr>
        <w:t>Bird &amp; Mendenhall, 201</w:t>
      </w:r>
      <w:r w:rsidR="00EE3664" w:rsidRPr="00C244B9">
        <w:rPr>
          <w:sz w:val="22"/>
          <w:szCs w:val="22"/>
          <w:lang w:val="en-GB"/>
        </w:rPr>
        <w:t>6</w:t>
      </w:r>
      <w:r w:rsidR="00C73040" w:rsidRPr="00C244B9">
        <w:rPr>
          <w:sz w:val="22"/>
          <w:szCs w:val="22"/>
          <w:lang w:val="en-GB"/>
        </w:rPr>
        <w:t>)</w:t>
      </w:r>
      <w:r w:rsidR="00974F6E" w:rsidRPr="00C244B9">
        <w:rPr>
          <w:sz w:val="22"/>
          <w:szCs w:val="22"/>
          <w:lang w:val="en-GB"/>
        </w:rPr>
        <w:t xml:space="preserve">. </w:t>
      </w:r>
    </w:p>
    <w:p w14:paraId="63B90B03" w14:textId="2D766B90" w:rsidR="002546C0" w:rsidRPr="00C244B9" w:rsidRDefault="00B75927" w:rsidP="002546C0">
      <w:pPr>
        <w:spacing w:line="480" w:lineRule="auto"/>
        <w:ind w:firstLine="284"/>
        <w:rPr>
          <w:sz w:val="22"/>
          <w:szCs w:val="22"/>
          <w:lang w:val="en-GB"/>
        </w:rPr>
      </w:pPr>
      <w:r>
        <w:rPr>
          <w:sz w:val="22"/>
          <w:szCs w:val="22"/>
          <w:lang w:val="en-GB"/>
        </w:rPr>
        <w:t xml:space="preserve">Third, </w:t>
      </w:r>
      <w:r w:rsidR="002546C0" w:rsidRPr="00C244B9">
        <w:rPr>
          <w:sz w:val="22"/>
          <w:szCs w:val="22"/>
          <w:lang w:val="en-GB"/>
        </w:rPr>
        <w:t>MNEs learn and grow through interactions within business networks, and especially EE MNEs often internationalize within such networks (Hertenstein, et al., 2016; Lin, Peng, Yang &amp; Sun, 2009; Musteen et al., 2014; Prashantham &amp; Dhanaraj, 2011). Hence, patterns of existing networks to a large extent influence the location choices of firms at early stages of internationalization (Alcácer, et al., 2015; Tan &amp; Meyer, 201</w:t>
      </w:r>
      <w:r w:rsidR="00BD337C">
        <w:rPr>
          <w:sz w:val="22"/>
          <w:szCs w:val="22"/>
          <w:lang w:val="en-GB"/>
        </w:rPr>
        <w:t>1</w:t>
      </w:r>
      <w:r w:rsidR="002546C0" w:rsidRPr="00C244B9">
        <w:rPr>
          <w:sz w:val="22"/>
          <w:szCs w:val="22"/>
          <w:lang w:val="en-GB"/>
        </w:rPr>
        <w:t>), and the absence of such networks becomes a major constraint.</w:t>
      </w:r>
    </w:p>
    <w:p w14:paraId="6F545ADF" w14:textId="6E25204E" w:rsidR="00CA5E3B" w:rsidRPr="00C244B9" w:rsidRDefault="00B75927" w:rsidP="00C46F54">
      <w:pPr>
        <w:spacing w:line="480" w:lineRule="auto"/>
        <w:ind w:firstLine="284"/>
        <w:rPr>
          <w:sz w:val="22"/>
          <w:szCs w:val="22"/>
          <w:lang w:val="en-GB"/>
        </w:rPr>
      </w:pPr>
      <w:r>
        <w:rPr>
          <w:sz w:val="22"/>
          <w:szCs w:val="22"/>
          <w:lang w:val="en-GB"/>
        </w:rPr>
        <w:t>I</w:t>
      </w:r>
      <w:r w:rsidR="00520D7B" w:rsidRPr="00C244B9">
        <w:rPr>
          <w:sz w:val="22"/>
          <w:szCs w:val="22"/>
          <w:lang w:val="en-GB"/>
        </w:rPr>
        <w:t xml:space="preserve">nternational management </w:t>
      </w:r>
      <w:r>
        <w:rPr>
          <w:sz w:val="22"/>
          <w:szCs w:val="22"/>
          <w:lang w:val="en-GB"/>
        </w:rPr>
        <w:t xml:space="preserve">requires </w:t>
      </w:r>
      <w:r w:rsidR="00A7717F" w:rsidRPr="00C244B9">
        <w:rPr>
          <w:sz w:val="22"/>
          <w:szCs w:val="22"/>
          <w:lang w:val="en-GB"/>
        </w:rPr>
        <w:t>the gathering, analysis and dissemination of intelligence about global markets</w:t>
      </w:r>
      <w:r w:rsidR="00974F6E" w:rsidRPr="00C244B9">
        <w:rPr>
          <w:sz w:val="22"/>
          <w:szCs w:val="22"/>
          <w:lang w:val="en-GB"/>
        </w:rPr>
        <w:t xml:space="preserve">. AEs have </w:t>
      </w:r>
      <w:r w:rsidR="00337ED8" w:rsidRPr="00C244B9">
        <w:rPr>
          <w:sz w:val="22"/>
          <w:szCs w:val="22"/>
          <w:lang w:val="en-GB"/>
        </w:rPr>
        <w:t xml:space="preserve">often </w:t>
      </w:r>
      <w:r w:rsidR="00974F6E" w:rsidRPr="00C244B9">
        <w:rPr>
          <w:sz w:val="22"/>
          <w:szCs w:val="22"/>
          <w:lang w:val="en-GB"/>
        </w:rPr>
        <w:t xml:space="preserve">been global players for </w:t>
      </w:r>
      <w:r w:rsidR="007063C7" w:rsidRPr="00C244B9">
        <w:rPr>
          <w:sz w:val="22"/>
          <w:szCs w:val="22"/>
          <w:lang w:val="en-GB"/>
        </w:rPr>
        <w:t xml:space="preserve">decades (or even </w:t>
      </w:r>
      <w:r w:rsidR="00974F6E" w:rsidRPr="00C244B9">
        <w:rPr>
          <w:sz w:val="22"/>
          <w:szCs w:val="22"/>
          <w:lang w:val="en-GB"/>
        </w:rPr>
        <w:t>centuries</w:t>
      </w:r>
      <w:r w:rsidR="007063C7" w:rsidRPr="00C244B9">
        <w:rPr>
          <w:sz w:val="22"/>
          <w:szCs w:val="22"/>
          <w:lang w:val="en-GB"/>
        </w:rPr>
        <w:t>)</w:t>
      </w:r>
      <w:r w:rsidR="00974F6E" w:rsidRPr="00C244B9">
        <w:rPr>
          <w:sz w:val="22"/>
          <w:szCs w:val="22"/>
          <w:lang w:val="en-GB"/>
        </w:rPr>
        <w:t xml:space="preserve">, and </w:t>
      </w:r>
      <w:r w:rsidR="003B47FA" w:rsidRPr="00C244B9">
        <w:rPr>
          <w:sz w:val="22"/>
          <w:szCs w:val="22"/>
          <w:lang w:val="en-GB"/>
        </w:rPr>
        <w:t xml:space="preserve">at the country level </w:t>
      </w:r>
      <w:r w:rsidR="009952C2" w:rsidRPr="00C244B9">
        <w:rPr>
          <w:sz w:val="22"/>
          <w:szCs w:val="22"/>
          <w:lang w:val="en-GB"/>
        </w:rPr>
        <w:t xml:space="preserve">have developed </w:t>
      </w:r>
      <w:r w:rsidR="003B47FA" w:rsidRPr="00C244B9">
        <w:rPr>
          <w:sz w:val="22"/>
          <w:szCs w:val="22"/>
          <w:lang w:val="en-GB"/>
        </w:rPr>
        <w:t xml:space="preserve">stocks of experiential capital and knowledge through </w:t>
      </w:r>
      <w:r w:rsidR="00167D1F" w:rsidRPr="00C244B9">
        <w:rPr>
          <w:sz w:val="22"/>
          <w:szCs w:val="22"/>
          <w:lang w:val="en-GB"/>
        </w:rPr>
        <w:t xml:space="preserve">business networks, </w:t>
      </w:r>
      <w:r w:rsidR="00665099" w:rsidRPr="00C244B9">
        <w:rPr>
          <w:sz w:val="22"/>
          <w:szCs w:val="22"/>
          <w:lang w:val="en-GB"/>
        </w:rPr>
        <w:t xml:space="preserve">administrative structures (e.g. for </w:t>
      </w:r>
      <w:r w:rsidR="009952C2" w:rsidRPr="00C244B9">
        <w:rPr>
          <w:sz w:val="22"/>
          <w:szCs w:val="22"/>
          <w:lang w:val="en-GB"/>
        </w:rPr>
        <w:t>diplomacy</w:t>
      </w:r>
      <w:r w:rsidR="00665099" w:rsidRPr="00C244B9">
        <w:rPr>
          <w:sz w:val="22"/>
          <w:szCs w:val="22"/>
          <w:lang w:val="en-GB"/>
        </w:rPr>
        <w:t xml:space="preserve">), educational institutions and market intermediaries that support </w:t>
      </w:r>
      <w:r w:rsidR="00167D1F" w:rsidRPr="00C244B9">
        <w:rPr>
          <w:sz w:val="22"/>
          <w:szCs w:val="22"/>
          <w:lang w:val="en-GB"/>
        </w:rPr>
        <w:t xml:space="preserve">international activities of </w:t>
      </w:r>
      <w:r w:rsidR="009952C2" w:rsidRPr="00C244B9">
        <w:rPr>
          <w:sz w:val="22"/>
          <w:szCs w:val="22"/>
          <w:lang w:val="en-GB"/>
        </w:rPr>
        <w:t>the domestic business community</w:t>
      </w:r>
      <w:r w:rsidR="00167D1F" w:rsidRPr="00C244B9">
        <w:rPr>
          <w:sz w:val="22"/>
          <w:szCs w:val="22"/>
          <w:lang w:val="en-GB"/>
        </w:rPr>
        <w:t xml:space="preserve"> (e.g. Jones &amp; Khanna, 2006</w:t>
      </w:r>
      <w:r w:rsidR="00337ED8" w:rsidRPr="00C244B9">
        <w:rPr>
          <w:sz w:val="22"/>
          <w:szCs w:val="22"/>
          <w:lang w:val="en-GB"/>
        </w:rPr>
        <w:t>)</w:t>
      </w:r>
      <w:r w:rsidR="009952C2" w:rsidRPr="00C244B9">
        <w:rPr>
          <w:sz w:val="22"/>
          <w:szCs w:val="22"/>
          <w:lang w:val="en-GB"/>
        </w:rPr>
        <w:t>.</w:t>
      </w:r>
      <w:r w:rsidR="00D74D19" w:rsidRPr="00C244B9">
        <w:rPr>
          <w:sz w:val="22"/>
          <w:szCs w:val="22"/>
          <w:vertAlign w:val="superscript"/>
          <w:lang w:val="en-GB"/>
        </w:rPr>
        <w:t xml:space="preserve"> </w:t>
      </w:r>
      <w:r w:rsidR="00337ED8" w:rsidRPr="00C244B9">
        <w:rPr>
          <w:sz w:val="22"/>
          <w:szCs w:val="22"/>
          <w:lang w:val="en-GB"/>
        </w:rPr>
        <w:t xml:space="preserve">Furthermore, </w:t>
      </w:r>
      <w:r w:rsidR="00CA5E3B" w:rsidRPr="00C244B9">
        <w:rPr>
          <w:sz w:val="22"/>
          <w:szCs w:val="22"/>
          <w:lang w:val="en-GB"/>
        </w:rPr>
        <w:t xml:space="preserve">business </w:t>
      </w:r>
      <w:r w:rsidR="00CA5E3B" w:rsidRPr="00C244B9">
        <w:rPr>
          <w:sz w:val="22"/>
          <w:szCs w:val="22"/>
          <w:lang w:val="en-GB"/>
        </w:rPr>
        <w:lastRenderedPageBreak/>
        <w:t xml:space="preserve">communities in AEs </w:t>
      </w:r>
      <w:r w:rsidR="00337ED8" w:rsidRPr="00C244B9">
        <w:rPr>
          <w:sz w:val="22"/>
          <w:szCs w:val="22"/>
          <w:lang w:val="en-GB"/>
        </w:rPr>
        <w:t xml:space="preserve">often </w:t>
      </w:r>
      <w:r w:rsidR="00CA5E3B" w:rsidRPr="00C244B9">
        <w:rPr>
          <w:sz w:val="22"/>
          <w:szCs w:val="22"/>
          <w:lang w:val="en-GB"/>
        </w:rPr>
        <w:t xml:space="preserve">collaborate to create </w:t>
      </w:r>
      <w:r w:rsidR="00337ED8" w:rsidRPr="00C244B9">
        <w:rPr>
          <w:sz w:val="22"/>
          <w:szCs w:val="22"/>
          <w:lang w:val="en-GB"/>
        </w:rPr>
        <w:t xml:space="preserve">supportive </w:t>
      </w:r>
      <w:r w:rsidR="00CA5E3B" w:rsidRPr="00C244B9">
        <w:rPr>
          <w:sz w:val="22"/>
          <w:szCs w:val="22"/>
          <w:lang w:val="en-GB"/>
        </w:rPr>
        <w:t>networks such as overseas Chambers of Commerce to facilitate relationships in a host economy (Keating, 1993).</w:t>
      </w:r>
    </w:p>
    <w:p w14:paraId="75E96A9D" w14:textId="69378533" w:rsidR="006A233B" w:rsidRPr="00C244B9" w:rsidRDefault="002546C0" w:rsidP="006A233B">
      <w:pPr>
        <w:spacing w:line="480" w:lineRule="auto"/>
        <w:ind w:firstLine="284"/>
        <w:rPr>
          <w:sz w:val="22"/>
          <w:szCs w:val="22"/>
          <w:lang w:val="en-GB"/>
        </w:rPr>
      </w:pPr>
      <w:r w:rsidRPr="00C244B9">
        <w:rPr>
          <w:sz w:val="22"/>
          <w:szCs w:val="22"/>
          <w:lang w:val="en-GB"/>
        </w:rPr>
        <w:t>To sum up</w:t>
      </w:r>
      <w:r w:rsidR="006A233B" w:rsidRPr="00C244B9">
        <w:rPr>
          <w:sz w:val="22"/>
          <w:szCs w:val="22"/>
          <w:lang w:val="en-GB"/>
        </w:rPr>
        <w:t xml:space="preserve">, deficiencies in the munificence of the home environment translate into capability gaps of firms. Where knowledge-based resources are scarce, this scarcity constrains the creation of firm-specific capabilities. Where few senior managers have overseas experience, it is difficult to assemble an internationally experienced top management team; where business networks do not (yet) expand across national boundaries, growth within networks will be slow. </w:t>
      </w:r>
    </w:p>
    <w:p w14:paraId="56049CCB" w14:textId="77777777" w:rsidR="00126241" w:rsidRPr="00C244B9" w:rsidRDefault="00E31850" w:rsidP="0018025D">
      <w:pPr>
        <w:spacing w:line="480" w:lineRule="auto"/>
        <w:jc w:val="center"/>
        <w:rPr>
          <w:b/>
          <w:sz w:val="22"/>
          <w:szCs w:val="22"/>
          <w:lang w:val="en-GB"/>
        </w:rPr>
      </w:pPr>
      <w:r w:rsidRPr="00C244B9">
        <w:rPr>
          <w:b/>
          <w:sz w:val="22"/>
          <w:szCs w:val="22"/>
          <w:lang w:val="en-GB"/>
        </w:rPr>
        <w:t>Hypotheses</w:t>
      </w:r>
      <w:r w:rsidR="008D3E94" w:rsidRPr="00C244B9">
        <w:rPr>
          <w:b/>
          <w:sz w:val="22"/>
          <w:szCs w:val="22"/>
          <w:lang w:val="en-GB"/>
        </w:rPr>
        <w:t xml:space="preserve">: </w:t>
      </w:r>
      <w:r w:rsidR="00126241" w:rsidRPr="00C244B9">
        <w:rPr>
          <w:b/>
          <w:sz w:val="22"/>
          <w:szCs w:val="22"/>
          <w:lang w:val="en-GB"/>
        </w:rPr>
        <w:t>Location Choice of MNEs</w:t>
      </w:r>
      <w:r w:rsidR="002730FE" w:rsidRPr="00C244B9">
        <w:rPr>
          <w:b/>
          <w:sz w:val="22"/>
          <w:szCs w:val="22"/>
          <w:lang w:val="en-GB"/>
        </w:rPr>
        <w:t xml:space="preserve"> in</w:t>
      </w:r>
      <w:r w:rsidRPr="00C244B9">
        <w:rPr>
          <w:b/>
          <w:sz w:val="22"/>
          <w:szCs w:val="22"/>
          <w:lang w:val="en-GB"/>
        </w:rPr>
        <w:t>to</w:t>
      </w:r>
      <w:r w:rsidR="002730FE" w:rsidRPr="00C244B9">
        <w:rPr>
          <w:b/>
          <w:sz w:val="22"/>
          <w:szCs w:val="22"/>
          <w:lang w:val="en-GB"/>
        </w:rPr>
        <w:t xml:space="preserve"> AEs</w:t>
      </w:r>
    </w:p>
    <w:p w14:paraId="7E7A75A9" w14:textId="587156A6" w:rsidR="00F763DA" w:rsidRPr="00C244B9" w:rsidRDefault="00F763DA" w:rsidP="00F763DA">
      <w:pPr>
        <w:spacing w:line="480" w:lineRule="auto"/>
        <w:rPr>
          <w:sz w:val="22"/>
          <w:szCs w:val="22"/>
          <w:lang w:val="en-GB"/>
        </w:rPr>
      </w:pPr>
      <w:r w:rsidRPr="00C244B9">
        <w:rPr>
          <w:sz w:val="22"/>
          <w:szCs w:val="22"/>
          <w:lang w:val="en-GB"/>
        </w:rPr>
        <w:t xml:space="preserve">The home environment’s weaker resource munificence constrains </w:t>
      </w:r>
      <w:r w:rsidR="00045445" w:rsidRPr="00C244B9">
        <w:rPr>
          <w:sz w:val="22"/>
          <w:szCs w:val="22"/>
          <w:lang w:val="en-GB"/>
        </w:rPr>
        <w:t xml:space="preserve">the </w:t>
      </w:r>
      <w:r w:rsidRPr="00C244B9">
        <w:rPr>
          <w:sz w:val="22"/>
          <w:szCs w:val="22"/>
          <w:lang w:val="en-GB"/>
        </w:rPr>
        <w:t xml:space="preserve">strategic options </w:t>
      </w:r>
      <w:r w:rsidR="00045445" w:rsidRPr="00C244B9">
        <w:rPr>
          <w:sz w:val="22"/>
          <w:szCs w:val="22"/>
          <w:lang w:val="en-GB"/>
        </w:rPr>
        <w:t xml:space="preserve">of EE MNEs </w:t>
      </w:r>
      <w:r w:rsidRPr="00C244B9">
        <w:rPr>
          <w:sz w:val="22"/>
          <w:szCs w:val="22"/>
          <w:lang w:val="en-GB"/>
        </w:rPr>
        <w:t>relative to those of AE</w:t>
      </w:r>
      <w:r w:rsidR="009A1F57" w:rsidRPr="00C244B9">
        <w:rPr>
          <w:sz w:val="22"/>
          <w:szCs w:val="22"/>
          <w:lang w:val="en-GB"/>
        </w:rPr>
        <w:t xml:space="preserve"> MNE</w:t>
      </w:r>
      <w:r w:rsidRPr="00C244B9">
        <w:rPr>
          <w:sz w:val="22"/>
          <w:szCs w:val="22"/>
          <w:lang w:val="en-GB"/>
        </w:rPr>
        <w:t>s</w:t>
      </w:r>
      <w:r w:rsidR="006473B6">
        <w:rPr>
          <w:sz w:val="22"/>
          <w:szCs w:val="22"/>
          <w:lang w:val="en-GB"/>
        </w:rPr>
        <w:t xml:space="preserve">, and it </w:t>
      </w:r>
      <w:r w:rsidRPr="00C244B9">
        <w:rPr>
          <w:sz w:val="22"/>
          <w:szCs w:val="22"/>
          <w:lang w:val="en-GB"/>
        </w:rPr>
        <w:t>translates into a relatively greater sensitivity to barriers to entry and sharper focus on exploiting potential advantages in the host economy. We develop hypotheses concerning the differential impact on AE and EE MNE location choices of four drivers</w:t>
      </w:r>
      <w:r w:rsidR="00B75927">
        <w:rPr>
          <w:sz w:val="22"/>
          <w:szCs w:val="22"/>
          <w:lang w:val="en-GB"/>
        </w:rPr>
        <w:t>, specifically</w:t>
      </w:r>
      <w:r w:rsidR="00F151C4" w:rsidRPr="00C244B9">
        <w:rPr>
          <w:sz w:val="22"/>
          <w:szCs w:val="22"/>
          <w:lang w:val="en-GB"/>
        </w:rPr>
        <w:t xml:space="preserve"> </w:t>
      </w:r>
      <w:r w:rsidRPr="00C244B9">
        <w:rPr>
          <w:sz w:val="22"/>
          <w:szCs w:val="22"/>
          <w:lang w:val="en-GB"/>
        </w:rPr>
        <w:t>two barriers to entry</w:t>
      </w:r>
      <w:r w:rsidR="00F151C4" w:rsidRPr="00C244B9">
        <w:rPr>
          <w:sz w:val="22"/>
          <w:szCs w:val="22"/>
          <w:lang w:val="en-GB"/>
        </w:rPr>
        <w:t>,</w:t>
      </w:r>
      <w:r w:rsidRPr="00C244B9">
        <w:rPr>
          <w:sz w:val="22"/>
          <w:szCs w:val="22"/>
          <w:lang w:val="en-GB"/>
        </w:rPr>
        <w:t xml:space="preserve"> namely weak property rights and home-host distance</w:t>
      </w:r>
      <w:r w:rsidR="00F151C4" w:rsidRPr="00C244B9">
        <w:rPr>
          <w:sz w:val="22"/>
          <w:szCs w:val="22"/>
          <w:lang w:val="en-GB"/>
        </w:rPr>
        <w:t>,</w:t>
      </w:r>
      <w:r w:rsidRPr="00C244B9">
        <w:rPr>
          <w:sz w:val="22"/>
          <w:szCs w:val="22"/>
          <w:lang w:val="en-GB"/>
        </w:rPr>
        <w:t xml:space="preserve"> and two attractors of FDI, namely </w:t>
      </w:r>
      <w:r w:rsidR="00E74F99" w:rsidRPr="00C244B9">
        <w:rPr>
          <w:sz w:val="22"/>
          <w:szCs w:val="22"/>
          <w:lang w:val="en-GB"/>
        </w:rPr>
        <w:t>the</w:t>
      </w:r>
      <w:r w:rsidRPr="00C244B9">
        <w:rPr>
          <w:sz w:val="22"/>
          <w:szCs w:val="22"/>
          <w:lang w:val="en-GB"/>
        </w:rPr>
        <w:t xml:space="preserve"> home country diaspora in the host economy</w:t>
      </w:r>
      <w:r w:rsidR="00481069" w:rsidRPr="00C244B9">
        <w:rPr>
          <w:sz w:val="22"/>
          <w:szCs w:val="22"/>
          <w:lang w:val="en-GB"/>
        </w:rPr>
        <w:t>,</w:t>
      </w:r>
      <w:r w:rsidRPr="00C244B9">
        <w:rPr>
          <w:sz w:val="22"/>
          <w:szCs w:val="22"/>
          <w:lang w:val="en-GB"/>
        </w:rPr>
        <w:t xml:space="preserve"> and host market size.</w:t>
      </w:r>
    </w:p>
    <w:p w14:paraId="66FB5A29" w14:textId="77777777" w:rsidR="00F763DA" w:rsidRPr="00C244B9" w:rsidRDefault="00F763DA" w:rsidP="00F763DA">
      <w:pPr>
        <w:spacing w:line="480" w:lineRule="auto"/>
        <w:rPr>
          <w:b/>
          <w:bCs/>
          <w:sz w:val="22"/>
          <w:szCs w:val="22"/>
          <w:lang w:val="en-GB"/>
        </w:rPr>
      </w:pPr>
      <w:r w:rsidRPr="00C244B9">
        <w:rPr>
          <w:b/>
          <w:bCs/>
          <w:sz w:val="22"/>
          <w:szCs w:val="22"/>
          <w:lang w:val="en-GB"/>
        </w:rPr>
        <w:t>Weak intellectual property rights as a barrier to entry</w:t>
      </w:r>
    </w:p>
    <w:p w14:paraId="53BEC9E9" w14:textId="76D080F3" w:rsidR="00F763DA" w:rsidRPr="00C244B9" w:rsidRDefault="00F763DA" w:rsidP="00F763DA">
      <w:pPr>
        <w:spacing w:line="480" w:lineRule="auto"/>
        <w:rPr>
          <w:bCs/>
          <w:sz w:val="22"/>
          <w:szCs w:val="22"/>
          <w:lang w:val="en-GB"/>
        </w:rPr>
      </w:pPr>
      <w:r w:rsidRPr="00C244B9">
        <w:rPr>
          <w:bCs/>
          <w:sz w:val="22"/>
          <w:szCs w:val="22"/>
          <w:lang w:val="en-GB"/>
        </w:rPr>
        <w:t xml:space="preserve">An important barrier to entry for foreign investors is the need to learn how to operate within the institutional framework of the host country (Meyer et al., 2009). This includes tacit knowledge of not just formal rules, but of informal rules and practices of law enforcement (North, 1990). Within a given institutional framework, the protection of intellectual property rights (IPR) tends to be of particular concern to foreign investors (Khoury &amp; Peng, 2010; Nunnenkamp &amp; Spatz, 2004). The less clearly IPR </w:t>
      </w:r>
      <w:r w:rsidR="00481069" w:rsidRPr="00C244B9">
        <w:rPr>
          <w:bCs/>
          <w:sz w:val="22"/>
          <w:szCs w:val="22"/>
          <w:lang w:val="en-GB"/>
        </w:rPr>
        <w:t xml:space="preserve">are </w:t>
      </w:r>
      <w:r w:rsidRPr="00C244B9">
        <w:rPr>
          <w:bCs/>
          <w:sz w:val="22"/>
          <w:szCs w:val="22"/>
          <w:lang w:val="en-GB"/>
        </w:rPr>
        <w:t>protected, and the less effectively such protection is enforced, the more foreigners have to rely on their own internal processes as well as informal means of engaging with local enforcement agencies</w:t>
      </w:r>
      <w:r w:rsidR="00E0746D" w:rsidRPr="00C244B9">
        <w:rPr>
          <w:rFonts w:asciiTheme="minorHAnsi" w:eastAsiaTheme="minorEastAsia" w:hAnsi="Century Schoolbook" w:cstheme="minorBidi"/>
          <w:color w:val="000000" w:themeColor="text1"/>
          <w:kern w:val="24"/>
          <w:sz w:val="22"/>
          <w:szCs w:val="22"/>
          <w:lang w:val="en-GB" w:eastAsia="en-GB"/>
        </w:rPr>
        <w:t xml:space="preserve"> </w:t>
      </w:r>
      <w:r w:rsidR="00E0746D" w:rsidRPr="00C244B9">
        <w:rPr>
          <w:rFonts w:eastAsiaTheme="minorEastAsia"/>
          <w:color w:val="000000" w:themeColor="text1"/>
          <w:kern w:val="24"/>
          <w:sz w:val="22"/>
          <w:szCs w:val="22"/>
          <w:lang w:val="en-GB" w:eastAsia="en-GB"/>
        </w:rPr>
        <w:t>(</w:t>
      </w:r>
      <w:r w:rsidR="00E0746D" w:rsidRPr="00C244B9">
        <w:rPr>
          <w:bCs/>
          <w:sz w:val="22"/>
          <w:szCs w:val="22"/>
          <w:lang w:val="en-GB"/>
        </w:rPr>
        <w:t>Benassy-Quere, Coupet,</w:t>
      </w:r>
      <w:r w:rsidR="00667BD4" w:rsidRPr="00C244B9">
        <w:rPr>
          <w:bCs/>
          <w:sz w:val="22"/>
          <w:szCs w:val="22"/>
          <w:lang w:val="en-GB"/>
        </w:rPr>
        <w:t xml:space="preserve"> &amp;</w:t>
      </w:r>
      <w:r w:rsidR="00F151C4" w:rsidRPr="00C244B9">
        <w:rPr>
          <w:bCs/>
          <w:sz w:val="22"/>
          <w:szCs w:val="22"/>
          <w:lang w:val="en-GB"/>
        </w:rPr>
        <w:t xml:space="preserve"> </w:t>
      </w:r>
      <w:r w:rsidR="00E0746D" w:rsidRPr="00C244B9">
        <w:rPr>
          <w:bCs/>
          <w:sz w:val="22"/>
          <w:szCs w:val="22"/>
          <w:lang w:val="en-GB"/>
        </w:rPr>
        <w:t xml:space="preserve">Mayer, 2007).  </w:t>
      </w:r>
      <w:r w:rsidRPr="00C244B9">
        <w:rPr>
          <w:bCs/>
          <w:sz w:val="22"/>
          <w:szCs w:val="22"/>
          <w:lang w:val="en-GB"/>
        </w:rPr>
        <w:t xml:space="preserve">This challenge tends to deter many foreign </w:t>
      </w:r>
      <w:r w:rsidRPr="00C244B9">
        <w:rPr>
          <w:bCs/>
          <w:sz w:val="22"/>
          <w:szCs w:val="22"/>
          <w:lang w:val="en-GB"/>
        </w:rPr>
        <w:lastRenderedPageBreak/>
        <w:t>investors (Adams, 2010).  Hence, our baseline expectation</w:t>
      </w:r>
      <w:r w:rsidR="00F151C4" w:rsidRPr="00C244B9">
        <w:rPr>
          <w:bCs/>
          <w:sz w:val="22"/>
          <w:szCs w:val="22"/>
          <w:lang w:val="en-GB"/>
        </w:rPr>
        <w:t xml:space="preserve"> for </w:t>
      </w:r>
      <w:r w:rsidR="00CD5B0C" w:rsidRPr="00C244B9">
        <w:rPr>
          <w:bCs/>
          <w:sz w:val="22"/>
          <w:szCs w:val="22"/>
          <w:lang w:val="en-GB"/>
        </w:rPr>
        <w:t xml:space="preserve">all MNEs </w:t>
      </w:r>
      <w:r w:rsidR="00F151C4" w:rsidRPr="00C244B9">
        <w:rPr>
          <w:bCs/>
          <w:sz w:val="22"/>
          <w:szCs w:val="22"/>
          <w:lang w:val="en-GB"/>
        </w:rPr>
        <w:t>is</w:t>
      </w:r>
      <w:r w:rsidRPr="00C244B9">
        <w:rPr>
          <w:bCs/>
          <w:sz w:val="22"/>
          <w:szCs w:val="22"/>
          <w:lang w:val="en-GB"/>
        </w:rPr>
        <w:t xml:space="preserve"> that </w:t>
      </w:r>
      <w:r w:rsidRPr="00C244B9">
        <w:rPr>
          <w:bCs/>
          <w:i/>
          <w:sz w:val="22"/>
          <w:szCs w:val="22"/>
          <w:lang w:val="en-GB"/>
        </w:rPr>
        <w:t xml:space="preserve">the better IPR is protected in an economy, the more </w:t>
      </w:r>
      <w:r w:rsidR="00F151C4" w:rsidRPr="00C244B9">
        <w:rPr>
          <w:bCs/>
          <w:i/>
          <w:sz w:val="22"/>
          <w:szCs w:val="22"/>
          <w:lang w:val="en-GB"/>
        </w:rPr>
        <w:t xml:space="preserve">likely </w:t>
      </w:r>
      <w:r w:rsidRPr="00C244B9">
        <w:rPr>
          <w:bCs/>
          <w:i/>
          <w:sz w:val="22"/>
          <w:szCs w:val="22"/>
          <w:lang w:val="en-GB"/>
        </w:rPr>
        <w:t xml:space="preserve">foreign investors </w:t>
      </w:r>
      <w:r w:rsidR="00F151C4" w:rsidRPr="00C244B9">
        <w:rPr>
          <w:bCs/>
          <w:i/>
          <w:sz w:val="22"/>
          <w:szCs w:val="22"/>
          <w:lang w:val="en-GB"/>
        </w:rPr>
        <w:t xml:space="preserve">choose </w:t>
      </w:r>
      <w:r w:rsidRPr="00C244B9">
        <w:rPr>
          <w:bCs/>
          <w:i/>
          <w:sz w:val="22"/>
          <w:szCs w:val="22"/>
          <w:lang w:val="en-GB"/>
        </w:rPr>
        <w:t>to locate there</w:t>
      </w:r>
      <w:r w:rsidRPr="00C244B9">
        <w:rPr>
          <w:bCs/>
          <w:sz w:val="22"/>
          <w:szCs w:val="22"/>
          <w:lang w:val="en-GB"/>
        </w:rPr>
        <w:t xml:space="preserve">. </w:t>
      </w:r>
    </w:p>
    <w:p w14:paraId="5954C284" w14:textId="45273CD0" w:rsidR="00F763DA" w:rsidRPr="00C244B9" w:rsidRDefault="00F763DA" w:rsidP="00032263">
      <w:pPr>
        <w:spacing w:line="480" w:lineRule="auto"/>
        <w:ind w:firstLine="397"/>
        <w:rPr>
          <w:bCs/>
          <w:sz w:val="22"/>
          <w:szCs w:val="22"/>
          <w:lang w:val="en-GB"/>
        </w:rPr>
      </w:pPr>
      <w:r w:rsidRPr="00C244B9">
        <w:rPr>
          <w:bCs/>
          <w:sz w:val="22"/>
          <w:szCs w:val="22"/>
          <w:lang w:val="en-GB"/>
        </w:rPr>
        <w:t>Firms develop capabilities to manage and protect their knowledge</w:t>
      </w:r>
      <w:r w:rsidR="00F572DD">
        <w:rPr>
          <w:bCs/>
          <w:sz w:val="22"/>
          <w:szCs w:val="22"/>
          <w:lang w:val="en-GB"/>
        </w:rPr>
        <w:t>. They may</w:t>
      </w:r>
      <w:r w:rsidRPr="00C244B9">
        <w:rPr>
          <w:bCs/>
          <w:sz w:val="22"/>
          <w:szCs w:val="22"/>
          <w:lang w:val="en-GB"/>
        </w:rPr>
        <w:t>, for example</w:t>
      </w:r>
      <w:r w:rsidR="00F572DD">
        <w:rPr>
          <w:bCs/>
          <w:sz w:val="22"/>
          <w:szCs w:val="22"/>
          <w:lang w:val="en-GB"/>
        </w:rPr>
        <w:t>,</w:t>
      </w:r>
      <w:r w:rsidRPr="00C244B9">
        <w:rPr>
          <w:bCs/>
          <w:sz w:val="22"/>
          <w:szCs w:val="22"/>
          <w:lang w:val="en-GB"/>
        </w:rPr>
        <w:t xml:space="preserve"> selective</w:t>
      </w:r>
      <w:r w:rsidR="00F572DD">
        <w:rPr>
          <w:bCs/>
          <w:sz w:val="22"/>
          <w:szCs w:val="22"/>
          <w:lang w:val="en-GB"/>
        </w:rPr>
        <w:t xml:space="preserve">ly transfer </w:t>
      </w:r>
      <w:r w:rsidRPr="00C244B9">
        <w:rPr>
          <w:bCs/>
          <w:sz w:val="22"/>
          <w:szCs w:val="22"/>
          <w:lang w:val="en-GB"/>
        </w:rPr>
        <w:t>or compartmentalize knowledge, which enable</w:t>
      </w:r>
      <w:r w:rsidR="00F572DD">
        <w:rPr>
          <w:bCs/>
          <w:sz w:val="22"/>
          <w:szCs w:val="22"/>
          <w:lang w:val="en-GB"/>
        </w:rPr>
        <w:t>s</w:t>
      </w:r>
      <w:r w:rsidRPr="00C244B9">
        <w:rPr>
          <w:bCs/>
          <w:sz w:val="22"/>
          <w:szCs w:val="22"/>
          <w:lang w:val="en-GB"/>
        </w:rPr>
        <w:t xml:space="preserve"> shar</w:t>
      </w:r>
      <w:r w:rsidR="00F572DD">
        <w:rPr>
          <w:bCs/>
          <w:sz w:val="22"/>
          <w:szCs w:val="22"/>
          <w:lang w:val="en-GB"/>
        </w:rPr>
        <w:t xml:space="preserve">ing of proprietary </w:t>
      </w:r>
      <w:r w:rsidRPr="00C244B9">
        <w:rPr>
          <w:bCs/>
          <w:sz w:val="22"/>
          <w:szCs w:val="22"/>
          <w:lang w:val="en-GB"/>
        </w:rPr>
        <w:t xml:space="preserve">knowledge across sensitive interfaces while appropriating the benefits of the knowledge (Cohen, Nelson, &amp; Walsh, 2000; Henkel, 2006). Moreover, internal processes enable experienced MNEs to tap into and transfer to headquarters knowledge </w:t>
      </w:r>
      <w:r w:rsidR="00481069" w:rsidRPr="00C244B9">
        <w:rPr>
          <w:bCs/>
          <w:sz w:val="22"/>
          <w:szCs w:val="22"/>
          <w:lang w:val="en-GB"/>
        </w:rPr>
        <w:t>from</w:t>
      </w:r>
      <w:r w:rsidRPr="00C244B9">
        <w:rPr>
          <w:bCs/>
          <w:sz w:val="22"/>
          <w:szCs w:val="22"/>
          <w:lang w:val="en-GB"/>
        </w:rPr>
        <w:t xml:space="preserve"> geographically dispersed subsidiaries (Kafouros, Buckley, &amp; Clegg, 2012; Monteiro 2015). Such processes are supported by munificent home environments in which such knowledge can be </w:t>
      </w:r>
      <w:r w:rsidR="00F572DD">
        <w:rPr>
          <w:bCs/>
          <w:sz w:val="22"/>
          <w:szCs w:val="22"/>
          <w:lang w:val="en-GB"/>
        </w:rPr>
        <w:t xml:space="preserve">shared in </w:t>
      </w:r>
      <w:r w:rsidRPr="00C244B9">
        <w:rPr>
          <w:bCs/>
          <w:sz w:val="22"/>
          <w:szCs w:val="22"/>
          <w:lang w:val="en-GB"/>
        </w:rPr>
        <w:t xml:space="preserve">business networks and in which relevant skills can be easily recruited. They enable MNEs to protect against potential unauthorized knowledge diffusion, even in institutionally </w:t>
      </w:r>
      <w:r w:rsidR="00481069" w:rsidRPr="00C244B9">
        <w:rPr>
          <w:bCs/>
          <w:sz w:val="22"/>
          <w:szCs w:val="22"/>
          <w:lang w:val="en-GB"/>
        </w:rPr>
        <w:t xml:space="preserve">less </w:t>
      </w:r>
      <w:r w:rsidRPr="00C244B9">
        <w:rPr>
          <w:bCs/>
          <w:sz w:val="22"/>
          <w:szCs w:val="22"/>
          <w:lang w:val="en-GB"/>
        </w:rPr>
        <w:t xml:space="preserve">developed </w:t>
      </w:r>
      <w:r w:rsidR="00481069" w:rsidRPr="00C244B9">
        <w:rPr>
          <w:bCs/>
          <w:sz w:val="22"/>
          <w:szCs w:val="22"/>
          <w:lang w:val="en-GB"/>
        </w:rPr>
        <w:t xml:space="preserve">contexts </w:t>
      </w:r>
      <w:r w:rsidRPr="00C244B9">
        <w:rPr>
          <w:bCs/>
          <w:sz w:val="22"/>
          <w:szCs w:val="22"/>
          <w:lang w:val="en-GB"/>
        </w:rPr>
        <w:t>(Laursen &amp; Salter, 2014).</w:t>
      </w:r>
      <w:r w:rsidRPr="00C244B9">
        <w:rPr>
          <w:bCs/>
          <w:sz w:val="22"/>
          <w:szCs w:val="22"/>
          <w:vertAlign w:val="superscript"/>
          <w:lang w:val="en-GB"/>
        </w:rPr>
        <w:footnoteReference w:id="3"/>
      </w:r>
      <w:r w:rsidRPr="00C244B9">
        <w:rPr>
          <w:bCs/>
          <w:sz w:val="22"/>
          <w:szCs w:val="22"/>
          <w:lang w:val="en-GB"/>
        </w:rPr>
        <w:t xml:space="preserve"> </w:t>
      </w:r>
    </w:p>
    <w:p w14:paraId="23B717C0" w14:textId="7BC61B62" w:rsidR="00F763DA" w:rsidRPr="00C244B9" w:rsidRDefault="00F763DA" w:rsidP="00032263">
      <w:pPr>
        <w:spacing w:line="480" w:lineRule="auto"/>
        <w:ind w:firstLine="397"/>
        <w:rPr>
          <w:bCs/>
          <w:sz w:val="22"/>
          <w:szCs w:val="22"/>
          <w:lang w:val="en-GB"/>
        </w:rPr>
      </w:pPr>
      <w:r w:rsidRPr="00C244B9">
        <w:rPr>
          <w:bCs/>
          <w:sz w:val="22"/>
          <w:szCs w:val="22"/>
          <w:lang w:val="en-GB"/>
        </w:rPr>
        <w:t xml:space="preserve">EE MNEs operating in AEs have, compared to local competitors, a) weaker abilities of operating under </w:t>
      </w:r>
      <w:r w:rsidR="00481069" w:rsidRPr="00C244B9">
        <w:rPr>
          <w:bCs/>
          <w:sz w:val="22"/>
          <w:szCs w:val="22"/>
          <w:lang w:val="en-GB"/>
        </w:rPr>
        <w:t xml:space="preserve">AE </w:t>
      </w:r>
      <w:r w:rsidRPr="00C244B9">
        <w:rPr>
          <w:bCs/>
          <w:sz w:val="22"/>
          <w:szCs w:val="22"/>
          <w:lang w:val="en-GB"/>
        </w:rPr>
        <w:t xml:space="preserve">institutional frameworks and b) less sophisticated managerial processes to protect their products and technologies internally. </w:t>
      </w:r>
      <w:r w:rsidR="00F572DD">
        <w:rPr>
          <w:bCs/>
          <w:sz w:val="22"/>
          <w:szCs w:val="22"/>
          <w:lang w:val="en-GB"/>
        </w:rPr>
        <w:t>In their home country, they are used to different types of challenges in managing technologies, and IPR in particular</w:t>
      </w:r>
      <w:r w:rsidR="00B01EBA">
        <w:rPr>
          <w:bCs/>
          <w:sz w:val="22"/>
          <w:szCs w:val="22"/>
          <w:lang w:val="en-GB"/>
        </w:rPr>
        <w:t xml:space="preserve">. </w:t>
      </w:r>
      <w:r w:rsidRPr="00C244B9">
        <w:rPr>
          <w:bCs/>
          <w:sz w:val="22"/>
          <w:szCs w:val="22"/>
          <w:lang w:val="en-GB"/>
        </w:rPr>
        <w:t xml:space="preserve">For example, they tend to operate at home with mature technologies that are easy to imitate, but for which the costs of the imitation are not very serious. </w:t>
      </w:r>
      <w:r w:rsidR="00B01EBA">
        <w:rPr>
          <w:bCs/>
          <w:sz w:val="22"/>
          <w:szCs w:val="22"/>
          <w:lang w:val="en-GB"/>
        </w:rPr>
        <w:t xml:space="preserve">In consequence, </w:t>
      </w:r>
      <w:r w:rsidR="00B01EBA" w:rsidRPr="00C244B9">
        <w:rPr>
          <w:bCs/>
          <w:sz w:val="22"/>
          <w:szCs w:val="22"/>
          <w:lang w:val="en-GB"/>
        </w:rPr>
        <w:t xml:space="preserve">they have fewer human resources with the capability to manage, to protect and to exploit the sophisticated technologies that are available to them in AEs. </w:t>
      </w:r>
      <w:r w:rsidR="00E74F99" w:rsidRPr="00C244B9">
        <w:rPr>
          <w:bCs/>
          <w:sz w:val="22"/>
          <w:szCs w:val="22"/>
          <w:lang w:val="en-GB"/>
        </w:rPr>
        <w:t>W</w:t>
      </w:r>
      <w:r w:rsidRPr="00C244B9">
        <w:rPr>
          <w:bCs/>
          <w:sz w:val="22"/>
          <w:szCs w:val="22"/>
          <w:lang w:val="en-GB"/>
        </w:rPr>
        <w:t xml:space="preserve">e therefore expect that the deterrence of weak protection of </w:t>
      </w:r>
      <w:r w:rsidR="00481069" w:rsidRPr="00C244B9">
        <w:rPr>
          <w:bCs/>
          <w:sz w:val="22"/>
          <w:szCs w:val="22"/>
          <w:lang w:val="en-GB"/>
        </w:rPr>
        <w:t>IPR</w:t>
      </w:r>
      <w:r w:rsidRPr="00C244B9">
        <w:rPr>
          <w:bCs/>
          <w:sz w:val="22"/>
          <w:szCs w:val="22"/>
          <w:lang w:val="en-GB"/>
        </w:rPr>
        <w:t xml:space="preserve"> will </w:t>
      </w:r>
      <w:r w:rsidR="00F151C4" w:rsidRPr="00C244B9">
        <w:rPr>
          <w:bCs/>
          <w:sz w:val="22"/>
          <w:szCs w:val="22"/>
          <w:lang w:val="en-GB"/>
        </w:rPr>
        <w:t xml:space="preserve">affect </w:t>
      </w:r>
      <w:r w:rsidRPr="00C244B9">
        <w:rPr>
          <w:bCs/>
          <w:sz w:val="22"/>
          <w:szCs w:val="22"/>
          <w:lang w:val="en-GB"/>
        </w:rPr>
        <w:t>EE MNEs</w:t>
      </w:r>
      <w:r w:rsidR="00F151C4" w:rsidRPr="00C244B9">
        <w:rPr>
          <w:bCs/>
          <w:sz w:val="22"/>
          <w:szCs w:val="22"/>
          <w:lang w:val="en-GB"/>
        </w:rPr>
        <w:t xml:space="preserve"> more than AE MNEs</w:t>
      </w:r>
      <w:r w:rsidRPr="00C244B9">
        <w:rPr>
          <w:bCs/>
          <w:sz w:val="22"/>
          <w:szCs w:val="22"/>
          <w:lang w:val="en-GB"/>
        </w:rPr>
        <w:t>.</w:t>
      </w:r>
    </w:p>
    <w:p w14:paraId="4216D367" w14:textId="48A75EBD" w:rsidR="00F763DA" w:rsidRPr="00C244B9" w:rsidRDefault="00B01EBA" w:rsidP="00032263">
      <w:pPr>
        <w:spacing w:line="480" w:lineRule="auto"/>
        <w:ind w:firstLine="397"/>
        <w:rPr>
          <w:bCs/>
          <w:sz w:val="22"/>
          <w:szCs w:val="22"/>
          <w:lang w:val="en-GB"/>
        </w:rPr>
      </w:pPr>
      <w:r>
        <w:rPr>
          <w:bCs/>
          <w:sz w:val="22"/>
          <w:szCs w:val="22"/>
          <w:lang w:val="en-GB"/>
        </w:rPr>
        <w:t xml:space="preserve">Moreover, </w:t>
      </w:r>
      <w:r w:rsidRPr="00C244B9">
        <w:rPr>
          <w:bCs/>
          <w:sz w:val="22"/>
          <w:szCs w:val="22"/>
          <w:lang w:val="en-GB"/>
        </w:rPr>
        <w:t>a particular concer</w:t>
      </w:r>
      <w:r>
        <w:rPr>
          <w:bCs/>
          <w:sz w:val="22"/>
          <w:szCs w:val="22"/>
          <w:lang w:val="en-GB"/>
        </w:rPr>
        <w:t>n f</w:t>
      </w:r>
      <w:r w:rsidR="00F763DA" w:rsidRPr="00C244B9">
        <w:rPr>
          <w:bCs/>
          <w:sz w:val="22"/>
          <w:szCs w:val="22"/>
          <w:lang w:val="en-GB"/>
        </w:rPr>
        <w:t>or EE MNEs in AEs is the control of technologies that they acquire wit</w:t>
      </w:r>
      <w:r w:rsidR="002F55A0" w:rsidRPr="00C244B9">
        <w:rPr>
          <w:bCs/>
          <w:sz w:val="22"/>
          <w:szCs w:val="22"/>
          <w:lang w:val="en-GB"/>
        </w:rPr>
        <w:t xml:space="preserve">h the take-over of local firms in </w:t>
      </w:r>
      <w:r w:rsidR="00F763DA" w:rsidRPr="00C244B9">
        <w:rPr>
          <w:bCs/>
          <w:sz w:val="22"/>
          <w:szCs w:val="22"/>
          <w:lang w:val="en-GB"/>
        </w:rPr>
        <w:t xml:space="preserve">strategic asset seeking investments (Rui &amp; </w:t>
      </w:r>
      <w:r w:rsidR="00F763DA" w:rsidRPr="00C244B9">
        <w:rPr>
          <w:bCs/>
          <w:sz w:val="22"/>
          <w:szCs w:val="22"/>
          <w:lang w:val="en-GB"/>
        </w:rPr>
        <w:lastRenderedPageBreak/>
        <w:t>Yip, 2008; Li, Li &amp; Shapiro, 2012). When EE MNEs acquire local firms with higher level</w:t>
      </w:r>
      <w:r w:rsidR="002F55A0" w:rsidRPr="00C244B9">
        <w:rPr>
          <w:bCs/>
          <w:sz w:val="22"/>
          <w:szCs w:val="22"/>
          <w:lang w:val="en-GB"/>
        </w:rPr>
        <w:t>s of technologies</w:t>
      </w:r>
      <w:r w:rsidR="00F763DA" w:rsidRPr="00C244B9">
        <w:rPr>
          <w:bCs/>
          <w:sz w:val="22"/>
          <w:szCs w:val="22"/>
          <w:lang w:val="en-GB"/>
        </w:rPr>
        <w:t xml:space="preserve">, they find it demanding to manage these technologies effectively and to prevent the uncontrolled diffusion of </w:t>
      </w:r>
      <w:r>
        <w:rPr>
          <w:bCs/>
          <w:sz w:val="22"/>
          <w:szCs w:val="22"/>
          <w:lang w:val="en-GB"/>
        </w:rPr>
        <w:t>knowledge</w:t>
      </w:r>
      <w:r w:rsidR="00F763DA" w:rsidRPr="00C244B9">
        <w:rPr>
          <w:bCs/>
          <w:sz w:val="22"/>
          <w:szCs w:val="22"/>
          <w:lang w:val="en-GB"/>
        </w:rPr>
        <w:t>, for example when critical employees leave a</w:t>
      </w:r>
      <w:r w:rsidR="00E74F99" w:rsidRPr="00C244B9">
        <w:rPr>
          <w:bCs/>
          <w:sz w:val="22"/>
          <w:szCs w:val="22"/>
          <w:lang w:val="en-GB"/>
        </w:rPr>
        <w:t>n acquired</w:t>
      </w:r>
      <w:r w:rsidR="00F763DA" w:rsidRPr="00C244B9">
        <w:rPr>
          <w:bCs/>
          <w:sz w:val="22"/>
          <w:szCs w:val="22"/>
          <w:lang w:val="en-GB"/>
        </w:rPr>
        <w:t xml:space="preserve"> company. This </w:t>
      </w:r>
      <w:r w:rsidR="00E74F99" w:rsidRPr="00C244B9">
        <w:rPr>
          <w:bCs/>
          <w:sz w:val="22"/>
          <w:szCs w:val="22"/>
          <w:lang w:val="en-GB"/>
        </w:rPr>
        <w:t xml:space="preserve">puts EE MNEs </w:t>
      </w:r>
      <w:r w:rsidR="00F763DA" w:rsidRPr="00C244B9">
        <w:rPr>
          <w:bCs/>
          <w:sz w:val="22"/>
          <w:szCs w:val="22"/>
          <w:lang w:val="en-GB"/>
        </w:rPr>
        <w:t xml:space="preserve">relatively more </w:t>
      </w:r>
      <w:r w:rsidR="002F55A0" w:rsidRPr="00C244B9">
        <w:rPr>
          <w:bCs/>
          <w:sz w:val="22"/>
          <w:szCs w:val="22"/>
          <w:lang w:val="en-GB"/>
        </w:rPr>
        <w:t>at the mercy of</w:t>
      </w:r>
      <w:r w:rsidR="00F763DA" w:rsidRPr="00C244B9">
        <w:rPr>
          <w:bCs/>
          <w:sz w:val="22"/>
          <w:szCs w:val="22"/>
          <w:lang w:val="en-GB"/>
        </w:rPr>
        <w:t xml:space="preserve"> the legal framework, in particular the strength of </w:t>
      </w:r>
      <w:r>
        <w:rPr>
          <w:bCs/>
          <w:sz w:val="22"/>
          <w:szCs w:val="22"/>
          <w:lang w:val="en-GB"/>
        </w:rPr>
        <w:t>IPR</w:t>
      </w:r>
      <w:r w:rsidR="00F763DA" w:rsidRPr="00C244B9">
        <w:rPr>
          <w:bCs/>
          <w:sz w:val="22"/>
          <w:szCs w:val="22"/>
          <w:lang w:val="en-GB"/>
        </w:rPr>
        <w:t xml:space="preserve"> protection, in the host economy. </w:t>
      </w:r>
    </w:p>
    <w:p w14:paraId="722617FF" w14:textId="7B6C7DC5" w:rsidR="00481069" w:rsidRPr="00C244B9" w:rsidRDefault="002F55A0" w:rsidP="00032263">
      <w:pPr>
        <w:spacing w:line="480" w:lineRule="auto"/>
        <w:ind w:firstLine="397"/>
        <w:rPr>
          <w:bCs/>
          <w:sz w:val="22"/>
          <w:szCs w:val="22"/>
          <w:lang w:val="en-GB"/>
        </w:rPr>
      </w:pPr>
      <w:r w:rsidRPr="00C244B9">
        <w:rPr>
          <w:bCs/>
          <w:sz w:val="22"/>
          <w:szCs w:val="22"/>
          <w:lang w:val="en-GB"/>
        </w:rPr>
        <w:t>EE MNEs also</w:t>
      </w:r>
      <w:r w:rsidR="00F763DA" w:rsidRPr="00C244B9">
        <w:rPr>
          <w:bCs/>
          <w:sz w:val="22"/>
          <w:szCs w:val="22"/>
          <w:lang w:val="en-GB"/>
        </w:rPr>
        <w:t xml:space="preserve"> have less experience </w:t>
      </w:r>
      <w:r w:rsidRPr="00C244B9">
        <w:rPr>
          <w:bCs/>
          <w:sz w:val="22"/>
          <w:szCs w:val="22"/>
          <w:lang w:val="en-GB"/>
        </w:rPr>
        <w:t xml:space="preserve">of </w:t>
      </w:r>
      <w:r w:rsidR="00F763DA" w:rsidRPr="00C244B9">
        <w:rPr>
          <w:bCs/>
          <w:sz w:val="22"/>
          <w:szCs w:val="22"/>
          <w:lang w:val="en-GB"/>
        </w:rPr>
        <w:t xml:space="preserve">managing processes of sharing knowledge within the organisation, especially in absorbing knowledge from overseas affiliates in AEs into the parent organization in an EE. </w:t>
      </w:r>
      <w:r w:rsidR="009A1F57" w:rsidRPr="00C244B9">
        <w:rPr>
          <w:bCs/>
          <w:sz w:val="22"/>
          <w:szCs w:val="22"/>
          <w:lang w:val="en-GB"/>
        </w:rPr>
        <w:t>A</w:t>
      </w:r>
      <w:r w:rsidR="00F763DA" w:rsidRPr="00C244B9">
        <w:rPr>
          <w:bCs/>
          <w:sz w:val="22"/>
          <w:szCs w:val="22"/>
          <w:lang w:val="en-GB"/>
        </w:rPr>
        <w:t>rgu</w:t>
      </w:r>
      <w:r w:rsidR="009A1F57" w:rsidRPr="00C244B9">
        <w:rPr>
          <w:bCs/>
          <w:sz w:val="22"/>
          <w:szCs w:val="22"/>
          <w:lang w:val="en-GB"/>
        </w:rPr>
        <w:t>ably,</w:t>
      </w:r>
      <w:r w:rsidR="00F763DA" w:rsidRPr="00C244B9">
        <w:rPr>
          <w:bCs/>
          <w:sz w:val="22"/>
          <w:szCs w:val="22"/>
          <w:lang w:val="en-GB"/>
        </w:rPr>
        <w:t xml:space="preserve"> their ‘headquarter absorptive capacity’ (Ambos, et al., 2006) is comparatively weak</w:t>
      </w:r>
      <w:r w:rsidR="009A1F57" w:rsidRPr="00C244B9">
        <w:rPr>
          <w:bCs/>
          <w:sz w:val="22"/>
          <w:szCs w:val="22"/>
          <w:lang w:val="en-GB"/>
        </w:rPr>
        <w:t>, which</w:t>
      </w:r>
      <w:r w:rsidRPr="00C244B9">
        <w:rPr>
          <w:bCs/>
          <w:sz w:val="22"/>
          <w:szCs w:val="22"/>
          <w:lang w:val="en-GB"/>
        </w:rPr>
        <w:t xml:space="preserve"> in part is a consequence of home country munificence</w:t>
      </w:r>
      <w:r w:rsidR="00F763DA" w:rsidRPr="00C244B9">
        <w:rPr>
          <w:bCs/>
          <w:sz w:val="22"/>
          <w:szCs w:val="22"/>
          <w:lang w:val="en-GB"/>
        </w:rPr>
        <w:t xml:space="preserve">. Thus, </w:t>
      </w:r>
      <w:r w:rsidR="00481069" w:rsidRPr="00C244B9">
        <w:rPr>
          <w:bCs/>
          <w:sz w:val="22"/>
          <w:szCs w:val="22"/>
          <w:lang w:val="en-GB"/>
        </w:rPr>
        <w:t xml:space="preserve">they </w:t>
      </w:r>
      <w:r w:rsidR="00F763DA" w:rsidRPr="00C244B9">
        <w:rPr>
          <w:bCs/>
          <w:sz w:val="22"/>
          <w:szCs w:val="22"/>
          <w:lang w:val="en-GB"/>
        </w:rPr>
        <w:t>are less able to create processes to diffuse innovations internally,</w:t>
      </w:r>
      <w:r w:rsidRPr="00C244B9">
        <w:rPr>
          <w:bCs/>
          <w:sz w:val="22"/>
          <w:szCs w:val="22"/>
          <w:lang w:val="en-GB"/>
        </w:rPr>
        <w:t xml:space="preserve"> or to recruit </w:t>
      </w:r>
      <w:r w:rsidR="00BF33A1" w:rsidRPr="00C244B9">
        <w:rPr>
          <w:bCs/>
          <w:sz w:val="22"/>
          <w:szCs w:val="22"/>
          <w:lang w:val="en-GB"/>
        </w:rPr>
        <w:t xml:space="preserve">staff who might lead </w:t>
      </w:r>
      <w:r w:rsidR="00481069" w:rsidRPr="00C244B9">
        <w:rPr>
          <w:bCs/>
          <w:sz w:val="22"/>
          <w:szCs w:val="22"/>
          <w:lang w:val="en-GB"/>
        </w:rPr>
        <w:t>knowledge sharing</w:t>
      </w:r>
      <w:r w:rsidR="00BF33A1" w:rsidRPr="00C244B9">
        <w:rPr>
          <w:bCs/>
          <w:sz w:val="22"/>
          <w:szCs w:val="22"/>
          <w:lang w:val="en-GB"/>
        </w:rPr>
        <w:t>, while making it more difficult to prevent</w:t>
      </w:r>
      <w:r w:rsidR="00F763DA" w:rsidRPr="00C244B9">
        <w:rPr>
          <w:bCs/>
          <w:sz w:val="22"/>
          <w:szCs w:val="22"/>
          <w:lang w:val="en-GB"/>
        </w:rPr>
        <w:t xml:space="preserve"> diffusion</w:t>
      </w:r>
      <w:r w:rsidR="00BF33A1" w:rsidRPr="00C244B9">
        <w:rPr>
          <w:bCs/>
          <w:sz w:val="22"/>
          <w:szCs w:val="22"/>
          <w:lang w:val="en-GB"/>
        </w:rPr>
        <w:t xml:space="preserve"> of the new technologies</w:t>
      </w:r>
      <w:r w:rsidR="00F763DA" w:rsidRPr="00C244B9">
        <w:rPr>
          <w:bCs/>
          <w:sz w:val="22"/>
          <w:szCs w:val="22"/>
          <w:lang w:val="en-GB"/>
        </w:rPr>
        <w:t xml:space="preserve"> to potential competitors.</w:t>
      </w:r>
      <w:r w:rsidR="00F763DA" w:rsidRPr="00C244B9">
        <w:rPr>
          <w:bCs/>
          <w:sz w:val="22"/>
          <w:szCs w:val="22"/>
          <w:vertAlign w:val="superscript"/>
          <w:lang w:val="en-GB"/>
        </w:rPr>
        <w:footnoteReference w:id="4"/>
      </w:r>
      <w:r w:rsidR="00F763DA" w:rsidRPr="00C244B9">
        <w:rPr>
          <w:bCs/>
          <w:sz w:val="22"/>
          <w:szCs w:val="22"/>
          <w:lang w:val="en-GB"/>
        </w:rPr>
        <w:t xml:space="preserve">  </w:t>
      </w:r>
    </w:p>
    <w:p w14:paraId="00B8E82B" w14:textId="11FDDBBC" w:rsidR="00F763DA" w:rsidRPr="00C244B9" w:rsidRDefault="00F763DA" w:rsidP="00032263">
      <w:pPr>
        <w:spacing w:line="480" w:lineRule="auto"/>
        <w:ind w:firstLine="397"/>
        <w:rPr>
          <w:bCs/>
          <w:sz w:val="22"/>
          <w:szCs w:val="22"/>
          <w:lang w:val="en-GB"/>
        </w:rPr>
      </w:pPr>
      <w:r w:rsidRPr="00C244B9">
        <w:rPr>
          <w:bCs/>
          <w:sz w:val="22"/>
          <w:szCs w:val="22"/>
          <w:lang w:val="en-GB"/>
        </w:rPr>
        <w:t xml:space="preserve">In </w:t>
      </w:r>
      <w:r w:rsidR="00481069" w:rsidRPr="00C244B9">
        <w:rPr>
          <w:bCs/>
          <w:sz w:val="22"/>
          <w:szCs w:val="22"/>
          <w:lang w:val="en-GB"/>
        </w:rPr>
        <w:t>summary</w:t>
      </w:r>
      <w:r w:rsidRPr="00C244B9">
        <w:rPr>
          <w:bCs/>
          <w:sz w:val="22"/>
          <w:szCs w:val="22"/>
          <w:lang w:val="en-GB"/>
        </w:rPr>
        <w:t>, their inexperience in terms of capabilities for managing technology and innovation in AEs</w:t>
      </w:r>
      <w:r w:rsidR="00BF33A1" w:rsidRPr="00C244B9">
        <w:rPr>
          <w:bCs/>
          <w:sz w:val="22"/>
          <w:szCs w:val="22"/>
          <w:lang w:val="en-GB"/>
        </w:rPr>
        <w:t xml:space="preserve">, and their relative disadvantages in sourcing the relevant skills, knowledge and experience in the home economy, </w:t>
      </w:r>
      <w:r w:rsidRPr="00C244B9">
        <w:rPr>
          <w:bCs/>
          <w:sz w:val="22"/>
          <w:szCs w:val="22"/>
          <w:lang w:val="en-GB"/>
        </w:rPr>
        <w:t xml:space="preserve"> means that EE MNEs benefit from host environments whose legal systems offer better </w:t>
      </w:r>
      <w:r w:rsidR="00481069" w:rsidRPr="00C244B9">
        <w:rPr>
          <w:bCs/>
          <w:sz w:val="22"/>
          <w:szCs w:val="22"/>
          <w:lang w:val="en-GB"/>
        </w:rPr>
        <w:t>IPR</w:t>
      </w:r>
      <w:r w:rsidRPr="00C244B9">
        <w:rPr>
          <w:bCs/>
          <w:sz w:val="22"/>
          <w:szCs w:val="22"/>
          <w:lang w:val="en-GB"/>
        </w:rPr>
        <w:t xml:space="preserve"> protection. Hence, we suggest: </w:t>
      </w:r>
    </w:p>
    <w:p w14:paraId="50AF739D" w14:textId="70DC0582" w:rsidR="00F763DA" w:rsidRDefault="00F763DA" w:rsidP="00032263">
      <w:pPr>
        <w:spacing w:line="480" w:lineRule="auto"/>
        <w:ind w:left="720" w:hanging="720"/>
        <w:rPr>
          <w:b/>
          <w:bCs/>
          <w:i/>
          <w:sz w:val="22"/>
          <w:szCs w:val="22"/>
          <w:lang w:val="en-GB"/>
        </w:rPr>
      </w:pPr>
      <w:r w:rsidRPr="00C244B9">
        <w:rPr>
          <w:b/>
          <w:bCs/>
          <w:i/>
          <w:sz w:val="22"/>
          <w:szCs w:val="22"/>
          <w:lang w:val="en-GB"/>
        </w:rPr>
        <w:t xml:space="preserve">Hypothesis </w:t>
      </w:r>
      <w:r w:rsidR="00BF33A1" w:rsidRPr="00C244B9">
        <w:rPr>
          <w:b/>
          <w:bCs/>
          <w:i/>
          <w:sz w:val="22"/>
          <w:szCs w:val="22"/>
          <w:lang w:val="en-GB"/>
        </w:rPr>
        <w:t>1</w:t>
      </w:r>
      <w:r w:rsidRPr="00C244B9">
        <w:rPr>
          <w:b/>
          <w:bCs/>
          <w:i/>
          <w:sz w:val="22"/>
          <w:szCs w:val="22"/>
          <w:lang w:val="en-GB"/>
        </w:rPr>
        <w:t xml:space="preserve">: </w:t>
      </w:r>
      <w:r w:rsidR="001A13A8" w:rsidRPr="00D11E58">
        <w:rPr>
          <w:b/>
          <w:bCs/>
          <w:i/>
          <w:sz w:val="22"/>
          <w:szCs w:val="22"/>
          <w:lang w:val="en-GB"/>
        </w:rPr>
        <w:t>T</w:t>
      </w:r>
      <w:r w:rsidRPr="00D11E58">
        <w:rPr>
          <w:b/>
          <w:bCs/>
          <w:i/>
          <w:sz w:val="22"/>
          <w:szCs w:val="22"/>
          <w:lang w:val="en-GB"/>
        </w:rPr>
        <w:t xml:space="preserve">he stronger </w:t>
      </w:r>
      <w:r w:rsidR="001A13A8" w:rsidRPr="00D11E58">
        <w:rPr>
          <w:b/>
          <w:bCs/>
          <w:i/>
          <w:sz w:val="22"/>
          <w:szCs w:val="22"/>
          <w:lang w:val="en-GB"/>
        </w:rPr>
        <w:t xml:space="preserve">the </w:t>
      </w:r>
      <w:r w:rsidR="005E166E">
        <w:rPr>
          <w:b/>
          <w:bCs/>
          <w:i/>
          <w:sz w:val="22"/>
          <w:szCs w:val="22"/>
          <w:lang w:val="en-GB"/>
        </w:rPr>
        <w:t xml:space="preserve">host country’s </w:t>
      </w:r>
      <w:r w:rsidRPr="00D11E58">
        <w:rPr>
          <w:b/>
          <w:bCs/>
          <w:i/>
          <w:sz w:val="22"/>
          <w:szCs w:val="22"/>
          <w:lang w:val="en-GB"/>
        </w:rPr>
        <w:t>protection of intellectual property</w:t>
      </w:r>
      <w:r w:rsidR="005E166E">
        <w:rPr>
          <w:b/>
          <w:bCs/>
          <w:i/>
          <w:sz w:val="22"/>
          <w:szCs w:val="22"/>
          <w:lang w:val="en-GB"/>
        </w:rPr>
        <w:t>,</w:t>
      </w:r>
      <w:r w:rsidRPr="00D11E58">
        <w:rPr>
          <w:b/>
          <w:bCs/>
          <w:i/>
          <w:sz w:val="22"/>
          <w:szCs w:val="22"/>
          <w:lang w:val="en-GB"/>
        </w:rPr>
        <w:t xml:space="preserve"> </w:t>
      </w:r>
      <w:r w:rsidR="001A13A8" w:rsidRPr="00D11E58">
        <w:rPr>
          <w:b/>
          <w:bCs/>
          <w:i/>
          <w:sz w:val="22"/>
          <w:szCs w:val="22"/>
          <w:lang w:val="en-GB"/>
        </w:rPr>
        <w:t>the more likely</w:t>
      </w:r>
      <w:r w:rsidR="005E166E">
        <w:rPr>
          <w:b/>
          <w:bCs/>
          <w:i/>
          <w:sz w:val="22"/>
          <w:szCs w:val="22"/>
          <w:lang w:val="en-GB"/>
        </w:rPr>
        <w:t xml:space="preserve"> is an</w:t>
      </w:r>
      <w:r w:rsidR="001A13A8" w:rsidRPr="00D11E58">
        <w:rPr>
          <w:b/>
          <w:bCs/>
          <w:i/>
          <w:sz w:val="22"/>
          <w:szCs w:val="22"/>
          <w:lang w:val="en-GB"/>
        </w:rPr>
        <w:t xml:space="preserve"> MNE is to locate in</w:t>
      </w:r>
      <w:r w:rsidR="00D11E58">
        <w:rPr>
          <w:b/>
          <w:bCs/>
          <w:i/>
          <w:sz w:val="22"/>
          <w:szCs w:val="22"/>
          <w:lang w:val="en-GB"/>
        </w:rPr>
        <w:t xml:space="preserve"> </w:t>
      </w:r>
      <w:r w:rsidR="005E166E">
        <w:rPr>
          <w:b/>
          <w:bCs/>
          <w:i/>
          <w:sz w:val="22"/>
          <w:szCs w:val="22"/>
          <w:lang w:val="en-GB"/>
        </w:rPr>
        <w:t xml:space="preserve">that </w:t>
      </w:r>
      <w:r w:rsidR="00C57034" w:rsidRPr="00D11E58">
        <w:rPr>
          <w:b/>
          <w:bCs/>
          <w:i/>
          <w:sz w:val="22"/>
          <w:szCs w:val="22"/>
          <w:lang w:val="en-GB"/>
        </w:rPr>
        <w:t>AE</w:t>
      </w:r>
      <w:r w:rsidR="005E166E">
        <w:rPr>
          <w:b/>
          <w:bCs/>
          <w:i/>
          <w:sz w:val="22"/>
          <w:szCs w:val="22"/>
          <w:lang w:val="en-GB"/>
        </w:rPr>
        <w:t xml:space="preserve">. This effect will be </w:t>
      </w:r>
      <w:r w:rsidRPr="00D11E58">
        <w:rPr>
          <w:b/>
          <w:bCs/>
          <w:i/>
          <w:sz w:val="22"/>
          <w:szCs w:val="22"/>
          <w:u w:val="single"/>
          <w:lang w:val="en-GB"/>
        </w:rPr>
        <w:t>stronger</w:t>
      </w:r>
      <w:r w:rsidRPr="00D11E58">
        <w:rPr>
          <w:b/>
          <w:bCs/>
          <w:i/>
          <w:sz w:val="22"/>
          <w:szCs w:val="22"/>
          <w:lang w:val="en-GB"/>
        </w:rPr>
        <w:t xml:space="preserve"> for EE MNEs than for AE MNEs.</w:t>
      </w:r>
      <w:r w:rsidRPr="00C244B9">
        <w:rPr>
          <w:b/>
          <w:bCs/>
          <w:i/>
          <w:sz w:val="22"/>
          <w:szCs w:val="22"/>
          <w:lang w:val="en-GB"/>
        </w:rPr>
        <w:t xml:space="preserve">  </w:t>
      </w:r>
    </w:p>
    <w:p w14:paraId="25BD77DB" w14:textId="77777777" w:rsidR="00CF3EE3" w:rsidRPr="00CF3EE3" w:rsidRDefault="00CF3EE3" w:rsidP="001A13A8">
      <w:pPr>
        <w:spacing w:line="480" w:lineRule="auto"/>
        <w:rPr>
          <w:b/>
          <w:bCs/>
          <w:i/>
          <w:sz w:val="22"/>
          <w:szCs w:val="22"/>
        </w:rPr>
      </w:pPr>
    </w:p>
    <w:p w14:paraId="0BB9E9A3" w14:textId="51191D25" w:rsidR="00BF33A1" w:rsidRPr="00C244B9" w:rsidRDefault="00BF33A1" w:rsidP="00BF33A1">
      <w:pPr>
        <w:spacing w:line="480" w:lineRule="auto"/>
        <w:rPr>
          <w:b/>
          <w:bCs/>
          <w:sz w:val="22"/>
          <w:szCs w:val="22"/>
          <w:lang w:val="en-GB"/>
        </w:rPr>
      </w:pPr>
      <w:r w:rsidRPr="00C244B9">
        <w:rPr>
          <w:b/>
          <w:bCs/>
          <w:sz w:val="22"/>
          <w:szCs w:val="22"/>
          <w:lang w:val="en-GB"/>
        </w:rPr>
        <w:t>Home-host distance as a barrier to entry</w:t>
      </w:r>
    </w:p>
    <w:p w14:paraId="7644D86B" w14:textId="7AFBD90C" w:rsidR="00BF33A1" w:rsidRPr="00C244B9" w:rsidRDefault="00BF33A1" w:rsidP="00BF33A1">
      <w:pPr>
        <w:spacing w:line="480" w:lineRule="auto"/>
        <w:rPr>
          <w:bCs/>
          <w:sz w:val="22"/>
          <w:szCs w:val="22"/>
          <w:lang w:val="en-GB"/>
        </w:rPr>
      </w:pPr>
      <w:r w:rsidRPr="00C244B9">
        <w:rPr>
          <w:bCs/>
          <w:sz w:val="22"/>
          <w:szCs w:val="22"/>
          <w:lang w:val="en-GB"/>
        </w:rPr>
        <w:t>The</w:t>
      </w:r>
      <w:r w:rsidR="0089674B" w:rsidRPr="00C244B9">
        <w:rPr>
          <w:bCs/>
          <w:sz w:val="22"/>
          <w:szCs w:val="22"/>
          <w:lang w:val="en-GB"/>
        </w:rPr>
        <w:t xml:space="preserve"> </w:t>
      </w:r>
      <w:r w:rsidR="00D913AF" w:rsidRPr="00C244B9">
        <w:rPr>
          <w:bCs/>
          <w:sz w:val="22"/>
          <w:szCs w:val="22"/>
          <w:lang w:val="en-GB"/>
        </w:rPr>
        <w:t xml:space="preserve">geographic </w:t>
      </w:r>
      <w:r w:rsidRPr="00C244B9">
        <w:rPr>
          <w:bCs/>
          <w:sz w:val="22"/>
          <w:szCs w:val="22"/>
          <w:lang w:val="en-GB"/>
        </w:rPr>
        <w:t xml:space="preserve">distance between an MNE’s home and host locations is usually argued to increase the costs of entering foreign markets and of doing business (Ghemawat, 2007; </w:t>
      </w:r>
      <w:r w:rsidRPr="00C244B9">
        <w:rPr>
          <w:bCs/>
          <w:sz w:val="22"/>
          <w:szCs w:val="22"/>
          <w:lang w:val="en-GB"/>
        </w:rPr>
        <w:lastRenderedPageBreak/>
        <w:t>Estrin, Baghdasaryan, &amp; Meyer, 2009; Tihanyi, Griffith, &amp; Russel, 2005).</w:t>
      </w:r>
      <w:r w:rsidR="0089674B" w:rsidRPr="00C244B9">
        <w:rPr>
          <w:bCs/>
          <w:sz w:val="22"/>
          <w:szCs w:val="22"/>
          <w:lang w:val="en-GB"/>
        </w:rPr>
        <w:t xml:space="preserve"> </w:t>
      </w:r>
      <w:r w:rsidR="00D913AF" w:rsidRPr="00C244B9">
        <w:rPr>
          <w:bCs/>
          <w:sz w:val="22"/>
          <w:szCs w:val="22"/>
          <w:lang w:val="en-GB"/>
        </w:rPr>
        <w:t xml:space="preserve">Moreover, </w:t>
      </w:r>
      <w:r w:rsidR="00E74F99" w:rsidRPr="00C244B9">
        <w:rPr>
          <w:bCs/>
          <w:sz w:val="22"/>
          <w:szCs w:val="22"/>
          <w:lang w:val="en-GB"/>
        </w:rPr>
        <w:t xml:space="preserve">national </w:t>
      </w:r>
      <w:r w:rsidRPr="00C244B9">
        <w:rPr>
          <w:bCs/>
          <w:sz w:val="22"/>
          <w:szCs w:val="22"/>
          <w:lang w:val="en-GB"/>
        </w:rPr>
        <w:t>differences increase the extent of adaptation needed to reach consumers, and reduce the efficiency of interaction with (external) business partners and (internal) employees. Thus, in general the greater the difference, the greater is the need for global leadership capabilities to manage increasingly complex interfaces. While distance may also offer some firms opportunities for arbitrage’ (Ghemawat, 2007), for companies at early stages of their internationalization, the costs of distance usually outweigh such potentialities (Johansen &amp; Vahlne, 2009).  Hence, our baseline expectation</w:t>
      </w:r>
      <w:r w:rsidR="00D913AF" w:rsidRPr="00C244B9">
        <w:rPr>
          <w:bCs/>
          <w:sz w:val="22"/>
          <w:szCs w:val="22"/>
          <w:lang w:val="en-GB"/>
        </w:rPr>
        <w:t xml:space="preserve"> </w:t>
      </w:r>
      <w:r w:rsidR="0049120D" w:rsidRPr="00C244B9">
        <w:rPr>
          <w:bCs/>
          <w:sz w:val="22"/>
          <w:szCs w:val="22"/>
          <w:lang w:val="en-GB"/>
        </w:rPr>
        <w:t>is</w:t>
      </w:r>
      <w:r w:rsidRPr="00C244B9">
        <w:rPr>
          <w:bCs/>
          <w:sz w:val="22"/>
          <w:szCs w:val="22"/>
          <w:lang w:val="en-GB"/>
        </w:rPr>
        <w:t xml:space="preserve"> that </w:t>
      </w:r>
      <w:r w:rsidR="00CD5B0C" w:rsidRPr="00C244B9">
        <w:rPr>
          <w:bCs/>
          <w:i/>
          <w:sz w:val="22"/>
          <w:szCs w:val="22"/>
          <w:lang w:val="en-GB"/>
        </w:rPr>
        <w:t>all</w:t>
      </w:r>
      <w:r w:rsidR="00CD5B0C" w:rsidRPr="00C244B9">
        <w:rPr>
          <w:bCs/>
          <w:sz w:val="22"/>
          <w:szCs w:val="22"/>
          <w:lang w:val="en-GB"/>
        </w:rPr>
        <w:t xml:space="preserve"> </w:t>
      </w:r>
      <w:r w:rsidRPr="00C244B9">
        <w:rPr>
          <w:bCs/>
          <w:i/>
          <w:sz w:val="22"/>
          <w:szCs w:val="22"/>
          <w:lang w:val="en-GB"/>
        </w:rPr>
        <w:t>MNEs are less likely to invest in a country that is located at a greater distance from the home economy, but more likely where the same official language is spoken</w:t>
      </w:r>
      <w:r w:rsidRPr="00C244B9">
        <w:rPr>
          <w:bCs/>
          <w:sz w:val="22"/>
          <w:szCs w:val="22"/>
          <w:lang w:val="en-GB"/>
        </w:rPr>
        <w:t xml:space="preserve">. </w:t>
      </w:r>
    </w:p>
    <w:p w14:paraId="4A2F88A4" w14:textId="52D271D8" w:rsidR="00BF33A1" w:rsidRPr="00C244B9" w:rsidRDefault="00BF33A1" w:rsidP="005A3198">
      <w:pPr>
        <w:spacing w:line="480" w:lineRule="auto"/>
        <w:ind w:firstLine="720"/>
        <w:rPr>
          <w:bCs/>
          <w:sz w:val="22"/>
          <w:szCs w:val="22"/>
          <w:lang w:val="en-GB"/>
        </w:rPr>
      </w:pPr>
      <w:r w:rsidRPr="00C244B9">
        <w:rPr>
          <w:bCs/>
          <w:sz w:val="22"/>
          <w:szCs w:val="22"/>
          <w:lang w:val="en-GB"/>
        </w:rPr>
        <w:t xml:space="preserve">However, the effect of distance on location decisions is critically moderated by international management capabilities </w:t>
      </w:r>
      <w:r w:rsidR="00D913AF" w:rsidRPr="00C244B9">
        <w:rPr>
          <w:bCs/>
          <w:sz w:val="22"/>
          <w:szCs w:val="22"/>
          <w:lang w:val="en-GB"/>
        </w:rPr>
        <w:t xml:space="preserve">available </w:t>
      </w:r>
      <w:r w:rsidRPr="00C244B9">
        <w:rPr>
          <w:bCs/>
          <w:sz w:val="22"/>
          <w:szCs w:val="22"/>
          <w:lang w:val="en-GB"/>
        </w:rPr>
        <w:t xml:space="preserve">in the home economy. Certain costs of distance decline with the experiential knowledge held by or available to the management team (Kirca et al., 2012; Sambharya, 1996; Tan &amp; Meyer, 2010). For example, internationally experienced managers know better how to manage diverse workforces, and how to adapt human resource systems to a workforce that is culturally or otherwise different from the parent organization. Moreover, being able to draw upon experience in diverse settings strengthens absorptive capacity of the parent organization and thus the ability to integrate knowledge potentially available in distant locations (Ambos et al., 2006; Kotabe et al., 2011). </w:t>
      </w:r>
    </w:p>
    <w:p w14:paraId="1C99DA84" w14:textId="52E3657B" w:rsidR="00BF33A1" w:rsidRPr="00C244B9" w:rsidRDefault="00BF33A1" w:rsidP="00032263">
      <w:pPr>
        <w:spacing w:line="480" w:lineRule="auto"/>
        <w:ind w:firstLine="397"/>
        <w:rPr>
          <w:bCs/>
          <w:sz w:val="22"/>
          <w:szCs w:val="22"/>
          <w:lang w:val="en-GB"/>
        </w:rPr>
      </w:pPr>
      <w:r w:rsidRPr="00C244B9">
        <w:rPr>
          <w:bCs/>
          <w:sz w:val="22"/>
          <w:szCs w:val="22"/>
          <w:lang w:val="en-GB"/>
        </w:rPr>
        <w:t>As we have argued above, international management capabilit</w:t>
      </w:r>
      <w:r w:rsidR="009A1F57" w:rsidRPr="00C244B9">
        <w:rPr>
          <w:bCs/>
          <w:sz w:val="22"/>
          <w:szCs w:val="22"/>
          <w:lang w:val="en-GB"/>
        </w:rPr>
        <w:t>ies</w:t>
      </w:r>
      <w:r w:rsidRPr="00C244B9">
        <w:rPr>
          <w:bCs/>
          <w:sz w:val="22"/>
          <w:szCs w:val="22"/>
          <w:lang w:val="en-GB"/>
        </w:rPr>
        <w:t xml:space="preserve"> tend to be scarce in EEs, and that applies even more to competences related to managing in c</w:t>
      </w:r>
      <w:r w:rsidR="00481069" w:rsidRPr="00C244B9">
        <w:rPr>
          <w:bCs/>
          <w:sz w:val="22"/>
          <w:szCs w:val="22"/>
          <w:lang w:val="en-GB"/>
        </w:rPr>
        <w:t>ontext</w:t>
      </w:r>
      <w:r w:rsidRPr="00C244B9">
        <w:rPr>
          <w:bCs/>
          <w:sz w:val="22"/>
          <w:szCs w:val="22"/>
          <w:lang w:val="en-GB"/>
        </w:rPr>
        <w:t xml:space="preserve">s that are very different to what the top management is familiar with. EE MNEs face considerable challenges to recruit, prepare and manage managers able to take on leadership roles in subsidiaries that operate in very distant foreign </w:t>
      </w:r>
      <w:r w:rsidR="00481069" w:rsidRPr="00C244B9">
        <w:rPr>
          <w:bCs/>
          <w:sz w:val="22"/>
          <w:szCs w:val="22"/>
          <w:lang w:val="en-GB"/>
        </w:rPr>
        <w:t xml:space="preserve">locations </w:t>
      </w:r>
      <w:r w:rsidRPr="00C244B9">
        <w:rPr>
          <w:bCs/>
          <w:sz w:val="22"/>
          <w:szCs w:val="22"/>
          <w:lang w:val="en-GB"/>
        </w:rPr>
        <w:t xml:space="preserve">(Arp, 2014; </w:t>
      </w:r>
      <w:r w:rsidR="008C3994" w:rsidRPr="00C244B9">
        <w:rPr>
          <w:bCs/>
          <w:sz w:val="22"/>
          <w:szCs w:val="22"/>
          <w:lang w:val="en-GB"/>
        </w:rPr>
        <w:t>Meyer &amp; Xin, 2018</w:t>
      </w:r>
      <w:r w:rsidRPr="00C244B9">
        <w:rPr>
          <w:bCs/>
          <w:sz w:val="22"/>
          <w:szCs w:val="22"/>
          <w:lang w:val="en-GB"/>
        </w:rPr>
        <w:t xml:space="preserve">). </w:t>
      </w:r>
    </w:p>
    <w:p w14:paraId="5560B2BF" w14:textId="074CC808" w:rsidR="00BF33A1" w:rsidRPr="00C244B9" w:rsidRDefault="00BF33A1" w:rsidP="00E74F99">
      <w:pPr>
        <w:spacing w:line="480" w:lineRule="auto"/>
        <w:ind w:firstLine="397"/>
        <w:rPr>
          <w:bCs/>
          <w:sz w:val="22"/>
          <w:szCs w:val="22"/>
          <w:lang w:val="en-GB"/>
        </w:rPr>
      </w:pPr>
      <w:r w:rsidRPr="00C244B9">
        <w:rPr>
          <w:bCs/>
          <w:sz w:val="22"/>
          <w:szCs w:val="22"/>
          <w:lang w:val="en-GB"/>
        </w:rPr>
        <w:lastRenderedPageBreak/>
        <w:t xml:space="preserve">Even in EEs, some individuals likely have experience of living or doing business in countries that are nearby or share a common language, for example through student travel, temporary work or au pairing. </w:t>
      </w:r>
      <w:r w:rsidR="00481069" w:rsidRPr="00C244B9">
        <w:rPr>
          <w:bCs/>
          <w:sz w:val="22"/>
          <w:szCs w:val="22"/>
          <w:lang w:val="en-GB"/>
        </w:rPr>
        <w:t>But a</w:t>
      </w:r>
      <w:r w:rsidRPr="00C244B9">
        <w:rPr>
          <w:bCs/>
          <w:sz w:val="22"/>
          <w:szCs w:val="22"/>
          <w:lang w:val="en-GB"/>
        </w:rPr>
        <w:t>s countries become more distant, the likelihood of these cas</w:t>
      </w:r>
      <w:r w:rsidR="00B01EBA">
        <w:rPr>
          <w:bCs/>
          <w:sz w:val="22"/>
          <w:szCs w:val="22"/>
          <w:lang w:val="en-GB"/>
        </w:rPr>
        <w:t>u</w:t>
      </w:r>
      <w:r w:rsidRPr="00C244B9">
        <w:rPr>
          <w:bCs/>
          <w:sz w:val="22"/>
          <w:szCs w:val="22"/>
          <w:lang w:val="en-GB"/>
        </w:rPr>
        <w:t xml:space="preserve">al exchanges is reduced because the costs and the complexity of undertaking them increase. Because </w:t>
      </w:r>
      <w:r w:rsidR="00481069" w:rsidRPr="00C244B9">
        <w:rPr>
          <w:bCs/>
          <w:sz w:val="22"/>
          <w:szCs w:val="22"/>
          <w:lang w:val="en-GB"/>
        </w:rPr>
        <w:t xml:space="preserve">people in EE have </w:t>
      </w:r>
      <w:r w:rsidRPr="00C244B9">
        <w:rPr>
          <w:bCs/>
          <w:sz w:val="22"/>
          <w:szCs w:val="22"/>
          <w:lang w:val="en-GB"/>
        </w:rPr>
        <w:t xml:space="preserve">less experience </w:t>
      </w:r>
      <w:r w:rsidR="00481069" w:rsidRPr="00C244B9">
        <w:rPr>
          <w:bCs/>
          <w:sz w:val="22"/>
          <w:szCs w:val="22"/>
          <w:lang w:val="en-GB"/>
        </w:rPr>
        <w:t xml:space="preserve">engaging with </w:t>
      </w:r>
      <w:r w:rsidRPr="00C244B9">
        <w:rPr>
          <w:bCs/>
          <w:sz w:val="22"/>
          <w:szCs w:val="22"/>
          <w:lang w:val="en-GB"/>
        </w:rPr>
        <w:t xml:space="preserve">countries that are more distant, it is harder to identify and recruit </w:t>
      </w:r>
      <w:r w:rsidR="00481069" w:rsidRPr="00C244B9">
        <w:rPr>
          <w:bCs/>
          <w:sz w:val="22"/>
          <w:szCs w:val="22"/>
          <w:lang w:val="en-GB"/>
        </w:rPr>
        <w:t xml:space="preserve">managerial talent </w:t>
      </w:r>
      <w:r w:rsidRPr="00C244B9">
        <w:rPr>
          <w:bCs/>
          <w:sz w:val="22"/>
          <w:szCs w:val="22"/>
          <w:lang w:val="en-GB"/>
        </w:rPr>
        <w:t xml:space="preserve">with the relevant skills. This will raise the cost of operating in more distant locations, </w:t>
      </w:r>
      <w:r w:rsidR="00481069" w:rsidRPr="00C244B9">
        <w:rPr>
          <w:bCs/>
          <w:sz w:val="22"/>
          <w:szCs w:val="22"/>
          <w:lang w:val="en-GB"/>
        </w:rPr>
        <w:t>such that</w:t>
      </w:r>
      <w:r w:rsidRPr="00C244B9">
        <w:rPr>
          <w:bCs/>
          <w:sz w:val="22"/>
          <w:szCs w:val="22"/>
          <w:lang w:val="en-GB"/>
        </w:rPr>
        <w:t xml:space="preserve"> we suggest:</w:t>
      </w:r>
    </w:p>
    <w:p w14:paraId="79B63D73" w14:textId="6FACDDF2" w:rsidR="00BF33A1" w:rsidRPr="00C244B9" w:rsidRDefault="00BF33A1" w:rsidP="00481069">
      <w:pPr>
        <w:spacing w:line="480" w:lineRule="auto"/>
        <w:ind w:left="720" w:hanging="720"/>
        <w:rPr>
          <w:b/>
          <w:bCs/>
          <w:i/>
          <w:sz w:val="22"/>
          <w:szCs w:val="22"/>
          <w:lang w:val="en-GB"/>
        </w:rPr>
      </w:pPr>
      <w:r w:rsidRPr="00725DBC">
        <w:rPr>
          <w:b/>
          <w:bCs/>
          <w:i/>
          <w:sz w:val="22"/>
          <w:szCs w:val="22"/>
          <w:lang w:val="en-GB"/>
        </w:rPr>
        <w:t xml:space="preserve">Hypothesis </w:t>
      </w:r>
      <w:r w:rsidR="00D913AF" w:rsidRPr="00725DBC">
        <w:rPr>
          <w:b/>
          <w:bCs/>
          <w:i/>
          <w:sz w:val="22"/>
          <w:szCs w:val="22"/>
          <w:lang w:val="en-GB"/>
        </w:rPr>
        <w:t>2</w:t>
      </w:r>
      <w:r w:rsidRPr="00725DBC">
        <w:rPr>
          <w:b/>
          <w:bCs/>
          <w:i/>
          <w:sz w:val="22"/>
          <w:szCs w:val="22"/>
          <w:lang w:val="en-GB"/>
        </w:rPr>
        <w:t xml:space="preserve">: </w:t>
      </w:r>
      <w:r w:rsidR="001A13A8" w:rsidRPr="00725DBC">
        <w:rPr>
          <w:b/>
          <w:bCs/>
          <w:i/>
          <w:sz w:val="22"/>
          <w:szCs w:val="22"/>
          <w:lang w:val="en-GB"/>
        </w:rPr>
        <w:t>T</w:t>
      </w:r>
      <w:r w:rsidRPr="00725DBC">
        <w:rPr>
          <w:b/>
          <w:bCs/>
          <w:i/>
          <w:sz w:val="22"/>
          <w:szCs w:val="22"/>
          <w:lang w:val="en-GB"/>
        </w:rPr>
        <w:t xml:space="preserve">he </w:t>
      </w:r>
      <w:r w:rsidR="005E166E">
        <w:rPr>
          <w:b/>
          <w:bCs/>
          <w:i/>
          <w:sz w:val="22"/>
          <w:szCs w:val="22"/>
          <w:lang w:val="en-GB"/>
        </w:rPr>
        <w:t xml:space="preserve">less </w:t>
      </w:r>
      <w:r w:rsidRPr="00725DBC">
        <w:rPr>
          <w:b/>
          <w:bCs/>
          <w:i/>
          <w:sz w:val="22"/>
          <w:szCs w:val="22"/>
          <w:lang w:val="en-GB"/>
        </w:rPr>
        <w:t>the distance</w:t>
      </w:r>
      <w:r w:rsidR="001A13A8" w:rsidRPr="00725DBC">
        <w:rPr>
          <w:b/>
          <w:bCs/>
          <w:i/>
          <w:sz w:val="22"/>
          <w:szCs w:val="22"/>
          <w:lang w:val="en-GB"/>
        </w:rPr>
        <w:t xml:space="preserve"> between </w:t>
      </w:r>
      <w:r w:rsidR="00C57034" w:rsidRPr="00725DBC">
        <w:rPr>
          <w:b/>
          <w:bCs/>
          <w:i/>
          <w:sz w:val="22"/>
          <w:szCs w:val="22"/>
          <w:lang w:val="en-GB"/>
        </w:rPr>
        <w:t>the home and host country,</w:t>
      </w:r>
      <w:r w:rsidR="001A13A8" w:rsidRPr="00725DBC">
        <w:rPr>
          <w:b/>
          <w:bCs/>
          <w:i/>
          <w:sz w:val="22"/>
          <w:szCs w:val="22"/>
          <w:lang w:val="en-GB"/>
        </w:rPr>
        <w:t xml:space="preserve"> the more likely</w:t>
      </w:r>
      <w:r w:rsidR="005E166E">
        <w:rPr>
          <w:b/>
          <w:bCs/>
          <w:i/>
          <w:sz w:val="22"/>
          <w:szCs w:val="22"/>
          <w:lang w:val="en-GB"/>
        </w:rPr>
        <w:t xml:space="preserve"> is an </w:t>
      </w:r>
      <w:r w:rsidR="001A13A8" w:rsidRPr="00725DBC">
        <w:rPr>
          <w:b/>
          <w:bCs/>
          <w:i/>
          <w:sz w:val="22"/>
          <w:szCs w:val="22"/>
          <w:lang w:val="en-GB"/>
        </w:rPr>
        <w:t>MNE to locate in th</w:t>
      </w:r>
      <w:r w:rsidR="005E166E">
        <w:rPr>
          <w:b/>
          <w:bCs/>
          <w:i/>
          <w:sz w:val="22"/>
          <w:szCs w:val="22"/>
          <w:lang w:val="en-GB"/>
        </w:rPr>
        <w:t>at particular</w:t>
      </w:r>
      <w:r w:rsidR="001A13A8" w:rsidRPr="00725DBC">
        <w:rPr>
          <w:b/>
          <w:bCs/>
          <w:i/>
          <w:sz w:val="22"/>
          <w:szCs w:val="22"/>
          <w:lang w:val="en-GB"/>
        </w:rPr>
        <w:t xml:space="preserve"> host country</w:t>
      </w:r>
      <w:r w:rsidR="005E166E">
        <w:rPr>
          <w:b/>
          <w:bCs/>
          <w:i/>
          <w:sz w:val="22"/>
          <w:szCs w:val="22"/>
          <w:lang w:val="en-GB"/>
        </w:rPr>
        <w:t>. T</w:t>
      </w:r>
      <w:r w:rsidRPr="00D11E58">
        <w:rPr>
          <w:b/>
          <w:bCs/>
          <w:i/>
          <w:sz w:val="22"/>
          <w:szCs w:val="22"/>
          <w:lang w:val="en-GB"/>
        </w:rPr>
        <w:t xml:space="preserve">his effect is </w:t>
      </w:r>
      <w:r w:rsidRPr="00D11E58">
        <w:rPr>
          <w:b/>
          <w:bCs/>
          <w:i/>
          <w:sz w:val="22"/>
          <w:szCs w:val="22"/>
          <w:u w:val="single"/>
          <w:lang w:val="en-GB"/>
        </w:rPr>
        <w:t>stronger</w:t>
      </w:r>
      <w:r w:rsidRPr="00D11E58">
        <w:rPr>
          <w:b/>
          <w:bCs/>
          <w:i/>
          <w:sz w:val="22"/>
          <w:szCs w:val="22"/>
          <w:lang w:val="en-GB"/>
        </w:rPr>
        <w:t xml:space="preserve"> for EE MNEs than for AE MNEs.</w:t>
      </w:r>
      <w:r w:rsidRPr="00C244B9">
        <w:rPr>
          <w:b/>
          <w:bCs/>
          <w:i/>
          <w:sz w:val="22"/>
          <w:szCs w:val="22"/>
          <w:lang w:val="en-GB"/>
        </w:rPr>
        <w:t xml:space="preserve">  </w:t>
      </w:r>
    </w:p>
    <w:p w14:paraId="1EB67B22" w14:textId="77777777" w:rsidR="00D913AF" w:rsidRPr="00C244B9" w:rsidRDefault="00D913AF" w:rsidP="00111E44">
      <w:pPr>
        <w:spacing w:line="480" w:lineRule="auto"/>
        <w:rPr>
          <w:b/>
          <w:sz w:val="22"/>
          <w:szCs w:val="22"/>
          <w:lang w:val="en-GB"/>
        </w:rPr>
      </w:pPr>
      <w:r w:rsidRPr="00C244B9">
        <w:rPr>
          <w:b/>
          <w:sz w:val="22"/>
          <w:szCs w:val="22"/>
          <w:lang w:val="en-GB"/>
        </w:rPr>
        <w:t>Diaspora reducing the liability of foreignness</w:t>
      </w:r>
    </w:p>
    <w:p w14:paraId="3923BB84" w14:textId="78C7198C" w:rsidR="00481069" w:rsidRPr="00C244B9" w:rsidRDefault="00CF2B84" w:rsidP="00E74F99">
      <w:pPr>
        <w:spacing w:line="480" w:lineRule="auto"/>
        <w:rPr>
          <w:sz w:val="22"/>
          <w:szCs w:val="22"/>
          <w:lang w:val="en-GB"/>
        </w:rPr>
      </w:pPr>
      <w:r>
        <w:rPr>
          <w:sz w:val="22"/>
          <w:szCs w:val="22"/>
          <w:lang w:val="en-GB"/>
        </w:rPr>
        <w:t>P</w:t>
      </w:r>
      <w:r w:rsidR="003D7A78" w:rsidRPr="00C244B9">
        <w:rPr>
          <w:sz w:val="22"/>
          <w:szCs w:val="22"/>
          <w:lang w:val="en-GB"/>
        </w:rPr>
        <w:t>opulations within the host economy who have migrated from the investing country</w:t>
      </w:r>
      <w:r>
        <w:rPr>
          <w:sz w:val="22"/>
          <w:szCs w:val="22"/>
          <w:lang w:val="en-GB"/>
        </w:rPr>
        <w:t xml:space="preserve"> can help investors build bridges to the host economy and thus to reduce some barriers to entry</w:t>
      </w:r>
      <w:r w:rsidR="003D7A78" w:rsidRPr="00C244B9">
        <w:rPr>
          <w:sz w:val="22"/>
          <w:szCs w:val="22"/>
          <w:lang w:val="en-GB"/>
        </w:rPr>
        <w:t xml:space="preserve"> (Javorcic, </w:t>
      </w:r>
      <w:r w:rsidR="00222577">
        <w:rPr>
          <w:sz w:val="22"/>
          <w:szCs w:val="22"/>
          <w:lang w:val="en-GB"/>
        </w:rPr>
        <w:t>Ö</w:t>
      </w:r>
      <w:r w:rsidR="003D7A78" w:rsidRPr="00C244B9">
        <w:rPr>
          <w:sz w:val="22"/>
          <w:szCs w:val="22"/>
          <w:lang w:val="en-GB"/>
        </w:rPr>
        <w:t>zden, Spatareanu, Neagu, 2011</w:t>
      </w:r>
      <w:r w:rsidR="00A278A6" w:rsidRPr="00C244B9">
        <w:rPr>
          <w:sz w:val="22"/>
          <w:szCs w:val="22"/>
          <w:lang w:val="en-GB"/>
        </w:rPr>
        <w:t>; Saxenian, 2006</w:t>
      </w:r>
      <w:r w:rsidR="003D7A78" w:rsidRPr="00C244B9">
        <w:rPr>
          <w:sz w:val="22"/>
          <w:szCs w:val="22"/>
          <w:lang w:val="en-GB"/>
        </w:rPr>
        <w:t xml:space="preserve">). </w:t>
      </w:r>
      <w:r w:rsidR="006D15DE" w:rsidRPr="00C244B9">
        <w:rPr>
          <w:sz w:val="22"/>
          <w:szCs w:val="22"/>
          <w:lang w:val="en-GB"/>
        </w:rPr>
        <w:t>This is because successful FDI relies on good information about a huge variety of business issues in the host economy</w:t>
      </w:r>
      <w:r w:rsidR="00481069" w:rsidRPr="00C244B9">
        <w:rPr>
          <w:sz w:val="22"/>
          <w:szCs w:val="22"/>
          <w:lang w:val="en-GB"/>
        </w:rPr>
        <w:t xml:space="preserve">, which </w:t>
      </w:r>
      <w:r w:rsidR="006D15DE" w:rsidRPr="00C244B9">
        <w:rPr>
          <w:sz w:val="22"/>
          <w:szCs w:val="22"/>
          <w:lang w:val="en-GB"/>
        </w:rPr>
        <w:t xml:space="preserve">can be </w:t>
      </w:r>
      <w:r w:rsidR="00323490">
        <w:rPr>
          <w:sz w:val="22"/>
          <w:szCs w:val="22"/>
          <w:lang w:val="en-GB"/>
        </w:rPr>
        <w:t>ver</w:t>
      </w:r>
      <w:r w:rsidR="00323490" w:rsidRPr="00C244B9">
        <w:rPr>
          <w:sz w:val="22"/>
          <w:szCs w:val="22"/>
          <w:lang w:val="en-GB"/>
        </w:rPr>
        <w:t xml:space="preserve">y </w:t>
      </w:r>
      <w:r w:rsidR="006D15DE" w:rsidRPr="00C244B9">
        <w:rPr>
          <w:sz w:val="22"/>
          <w:szCs w:val="22"/>
          <w:lang w:val="en-GB"/>
        </w:rPr>
        <w:t>expensive for potential entrants, whether from AEs or EEs, to gather and process, a</w:t>
      </w:r>
      <w:r w:rsidR="00481069" w:rsidRPr="00C244B9">
        <w:rPr>
          <w:sz w:val="22"/>
          <w:szCs w:val="22"/>
          <w:lang w:val="en-GB"/>
        </w:rPr>
        <w:t xml:space="preserve">s emphasized by </w:t>
      </w:r>
      <w:r w:rsidR="006D15DE" w:rsidRPr="00C244B9">
        <w:rPr>
          <w:sz w:val="22"/>
          <w:szCs w:val="22"/>
          <w:lang w:val="en-GB"/>
        </w:rPr>
        <w:t>the notion of the liability of foreignness (Zaheer, 1995).</w:t>
      </w:r>
      <w:r w:rsidR="00481069" w:rsidRPr="00C244B9">
        <w:rPr>
          <w:sz w:val="22"/>
          <w:szCs w:val="22"/>
          <w:lang w:val="en-GB"/>
        </w:rPr>
        <w:t xml:space="preserve"> </w:t>
      </w:r>
      <w:r w:rsidR="006D15DE" w:rsidRPr="00C244B9">
        <w:rPr>
          <w:sz w:val="22"/>
          <w:szCs w:val="22"/>
          <w:lang w:val="en-GB"/>
        </w:rPr>
        <w:t xml:space="preserve">However, the costs of obtaining and  processing this information can be reduced </w:t>
      </w:r>
      <w:r w:rsidR="00B36697" w:rsidRPr="00C244B9">
        <w:rPr>
          <w:sz w:val="22"/>
          <w:szCs w:val="22"/>
          <w:lang w:val="en-GB"/>
        </w:rPr>
        <w:t>by</w:t>
      </w:r>
      <w:r w:rsidR="006D15DE" w:rsidRPr="00C244B9">
        <w:rPr>
          <w:sz w:val="22"/>
          <w:szCs w:val="22"/>
          <w:lang w:val="en-GB"/>
        </w:rPr>
        <w:t xml:space="preserve"> migrants resident in the host economy who can act as a source of information and as a mechanism to interpret differences between the home and host economy in a manner that can be more easily assimilated by the investing MNE. </w:t>
      </w:r>
    </w:p>
    <w:p w14:paraId="3A7FBD65" w14:textId="10D774C3" w:rsidR="00323490" w:rsidRDefault="006D15DE" w:rsidP="00032263">
      <w:pPr>
        <w:spacing w:line="480" w:lineRule="auto"/>
        <w:ind w:firstLine="397"/>
        <w:rPr>
          <w:sz w:val="22"/>
          <w:szCs w:val="22"/>
          <w:lang w:val="en-GB"/>
        </w:rPr>
      </w:pPr>
      <w:r w:rsidRPr="00C244B9">
        <w:rPr>
          <w:sz w:val="22"/>
          <w:szCs w:val="22"/>
          <w:lang w:val="en-GB"/>
        </w:rPr>
        <w:t xml:space="preserve">To investigate this idea, a small literature has explored the links between FDI and the existence of ethnic networks in the host economy, and for the most part has confirmed its relevance empirically. For example, Kugler and Rappoport (2007) </w:t>
      </w:r>
      <w:r w:rsidR="00323490">
        <w:rPr>
          <w:sz w:val="22"/>
          <w:szCs w:val="22"/>
          <w:lang w:val="en-GB"/>
        </w:rPr>
        <w:t>find</w:t>
      </w:r>
      <w:r w:rsidRPr="00C244B9">
        <w:rPr>
          <w:sz w:val="22"/>
          <w:szCs w:val="22"/>
          <w:lang w:val="en-GB"/>
        </w:rPr>
        <w:t xml:space="preserve"> that migration at one point of time is associated with a future increase in the level of FDI. </w:t>
      </w:r>
      <w:r w:rsidR="00323490">
        <w:rPr>
          <w:sz w:val="22"/>
          <w:szCs w:val="22"/>
          <w:lang w:val="en-GB"/>
        </w:rPr>
        <w:t xml:space="preserve">Moreover, </w:t>
      </w:r>
      <w:r w:rsidR="0049120D" w:rsidRPr="00C244B9">
        <w:rPr>
          <w:sz w:val="22"/>
          <w:szCs w:val="22"/>
          <w:lang w:val="en-GB"/>
        </w:rPr>
        <w:t xml:space="preserve">evidence </w:t>
      </w:r>
      <w:r w:rsidR="00323490">
        <w:rPr>
          <w:sz w:val="22"/>
          <w:szCs w:val="22"/>
          <w:lang w:val="en-GB"/>
        </w:rPr>
        <w:t xml:space="preserve">from </w:t>
      </w:r>
      <w:r w:rsidR="0049120D" w:rsidRPr="00C244B9">
        <w:rPr>
          <w:sz w:val="22"/>
          <w:szCs w:val="22"/>
          <w:lang w:val="en-GB"/>
        </w:rPr>
        <w:t>China</w:t>
      </w:r>
      <w:r w:rsidR="00DC215B" w:rsidRPr="00C244B9">
        <w:rPr>
          <w:sz w:val="22"/>
          <w:szCs w:val="22"/>
          <w:lang w:val="en-GB"/>
        </w:rPr>
        <w:t>, which has a large migrant diaspora</w:t>
      </w:r>
      <w:r w:rsidR="00323490">
        <w:rPr>
          <w:sz w:val="22"/>
          <w:szCs w:val="22"/>
          <w:lang w:val="en-GB"/>
        </w:rPr>
        <w:t xml:space="preserve">, suggests </w:t>
      </w:r>
      <w:r w:rsidR="00DC215B" w:rsidRPr="00C244B9">
        <w:rPr>
          <w:sz w:val="22"/>
          <w:szCs w:val="22"/>
          <w:lang w:val="en-GB"/>
        </w:rPr>
        <w:t xml:space="preserve">a positive relationship between </w:t>
      </w:r>
      <w:r w:rsidR="00DC215B" w:rsidRPr="00C244B9">
        <w:rPr>
          <w:sz w:val="22"/>
          <w:szCs w:val="22"/>
          <w:lang w:val="en-GB"/>
        </w:rPr>
        <w:lastRenderedPageBreak/>
        <w:t>the numbers of ethnic Chinese in host country locations and FDI inflows</w:t>
      </w:r>
      <w:r w:rsidR="00323490">
        <w:rPr>
          <w:sz w:val="22"/>
          <w:szCs w:val="22"/>
          <w:lang w:val="en-GB"/>
        </w:rPr>
        <w:t xml:space="preserve"> (Tong, 2005)</w:t>
      </w:r>
      <w:r w:rsidR="00DC215B" w:rsidRPr="00C244B9">
        <w:rPr>
          <w:sz w:val="22"/>
          <w:szCs w:val="22"/>
          <w:lang w:val="en-GB"/>
        </w:rPr>
        <w:t xml:space="preserve">. </w:t>
      </w:r>
      <w:r w:rsidR="00323490">
        <w:rPr>
          <w:sz w:val="22"/>
          <w:szCs w:val="22"/>
          <w:lang w:val="en-GB"/>
        </w:rPr>
        <w:t xml:space="preserve">Thus, our baseline prediction is that </w:t>
      </w:r>
      <w:r w:rsidR="002A4E96" w:rsidRPr="00C244B9">
        <w:rPr>
          <w:i/>
          <w:sz w:val="22"/>
          <w:szCs w:val="22"/>
          <w:lang w:val="en-GB"/>
        </w:rPr>
        <w:t>migrant diaspora reduc</w:t>
      </w:r>
      <w:r w:rsidR="00323490">
        <w:rPr>
          <w:i/>
          <w:sz w:val="22"/>
          <w:szCs w:val="22"/>
          <w:lang w:val="en-GB"/>
        </w:rPr>
        <w:t>e</w:t>
      </w:r>
      <w:r w:rsidR="002A4E96" w:rsidRPr="00C244B9">
        <w:rPr>
          <w:i/>
          <w:sz w:val="22"/>
          <w:szCs w:val="22"/>
          <w:lang w:val="en-GB"/>
        </w:rPr>
        <w:t xml:space="preserve"> the liability of foreignness </w:t>
      </w:r>
      <w:r w:rsidR="00323490">
        <w:rPr>
          <w:i/>
          <w:sz w:val="22"/>
          <w:szCs w:val="22"/>
          <w:lang w:val="en-GB"/>
        </w:rPr>
        <w:t xml:space="preserve">for </w:t>
      </w:r>
      <w:r w:rsidR="002A4E96" w:rsidRPr="00C244B9">
        <w:rPr>
          <w:i/>
          <w:sz w:val="22"/>
          <w:szCs w:val="22"/>
          <w:lang w:val="en-GB"/>
        </w:rPr>
        <w:t>MNEs from AEs and EEs</w:t>
      </w:r>
      <w:r w:rsidR="00323490">
        <w:rPr>
          <w:i/>
          <w:sz w:val="22"/>
          <w:szCs w:val="22"/>
          <w:lang w:val="en-GB"/>
        </w:rPr>
        <w:t>.</w:t>
      </w:r>
    </w:p>
    <w:p w14:paraId="3CC5C6BC" w14:textId="3CC0FF49" w:rsidR="002A4E96" w:rsidRPr="00C244B9" w:rsidRDefault="00323490" w:rsidP="00032263">
      <w:pPr>
        <w:spacing w:line="480" w:lineRule="auto"/>
        <w:ind w:firstLine="397"/>
        <w:rPr>
          <w:sz w:val="22"/>
          <w:szCs w:val="22"/>
          <w:lang w:val="en-GB"/>
        </w:rPr>
      </w:pPr>
      <w:r>
        <w:rPr>
          <w:sz w:val="22"/>
          <w:szCs w:val="22"/>
          <w:lang w:val="en-GB"/>
        </w:rPr>
        <w:t>As argued above</w:t>
      </w:r>
      <w:r w:rsidR="002A4E96" w:rsidRPr="00C244B9">
        <w:rPr>
          <w:sz w:val="22"/>
          <w:szCs w:val="22"/>
          <w:lang w:val="en-GB"/>
        </w:rPr>
        <w:t xml:space="preserve">, the need for the provision of relevant host economy market knowledge is relatively greater for </w:t>
      </w:r>
      <w:r w:rsidR="001F6691" w:rsidRPr="00C244B9">
        <w:rPr>
          <w:sz w:val="22"/>
          <w:szCs w:val="22"/>
          <w:lang w:val="en-GB"/>
        </w:rPr>
        <w:t xml:space="preserve">MNEs from </w:t>
      </w:r>
      <w:r w:rsidR="002A4E96" w:rsidRPr="00C244B9">
        <w:rPr>
          <w:sz w:val="22"/>
          <w:szCs w:val="22"/>
          <w:lang w:val="en-GB"/>
        </w:rPr>
        <w:t xml:space="preserve">EEs than AEs because </w:t>
      </w:r>
      <w:r w:rsidR="001F6691" w:rsidRPr="00C244B9">
        <w:rPr>
          <w:sz w:val="22"/>
          <w:szCs w:val="22"/>
          <w:lang w:val="en-GB"/>
        </w:rPr>
        <w:t xml:space="preserve">their business ecosystems have fewer mature </w:t>
      </w:r>
      <w:r>
        <w:rPr>
          <w:sz w:val="22"/>
          <w:szCs w:val="22"/>
          <w:lang w:val="en-GB"/>
        </w:rPr>
        <w:t xml:space="preserve">international </w:t>
      </w:r>
      <w:r w:rsidR="001F6691" w:rsidRPr="00C244B9">
        <w:rPr>
          <w:sz w:val="22"/>
          <w:szCs w:val="22"/>
          <w:lang w:val="en-GB"/>
        </w:rPr>
        <w:t>business ties</w:t>
      </w:r>
      <w:r>
        <w:rPr>
          <w:sz w:val="22"/>
          <w:szCs w:val="22"/>
          <w:lang w:val="en-GB"/>
        </w:rPr>
        <w:t>, and a relative shortage of expertise related to foreign markets</w:t>
      </w:r>
      <w:r w:rsidR="001F6691" w:rsidRPr="00C244B9">
        <w:rPr>
          <w:sz w:val="22"/>
          <w:szCs w:val="22"/>
          <w:lang w:val="en-GB"/>
        </w:rPr>
        <w:t>. Thus</w:t>
      </w:r>
      <w:r w:rsidR="00B36697" w:rsidRPr="00C244B9">
        <w:rPr>
          <w:sz w:val="22"/>
          <w:szCs w:val="22"/>
          <w:lang w:val="en-GB"/>
        </w:rPr>
        <w:t>,</w:t>
      </w:r>
      <w:r w:rsidR="001F6691" w:rsidRPr="00C244B9">
        <w:rPr>
          <w:sz w:val="22"/>
          <w:szCs w:val="22"/>
          <w:lang w:val="en-GB"/>
        </w:rPr>
        <w:t xml:space="preserve"> the liability of foreignness weighs more heavily upon them and their ability to compensate </w:t>
      </w:r>
      <w:r w:rsidR="00AE3471" w:rsidRPr="00C244B9">
        <w:rPr>
          <w:sz w:val="22"/>
          <w:szCs w:val="22"/>
          <w:lang w:val="en-GB"/>
        </w:rPr>
        <w:t xml:space="preserve">through other channels is weaker </w:t>
      </w:r>
      <w:r w:rsidR="001F6691" w:rsidRPr="00C244B9">
        <w:rPr>
          <w:sz w:val="22"/>
          <w:szCs w:val="22"/>
          <w:lang w:val="en-GB"/>
        </w:rPr>
        <w:t xml:space="preserve">because </w:t>
      </w:r>
      <w:r w:rsidR="00AE3471" w:rsidRPr="00C244B9">
        <w:rPr>
          <w:sz w:val="22"/>
          <w:szCs w:val="22"/>
          <w:lang w:val="en-GB"/>
        </w:rPr>
        <w:t xml:space="preserve">of </w:t>
      </w:r>
      <w:r w:rsidR="001F6691" w:rsidRPr="00C244B9">
        <w:rPr>
          <w:sz w:val="22"/>
          <w:szCs w:val="22"/>
          <w:lang w:val="en-GB"/>
        </w:rPr>
        <w:t xml:space="preserve">the </w:t>
      </w:r>
      <w:r w:rsidR="00AE3471" w:rsidRPr="00C244B9">
        <w:rPr>
          <w:sz w:val="22"/>
          <w:szCs w:val="22"/>
          <w:lang w:val="en-GB"/>
        </w:rPr>
        <w:t xml:space="preserve">lesser </w:t>
      </w:r>
      <w:r w:rsidR="001F6691" w:rsidRPr="00C244B9">
        <w:rPr>
          <w:sz w:val="22"/>
          <w:szCs w:val="22"/>
          <w:lang w:val="en-GB"/>
        </w:rPr>
        <w:t>munificence of their home economy</w:t>
      </w:r>
      <w:r w:rsidR="00AE3471" w:rsidRPr="00C244B9">
        <w:rPr>
          <w:sz w:val="22"/>
          <w:szCs w:val="22"/>
          <w:lang w:val="en-GB"/>
        </w:rPr>
        <w:t xml:space="preserve">. </w:t>
      </w:r>
      <w:r w:rsidR="001F6691" w:rsidRPr="00C244B9">
        <w:rPr>
          <w:sz w:val="22"/>
          <w:szCs w:val="22"/>
          <w:lang w:val="en-GB"/>
        </w:rPr>
        <w:t xml:space="preserve">This implies that the access and information provided by a diaspora of migrants is relatively more </w:t>
      </w:r>
      <w:r>
        <w:rPr>
          <w:sz w:val="22"/>
          <w:szCs w:val="22"/>
          <w:lang w:val="en-GB"/>
        </w:rPr>
        <w:t xml:space="preserve">valuable </w:t>
      </w:r>
      <w:r w:rsidR="001F6691" w:rsidRPr="00C244B9">
        <w:rPr>
          <w:sz w:val="22"/>
          <w:szCs w:val="22"/>
          <w:lang w:val="en-GB"/>
        </w:rPr>
        <w:t xml:space="preserve">to </w:t>
      </w:r>
      <w:r w:rsidR="00AE3471" w:rsidRPr="00C244B9">
        <w:rPr>
          <w:sz w:val="22"/>
          <w:szCs w:val="22"/>
          <w:lang w:val="en-GB"/>
        </w:rPr>
        <w:t>EE MNEs than to AE MNEs</w:t>
      </w:r>
      <w:r w:rsidR="001F6691" w:rsidRPr="00C244B9">
        <w:rPr>
          <w:sz w:val="22"/>
          <w:szCs w:val="22"/>
          <w:lang w:val="en-GB"/>
        </w:rPr>
        <w:t xml:space="preserve">. This leads us to </w:t>
      </w:r>
      <w:r w:rsidR="001F6691" w:rsidRPr="00C244B9">
        <w:rPr>
          <w:sz w:val="22"/>
          <w:szCs w:val="22"/>
        </w:rPr>
        <w:t>hypothesi</w:t>
      </w:r>
      <w:r w:rsidR="00E74F99" w:rsidRPr="00C244B9">
        <w:rPr>
          <w:sz w:val="22"/>
          <w:szCs w:val="22"/>
        </w:rPr>
        <w:t>z</w:t>
      </w:r>
      <w:r w:rsidR="001F6691" w:rsidRPr="00C244B9">
        <w:rPr>
          <w:sz w:val="22"/>
          <w:szCs w:val="22"/>
        </w:rPr>
        <w:t>e</w:t>
      </w:r>
      <w:r w:rsidR="001F6691" w:rsidRPr="00C244B9">
        <w:rPr>
          <w:sz w:val="22"/>
          <w:szCs w:val="22"/>
          <w:lang w:val="en-GB"/>
        </w:rPr>
        <w:t xml:space="preserve"> that: </w:t>
      </w:r>
    </w:p>
    <w:p w14:paraId="07BA405B" w14:textId="6B31CA0E" w:rsidR="00FC5BAB" w:rsidRPr="00C244B9" w:rsidRDefault="00FC5BAB" w:rsidP="00E74F99">
      <w:pPr>
        <w:spacing w:line="480" w:lineRule="auto"/>
        <w:ind w:left="720" w:hanging="720"/>
        <w:rPr>
          <w:b/>
          <w:sz w:val="22"/>
          <w:szCs w:val="22"/>
          <w:lang w:val="en-GB"/>
        </w:rPr>
      </w:pPr>
      <w:r w:rsidRPr="00BF62D0">
        <w:rPr>
          <w:b/>
          <w:bCs/>
          <w:i/>
          <w:iCs/>
          <w:sz w:val="22"/>
          <w:szCs w:val="22"/>
          <w:lang w:val="en-GB"/>
        </w:rPr>
        <w:t xml:space="preserve">Hypothesis 3: </w:t>
      </w:r>
      <w:r w:rsidR="001A13A8" w:rsidRPr="00BF62D0">
        <w:rPr>
          <w:b/>
          <w:bCs/>
          <w:i/>
          <w:iCs/>
          <w:sz w:val="22"/>
          <w:szCs w:val="22"/>
          <w:lang w:val="en-GB"/>
        </w:rPr>
        <w:t>T</w:t>
      </w:r>
      <w:r w:rsidR="005A3198" w:rsidRPr="00BF62D0">
        <w:rPr>
          <w:b/>
          <w:bCs/>
          <w:i/>
          <w:iCs/>
          <w:sz w:val="22"/>
          <w:szCs w:val="22"/>
          <w:lang w:val="en-GB"/>
        </w:rPr>
        <w:t>he</w:t>
      </w:r>
      <w:r w:rsidRPr="00BF62D0">
        <w:rPr>
          <w:b/>
          <w:bCs/>
          <w:i/>
          <w:iCs/>
          <w:sz w:val="22"/>
          <w:szCs w:val="22"/>
          <w:lang w:val="en-GB"/>
        </w:rPr>
        <w:t xml:space="preserve"> larger the diaspora from the MNE’s own country of origin,</w:t>
      </w:r>
      <w:r w:rsidR="001A13A8" w:rsidRPr="00BF62D0">
        <w:rPr>
          <w:b/>
          <w:bCs/>
          <w:i/>
          <w:iCs/>
          <w:sz w:val="22"/>
          <w:szCs w:val="22"/>
          <w:lang w:val="en-GB"/>
        </w:rPr>
        <w:t xml:space="preserve"> the more likely</w:t>
      </w:r>
      <w:r w:rsidR="005E166E">
        <w:rPr>
          <w:b/>
          <w:bCs/>
          <w:i/>
          <w:iCs/>
          <w:sz w:val="22"/>
          <w:szCs w:val="22"/>
          <w:lang w:val="en-GB"/>
        </w:rPr>
        <w:t xml:space="preserve"> is an </w:t>
      </w:r>
      <w:r w:rsidR="001A13A8" w:rsidRPr="00BF62D0">
        <w:rPr>
          <w:b/>
          <w:bCs/>
          <w:i/>
          <w:iCs/>
          <w:sz w:val="22"/>
          <w:szCs w:val="22"/>
          <w:lang w:val="en-GB"/>
        </w:rPr>
        <w:t xml:space="preserve"> MNE to locate in th</w:t>
      </w:r>
      <w:r w:rsidR="005E166E">
        <w:rPr>
          <w:b/>
          <w:bCs/>
          <w:i/>
          <w:iCs/>
          <w:sz w:val="22"/>
          <w:szCs w:val="22"/>
          <w:lang w:val="en-GB"/>
        </w:rPr>
        <w:t>at</w:t>
      </w:r>
      <w:r w:rsidR="001A13A8" w:rsidRPr="00BF62D0">
        <w:rPr>
          <w:b/>
          <w:bCs/>
          <w:i/>
          <w:iCs/>
          <w:sz w:val="22"/>
          <w:szCs w:val="22"/>
          <w:lang w:val="en-GB"/>
        </w:rPr>
        <w:t xml:space="preserve"> AE</w:t>
      </w:r>
      <w:r w:rsidR="005E166E">
        <w:rPr>
          <w:b/>
          <w:bCs/>
          <w:i/>
          <w:iCs/>
          <w:sz w:val="22"/>
          <w:szCs w:val="22"/>
          <w:lang w:val="en-GB"/>
        </w:rPr>
        <w:t>. Th</w:t>
      </w:r>
      <w:r w:rsidRPr="00BF62D0">
        <w:rPr>
          <w:b/>
          <w:bCs/>
          <w:i/>
          <w:iCs/>
          <w:sz w:val="22"/>
          <w:szCs w:val="22"/>
          <w:lang w:val="en-GB"/>
        </w:rPr>
        <w:t xml:space="preserve">is effect is </w:t>
      </w:r>
      <w:r w:rsidRPr="00BF62D0">
        <w:rPr>
          <w:b/>
          <w:bCs/>
          <w:i/>
          <w:iCs/>
          <w:sz w:val="22"/>
          <w:szCs w:val="22"/>
          <w:u w:val="single"/>
          <w:lang w:val="en-GB"/>
        </w:rPr>
        <w:t>stronger</w:t>
      </w:r>
      <w:r w:rsidRPr="00BF62D0">
        <w:rPr>
          <w:b/>
          <w:bCs/>
          <w:i/>
          <w:iCs/>
          <w:sz w:val="22"/>
          <w:szCs w:val="22"/>
          <w:lang w:val="en-GB"/>
        </w:rPr>
        <w:t xml:space="preserve"> for EE MNEs than for AE MNEs</w:t>
      </w:r>
      <w:r w:rsidR="001F6691" w:rsidRPr="00BF62D0">
        <w:rPr>
          <w:b/>
          <w:bCs/>
          <w:i/>
          <w:iCs/>
          <w:sz w:val="22"/>
          <w:szCs w:val="22"/>
          <w:lang w:val="en-GB"/>
        </w:rPr>
        <w:t>.</w:t>
      </w:r>
    </w:p>
    <w:p w14:paraId="3CB2A458" w14:textId="4D8DE418" w:rsidR="00111E44" w:rsidRPr="00C244B9" w:rsidRDefault="00111E44" w:rsidP="00111E44">
      <w:pPr>
        <w:spacing w:line="480" w:lineRule="auto"/>
        <w:rPr>
          <w:b/>
          <w:bCs/>
          <w:sz w:val="22"/>
          <w:szCs w:val="22"/>
          <w:lang w:val="en-GB"/>
        </w:rPr>
      </w:pPr>
      <w:r w:rsidRPr="00C244B9">
        <w:rPr>
          <w:b/>
          <w:bCs/>
          <w:sz w:val="22"/>
          <w:szCs w:val="22"/>
          <w:lang w:val="en-GB"/>
        </w:rPr>
        <w:t>Market</w:t>
      </w:r>
      <w:r w:rsidR="001F6691" w:rsidRPr="00C244B9">
        <w:rPr>
          <w:b/>
          <w:bCs/>
          <w:sz w:val="22"/>
          <w:szCs w:val="22"/>
          <w:lang w:val="en-GB"/>
        </w:rPr>
        <w:t xml:space="preserve"> attraction</w:t>
      </w:r>
    </w:p>
    <w:p w14:paraId="2C57920C" w14:textId="035559A5" w:rsidR="00111E44" w:rsidRPr="00C244B9" w:rsidRDefault="00111E44" w:rsidP="00111E44">
      <w:pPr>
        <w:spacing w:line="480" w:lineRule="auto"/>
        <w:rPr>
          <w:bCs/>
          <w:sz w:val="22"/>
          <w:szCs w:val="22"/>
          <w:lang w:val="en-GB"/>
        </w:rPr>
      </w:pPr>
      <w:r w:rsidRPr="00C244B9">
        <w:rPr>
          <w:bCs/>
          <w:sz w:val="22"/>
          <w:szCs w:val="22"/>
          <w:lang w:val="en-GB"/>
        </w:rPr>
        <w:t xml:space="preserve">A </w:t>
      </w:r>
      <w:r w:rsidR="00F4577E" w:rsidRPr="00C244B9">
        <w:rPr>
          <w:bCs/>
          <w:sz w:val="22"/>
          <w:szCs w:val="22"/>
          <w:lang w:val="en-GB"/>
        </w:rPr>
        <w:t xml:space="preserve">primary </w:t>
      </w:r>
      <w:r w:rsidRPr="00C244B9">
        <w:rPr>
          <w:bCs/>
          <w:sz w:val="22"/>
          <w:szCs w:val="22"/>
          <w:lang w:val="en-GB"/>
        </w:rPr>
        <w:t>motive for MNEs to expand internationally is access to overseas markets (</w:t>
      </w:r>
      <w:r w:rsidR="0012714B" w:rsidRPr="00C244B9">
        <w:rPr>
          <w:bCs/>
          <w:sz w:val="22"/>
          <w:szCs w:val="22"/>
          <w:lang w:val="en-GB"/>
        </w:rPr>
        <w:t>Bevan &amp; Estrin, 2004</w:t>
      </w:r>
      <w:r w:rsidR="0012714B">
        <w:rPr>
          <w:bCs/>
          <w:sz w:val="22"/>
          <w:szCs w:val="22"/>
          <w:lang w:val="en-GB"/>
        </w:rPr>
        <w:t xml:space="preserve">; </w:t>
      </w:r>
      <w:r w:rsidRPr="00C244B9">
        <w:rPr>
          <w:bCs/>
          <w:sz w:val="22"/>
          <w:szCs w:val="22"/>
          <w:lang w:val="en-GB"/>
        </w:rPr>
        <w:t xml:space="preserve">Dunning, 1993; </w:t>
      </w:r>
      <w:r w:rsidR="00F4577E" w:rsidRPr="00C244B9">
        <w:rPr>
          <w:bCs/>
          <w:sz w:val="22"/>
          <w:szCs w:val="22"/>
          <w:lang w:val="en-GB"/>
        </w:rPr>
        <w:t>1998</w:t>
      </w:r>
      <w:r w:rsidRPr="00C244B9">
        <w:rPr>
          <w:bCs/>
          <w:sz w:val="22"/>
          <w:szCs w:val="22"/>
          <w:lang w:val="en-GB"/>
        </w:rPr>
        <w:t xml:space="preserve">; </w:t>
      </w:r>
      <w:r w:rsidR="0012714B" w:rsidRPr="00CA1A23">
        <w:rPr>
          <w:bCs/>
          <w:sz w:val="22"/>
          <w:szCs w:val="22"/>
          <w:lang w:val="en-GB"/>
        </w:rPr>
        <w:t>Nielsen Asmussen &amp; Weatherall, 2017</w:t>
      </w:r>
      <w:r w:rsidRPr="00C244B9">
        <w:rPr>
          <w:bCs/>
          <w:sz w:val="22"/>
          <w:szCs w:val="22"/>
          <w:lang w:val="en-GB"/>
        </w:rPr>
        <w:t>). In other words, firms expand overseas to exploit their resources and capabilities by selling their products and services to a wider range of customers</w:t>
      </w:r>
      <w:r w:rsidR="000F6786" w:rsidRPr="00C244B9">
        <w:rPr>
          <w:bCs/>
          <w:sz w:val="22"/>
          <w:szCs w:val="22"/>
          <w:lang w:val="en-GB"/>
        </w:rPr>
        <w:t>.</w:t>
      </w:r>
      <w:r w:rsidRPr="00C244B9">
        <w:rPr>
          <w:bCs/>
          <w:sz w:val="22"/>
          <w:szCs w:val="22"/>
          <w:lang w:val="en-GB"/>
        </w:rPr>
        <w:t xml:space="preserve"> </w:t>
      </w:r>
      <w:r w:rsidR="00323490">
        <w:rPr>
          <w:bCs/>
          <w:sz w:val="22"/>
          <w:szCs w:val="22"/>
          <w:lang w:val="en-GB"/>
        </w:rPr>
        <w:t xml:space="preserve">As </w:t>
      </w:r>
      <w:r w:rsidRPr="00C244B9">
        <w:rPr>
          <w:bCs/>
          <w:sz w:val="22"/>
          <w:szCs w:val="22"/>
          <w:lang w:val="en-GB"/>
        </w:rPr>
        <w:t xml:space="preserve">market-seeking </w:t>
      </w:r>
      <w:r w:rsidR="00323490">
        <w:rPr>
          <w:bCs/>
          <w:sz w:val="22"/>
          <w:szCs w:val="22"/>
          <w:lang w:val="en-GB"/>
        </w:rPr>
        <w:t xml:space="preserve">is the most common motive for </w:t>
      </w:r>
      <w:r w:rsidRPr="00C244B9">
        <w:rPr>
          <w:bCs/>
          <w:sz w:val="22"/>
          <w:szCs w:val="22"/>
          <w:lang w:val="en-GB"/>
        </w:rPr>
        <w:t>FDI</w:t>
      </w:r>
      <w:r w:rsidR="00323490">
        <w:rPr>
          <w:bCs/>
          <w:sz w:val="22"/>
          <w:szCs w:val="22"/>
          <w:lang w:val="en-GB"/>
        </w:rPr>
        <w:t xml:space="preserve">, </w:t>
      </w:r>
      <w:r w:rsidRPr="00C244B9">
        <w:rPr>
          <w:bCs/>
          <w:sz w:val="22"/>
          <w:szCs w:val="22"/>
          <w:lang w:val="en-GB"/>
        </w:rPr>
        <w:t>the number of potential consumers is a major attractor for FDI</w:t>
      </w:r>
      <w:r w:rsidR="00323490">
        <w:rPr>
          <w:bCs/>
          <w:sz w:val="22"/>
          <w:szCs w:val="22"/>
          <w:lang w:val="en-GB"/>
        </w:rPr>
        <w:t xml:space="preserve">. In other words, potential </w:t>
      </w:r>
      <w:r w:rsidR="009E5EF2" w:rsidRPr="00C244B9">
        <w:rPr>
          <w:bCs/>
          <w:sz w:val="22"/>
          <w:szCs w:val="22"/>
          <w:lang w:val="en-GB"/>
        </w:rPr>
        <w:t xml:space="preserve">market size </w:t>
      </w:r>
      <w:r w:rsidR="00E74F99" w:rsidRPr="00C244B9">
        <w:rPr>
          <w:bCs/>
          <w:sz w:val="22"/>
          <w:szCs w:val="22"/>
          <w:lang w:val="en-GB"/>
        </w:rPr>
        <w:t>is</w:t>
      </w:r>
      <w:r w:rsidR="009E5EF2" w:rsidRPr="00C244B9">
        <w:rPr>
          <w:bCs/>
          <w:sz w:val="22"/>
          <w:szCs w:val="22"/>
          <w:lang w:val="en-GB"/>
        </w:rPr>
        <w:t xml:space="preserve"> driven by demographic factors </w:t>
      </w:r>
      <w:r w:rsidR="00084021" w:rsidRPr="00C244B9">
        <w:rPr>
          <w:bCs/>
          <w:sz w:val="22"/>
          <w:szCs w:val="22"/>
          <w:lang w:val="en-GB"/>
        </w:rPr>
        <w:t>(</w:t>
      </w:r>
      <w:r w:rsidR="002B7807" w:rsidRPr="00C244B9">
        <w:rPr>
          <w:bCs/>
          <w:sz w:val="22"/>
          <w:szCs w:val="22"/>
          <w:lang w:val="en-GB"/>
        </w:rPr>
        <w:t xml:space="preserve">O’Neil, 2011; </w:t>
      </w:r>
      <w:r w:rsidR="00084021" w:rsidRPr="00C244B9">
        <w:rPr>
          <w:bCs/>
          <w:sz w:val="22"/>
          <w:szCs w:val="22"/>
          <w:lang w:val="en"/>
        </w:rPr>
        <w:t xml:space="preserve">Townsend, Yeniyurt </w:t>
      </w:r>
      <w:r w:rsidR="000F6786" w:rsidRPr="00C244B9">
        <w:rPr>
          <w:bCs/>
          <w:sz w:val="22"/>
          <w:szCs w:val="22"/>
          <w:lang w:val="en"/>
        </w:rPr>
        <w:t xml:space="preserve">&amp; </w:t>
      </w:r>
      <w:r w:rsidR="00084021" w:rsidRPr="00C244B9">
        <w:rPr>
          <w:bCs/>
          <w:sz w:val="22"/>
          <w:szCs w:val="22"/>
          <w:lang w:val="en"/>
        </w:rPr>
        <w:t>Talay, 2009)</w:t>
      </w:r>
      <w:r w:rsidR="00D74D19" w:rsidRPr="00C244B9">
        <w:rPr>
          <w:bCs/>
          <w:sz w:val="22"/>
          <w:szCs w:val="22"/>
          <w:lang w:val="en"/>
        </w:rPr>
        <w:t xml:space="preserve">. </w:t>
      </w:r>
      <w:r w:rsidR="009E5EF2" w:rsidRPr="00C244B9">
        <w:rPr>
          <w:bCs/>
          <w:sz w:val="22"/>
          <w:szCs w:val="22"/>
          <w:lang w:val="en-GB"/>
        </w:rPr>
        <w:t>O</w:t>
      </w:r>
      <w:r w:rsidRPr="00C244B9">
        <w:rPr>
          <w:bCs/>
          <w:sz w:val="22"/>
          <w:szCs w:val="22"/>
          <w:lang w:val="en-GB"/>
        </w:rPr>
        <w:t>ur baseline prediction is</w:t>
      </w:r>
      <w:r w:rsidR="009E5EF2" w:rsidRPr="00C244B9">
        <w:rPr>
          <w:bCs/>
          <w:sz w:val="22"/>
          <w:szCs w:val="22"/>
          <w:lang w:val="en-GB"/>
        </w:rPr>
        <w:t xml:space="preserve"> </w:t>
      </w:r>
      <w:r w:rsidR="00DE4BC0" w:rsidRPr="00C244B9">
        <w:rPr>
          <w:bCs/>
          <w:sz w:val="22"/>
          <w:szCs w:val="22"/>
          <w:lang w:val="en-GB"/>
        </w:rPr>
        <w:t>therefore that</w:t>
      </w:r>
      <w:r w:rsidRPr="00C244B9">
        <w:rPr>
          <w:bCs/>
          <w:sz w:val="22"/>
          <w:szCs w:val="22"/>
          <w:lang w:val="en-GB"/>
        </w:rPr>
        <w:t xml:space="preserve"> </w:t>
      </w:r>
      <w:r w:rsidR="00CD5B0C" w:rsidRPr="00C244B9">
        <w:rPr>
          <w:bCs/>
          <w:i/>
          <w:sz w:val="22"/>
          <w:szCs w:val="22"/>
          <w:lang w:val="en-GB"/>
        </w:rPr>
        <w:t>all</w:t>
      </w:r>
      <w:r w:rsidR="00CD5B0C" w:rsidRPr="00C244B9">
        <w:rPr>
          <w:bCs/>
          <w:sz w:val="22"/>
          <w:szCs w:val="22"/>
          <w:lang w:val="en-GB"/>
        </w:rPr>
        <w:t xml:space="preserve"> </w:t>
      </w:r>
      <w:r w:rsidRPr="00C244B9">
        <w:rPr>
          <w:bCs/>
          <w:i/>
          <w:sz w:val="22"/>
          <w:szCs w:val="22"/>
          <w:lang w:val="en-GB"/>
        </w:rPr>
        <w:t>MNEs are more likely to invest in countries with large markets</w:t>
      </w:r>
      <w:r w:rsidR="00BE1BB7" w:rsidRPr="00C244B9">
        <w:rPr>
          <w:bCs/>
          <w:i/>
          <w:sz w:val="22"/>
          <w:szCs w:val="22"/>
          <w:lang w:val="en-GB"/>
        </w:rPr>
        <w:t>,</w:t>
      </w:r>
      <w:r w:rsidRPr="00C244B9">
        <w:rPr>
          <w:bCs/>
          <w:i/>
          <w:sz w:val="22"/>
          <w:szCs w:val="22"/>
          <w:lang w:val="en-GB"/>
        </w:rPr>
        <w:t xml:space="preserve"> indicated </w:t>
      </w:r>
      <w:r w:rsidR="00F80A24" w:rsidRPr="00C244B9">
        <w:rPr>
          <w:bCs/>
          <w:i/>
          <w:sz w:val="22"/>
          <w:szCs w:val="22"/>
          <w:lang w:val="en-GB"/>
        </w:rPr>
        <w:t>in particular</w:t>
      </w:r>
      <w:r w:rsidR="00BE1BB7" w:rsidRPr="00C244B9">
        <w:rPr>
          <w:bCs/>
          <w:i/>
          <w:sz w:val="22"/>
          <w:szCs w:val="22"/>
          <w:lang w:val="en-GB"/>
        </w:rPr>
        <w:t xml:space="preserve"> </w:t>
      </w:r>
      <w:r w:rsidRPr="00C244B9">
        <w:rPr>
          <w:bCs/>
          <w:i/>
          <w:sz w:val="22"/>
          <w:szCs w:val="22"/>
          <w:lang w:val="en-GB"/>
        </w:rPr>
        <w:t>by large populations</w:t>
      </w:r>
      <w:r w:rsidRPr="00C244B9">
        <w:rPr>
          <w:bCs/>
          <w:sz w:val="22"/>
          <w:szCs w:val="22"/>
          <w:lang w:val="en-GB"/>
        </w:rPr>
        <w:t xml:space="preserve">. </w:t>
      </w:r>
    </w:p>
    <w:p w14:paraId="5F369597" w14:textId="299AC83C" w:rsidR="0084723C" w:rsidRPr="00C244B9" w:rsidRDefault="0084723C" w:rsidP="00C46F54">
      <w:pPr>
        <w:spacing w:line="480" w:lineRule="auto"/>
        <w:ind w:firstLine="284"/>
        <w:rPr>
          <w:bCs/>
          <w:sz w:val="22"/>
          <w:szCs w:val="22"/>
          <w:lang w:val="en"/>
        </w:rPr>
      </w:pPr>
      <w:r w:rsidRPr="00C244B9">
        <w:rPr>
          <w:bCs/>
          <w:sz w:val="22"/>
          <w:szCs w:val="22"/>
          <w:lang w:val="en-GB"/>
        </w:rPr>
        <w:t>Do</w:t>
      </w:r>
      <w:r w:rsidR="006B3292" w:rsidRPr="00C244B9">
        <w:rPr>
          <w:bCs/>
          <w:sz w:val="22"/>
          <w:szCs w:val="22"/>
          <w:lang w:val="en-GB"/>
        </w:rPr>
        <w:t xml:space="preserve"> these arguments apply with equal force to MNEs from AEs and EEs</w:t>
      </w:r>
      <w:r w:rsidRPr="00C244B9">
        <w:rPr>
          <w:bCs/>
          <w:sz w:val="22"/>
          <w:szCs w:val="22"/>
          <w:lang w:val="en-GB"/>
        </w:rPr>
        <w:t>?</w:t>
      </w:r>
      <w:r w:rsidR="005C210D" w:rsidRPr="00C244B9">
        <w:rPr>
          <w:bCs/>
          <w:sz w:val="22"/>
          <w:szCs w:val="22"/>
          <w:lang w:val="en-GB"/>
        </w:rPr>
        <w:t xml:space="preserve"> </w:t>
      </w:r>
      <w:r w:rsidRPr="00C244B9">
        <w:rPr>
          <w:bCs/>
          <w:sz w:val="22"/>
          <w:szCs w:val="22"/>
          <w:lang w:val="en-GB"/>
        </w:rPr>
        <w:t xml:space="preserve">Experience from competing </w:t>
      </w:r>
      <w:r w:rsidR="00245D8D" w:rsidRPr="00C244B9">
        <w:rPr>
          <w:bCs/>
          <w:sz w:val="22"/>
          <w:szCs w:val="22"/>
          <w:lang w:val="en-GB"/>
        </w:rPr>
        <w:t xml:space="preserve">successfully </w:t>
      </w:r>
      <w:r w:rsidRPr="00C244B9">
        <w:rPr>
          <w:bCs/>
          <w:sz w:val="22"/>
          <w:szCs w:val="22"/>
          <w:lang w:val="en-GB"/>
        </w:rPr>
        <w:t xml:space="preserve">in </w:t>
      </w:r>
      <w:r w:rsidR="00CD5B0C" w:rsidRPr="00C244B9">
        <w:rPr>
          <w:bCs/>
          <w:sz w:val="22"/>
          <w:szCs w:val="22"/>
          <w:lang w:val="en-GB"/>
        </w:rPr>
        <w:t xml:space="preserve">their </w:t>
      </w:r>
      <w:r w:rsidRPr="00C244B9">
        <w:rPr>
          <w:bCs/>
          <w:sz w:val="22"/>
          <w:szCs w:val="22"/>
          <w:lang w:val="en-GB"/>
        </w:rPr>
        <w:t xml:space="preserve">AE home market provides </w:t>
      </w:r>
      <w:r w:rsidR="00F4577E" w:rsidRPr="00C244B9">
        <w:rPr>
          <w:bCs/>
          <w:sz w:val="22"/>
          <w:szCs w:val="22"/>
          <w:lang w:val="en-GB"/>
        </w:rPr>
        <w:t xml:space="preserve">MNEs from AEs typically </w:t>
      </w:r>
      <w:r w:rsidRPr="00C244B9">
        <w:rPr>
          <w:bCs/>
          <w:sz w:val="22"/>
          <w:szCs w:val="22"/>
          <w:lang w:val="en-GB"/>
        </w:rPr>
        <w:lastRenderedPageBreak/>
        <w:t xml:space="preserve">with </w:t>
      </w:r>
      <w:r w:rsidR="00F4577E" w:rsidRPr="00C244B9">
        <w:rPr>
          <w:bCs/>
          <w:sz w:val="22"/>
          <w:szCs w:val="22"/>
          <w:lang w:val="en-GB"/>
        </w:rPr>
        <w:t>sophisticated products, reputable brands and experience with high income distribution channels, all associated with markets for consumers with relatively high incomes (Dunning, 1993</w:t>
      </w:r>
      <w:r w:rsidR="00BE1BB7" w:rsidRPr="00C244B9">
        <w:rPr>
          <w:bCs/>
          <w:sz w:val="22"/>
          <w:szCs w:val="22"/>
          <w:lang w:val="en-GB"/>
        </w:rPr>
        <w:t xml:space="preserve">, </w:t>
      </w:r>
      <w:r w:rsidR="00BE1BB7" w:rsidRPr="00C244B9">
        <w:rPr>
          <w:bCs/>
          <w:sz w:val="22"/>
          <w:szCs w:val="22"/>
          <w:lang w:val="en"/>
        </w:rPr>
        <w:t xml:space="preserve">Townsend, </w:t>
      </w:r>
      <w:r w:rsidR="002B7807" w:rsidRPr="00C244B9">
        <w:rPr>
          <w:bCs/>
          <w:sz w:val="22"/>
          <w:szCs w:val="22"/>
          <w:lang w:val="en"/>
        </w:rPr>
        <w:t>et al.</w:t>
      </w:r>
      <w:r w:rsidR="00BE1BB7" w:rsidRPr="00C244B9">
        <w:rPr>
          <w:bCs/>
          <w:sz w:val="22"/>
          <w:szCs w:val="22"/>
          <w:lang w:val="en"/>
        </w:rPr>
        <w:t>, 2009)</w:t>
      </w:r>
      <w:r w:rsidR="00F4577E" w:rsidRPr="00C244B9">
        <w:rPr>
          <w:bCs/>
          <w:sz w:val="22"/>
          <w:szCs w:val="22"/>
          <w:lang w:val="en-GB"/>
        </w:rPr>
        <w:t xml:space="preserve">. </w:t>
      </w:r>
      <w:r w:rsidR="00495209" w:rsidRPr="00C244B9">
        <w:rPr>
          <w:bCs/>
          <w:sz w:val="22"/>
          <w:szCs w:val="22"/>
          <w:lang w:val="en-GB"/>
        </w:rPr>
        <w:t xml:space="preserve">MNEs from </w:t>
      </w:r>
      <w:r w:rsidR="000720EB" w:rsidRPr="00C244B9">
        <w:rPr>
          <w:bCs/>
          <w:sz w:val="22"/>
          <w:szCs w:val="22"/>
          <w:lang w:val="en-GB"/>
        </w:rPr>
        <w:t xml:space="preserve">AEs </w:t>
      </w:r>
      <w:r w:rsidR="00495209" w:rsidRPr="00C244B9">
        <w:rPr>
          <w:bCs/>
          <w:sz w:val="22"/>
          <w:szCs w:val="22"/>
          <w:lang w:val="en-GB"/>
        </w:rPr>
        <w:t xml:space="preserve">therefore </w:t>
      </w:r>
      <w:r w:rsidR="000720EB" w:rsidRPr="00C244B9">
        <w:rPr>
          <w:bCs/>
          <w:sz w:val="22"/>
          <w:szCs w:val="22"/>
          <w:lang w:val="en-GB"/>
        </w:rPr>
        <w:t>typically occupy premium segments</w:t>
      </w:r>
      <w:r w:rsidR="00495209" w:rsidRPr="00C244B9">
        <w:rPr>
          <w:bCs/>
          <w:sz w:val="22"/>
          <w:szCs w:val="22"/>
          <w:lang w:val="en-GB"/>
        </w:rPr>
        <w:t xml:space="preserve"> and their strategies involve systematic product differentiation (</w:t>
      </w:r>
      <w:r w:rsidR="00495209" w:rsidRPr="00C244B9">
        <w:rPr>
          <w:bCs/>
          <w:sz w:val="22"/>
          <w:szCs w:val="22"/>
          <w:lang w:val="en"/>
        </w:rPr>
        <w:t xml:space="preserve">Alcácer, </w:t>
      </w:r>
      <w:r w:rsidR="002B7807" w:rsidRPr="00C244B9">
        <w:rPr>
          <w:bCs/>
          <w:sz w:val="22"/>
          <w:szCs w:val="22"/>
          <w:lang w:val="en"/>
        </w:rPr>
        <w:t>et al.</w:t>
      </w:r>
      <w:r w:rsidR="00495209" w:rsidRPr="00C244B9">
        <w:rPr>
          <w:bCs/>
          <w:sz w:val="22"/>
          <w:szCs w:val="22"/>
          <w:lang w:val="en"/>
        </w:rPr>
        <w:t>, 2013)</w:t>
      </w:r>
      <w:r w:rsidRPr="00C244B9">
        <w:rPr>
          <w:bCs/>
          <w:sz w:val="22"/>
          <w:szCs w:val="22"/>
          <w:lang w:val="en"/>
        </w:rPr>
        <w:t xml:space="preserve">. </w:t>
      </w:r>
    </w:p>
    <w:p w14:paraId="7D635690" w14:textId="7C5CC0C4" w:rsidR="005C549C" w:rsidRPr="00C244B9" w:rsidRDefault="0084723C" w:rsidP="00C46F54">
      <w:pPr>
        <w:spacing w:line="480" w:lineRule="auto"/>
        <w:ind w:firstLine="284"/>
        <w:rPr>
          <w:bCs/>
          <w:sz w:val="22"/>
          <w:szCs w:val="22"/>
          <w:lang w:val="en-GB"/>
        </w:rPr>
      </w:pPr>
      <w:r w:rsidRPr="00C244B9">
        <w:rPr>
          <w:bCs/>
          <w:sz w:val="22"/>
          <w:szCs w:val="22"/>
          <w:lang w:val="en"/>
        </w:rPr>
        <w:t xml:space="preserve">In contrast, experience of competing in EEs provides EE MNEs with capabilities valuable in the </w:t>
      </w:r>
      <w:r w:rsidR="000720EB" w:rsidRPr="00C244B9">
        <w:rPr>
          <w:bCs/>
          <w:sz w:val="22"/>
          <w:szCs w:val="22"/>
          <w:lang w:val="en-GB"/>
        </w:rPr>
        <w:t xml:space="preserve">price sensitive volume segments </w:t>
      </w:r>
      <w:r w:rsidRPr="00C244B9">
        <w:rPr>
          <w:bCs/>
          <w:sz w:val="22"/>
          <w:szCs w:val="22"/>
          <w:lang w:val="en-GB"/>
        </w:rPr>
        <w:t xml:space="preserve">of AEs </w:t>
      </w:r>
      <w:r w:rsidR="00E05094" w:rsidRPr="00C244B9">
        <w:rPr>
          <w:bCs/>
          <w:sz w:val="22"/>
          <w:szCs w:val="22"/>
          <w:lang w:val="en-GB"/>
        </w:rPr>
        <w:t>(</w:t>
      </w:r>
      <w:r w:rsidR="000720EB" w:rsidRPr="00C244B9">
        <w:rPr>
          <w:bCs/>
          <w:sz w:val="22"/>
          <w:szCs w:val="22"/>
          <w:lang w:val="en-GB"/>
        </w:rPr>
        <w:t>Lessard, 2014; Brandl &amp; Mudambi, 2014)</w:t>
      </w:r>
      <w:r w:rsidR="002B7807" w:rsidRPr="00C244B9">
        <w:rPr>
          <w:bCs/>
          <w:sz w:val="22"/>
          <w:szCs w:val="22"/>
          <w:lang w:val="en-GB"/>
        </w:rPr>
        <w:t>.</w:t>
      </w:r>
      <w:r w:rsidR="00D77795" w:rsidRPr="00C244B9">
        <w:rPr>
          <w:bCs/>
          <w:sz w:val="22"/>
          <w:szCs w:val="22"/>
          <w:lang w:val="en-GB"/>
        </w:rPr>
        <w:t xml:space="preserve"> </w:t>
      </w:r>
      <w:r w:rsidR="00495209" w:rsidRPr="00C244B9">
        <w:rPr>
          <w:bCs/>
          <w:sz w:val="22"/>
          <w:szCs w:val="22"/>
          <w:lang w:val="en-GB"/>
        </w:rPr>
        <w:t>Thus</w:t>
      </w:r>
      <w:r w:rsidR="00F80A24" w:rsidRPr="00C244B9">
        <w:rPr>
          <w:bCs/>
          <w:sz w:val="22"/>
          <w:szCs w:val="22"/>
          <w:lang w:val="en-GB"/>
        </w:rPr>
        <w:t>,</w:t>
      </w:r>
      <w:r w:rsidR="00495209" w:rsidRPr="00C244B9">
        <w:rPr>
          <w:bCs/>
          <w:sz w:val="22"/>
          <w:szCs w:val="22"/>
          <w:lang w:val="en-GB"/>
        </w:rPr>
        <w:t xml:space="preserve"> EE</w:t>
      </w:r>
      <w:r w:rsidR="00111E44" w:rsidRPr="00C244B9">
        <w:rPr>
          <w:bCs/>
          <w:sz w:val="22"/>
          <w:szCs w:val="22"/>
          <w:lang w:val="en-GB"/>
        </w:rPr>
        <w:t xml:space="preserve"> MNEs tend to sell i</w:t>
      </w:r>
      <w:r w:rsidR="00EF5852" w:rsidRPr="00C244B9">
        <w:rPr>
          <w:bCs/>
          <w:sz w:val="22"/>
          <w:szCs w:val="22"/>
          <w:lang w:val="en-GB"/>
        </w:rPr>
        <w:t>n</w:t>
      </w:r>
      <w:r w:rsidR="00111E44" w:rsidRPr="00C244B9">
        <w:rPr>
          <w:bCs/>
          <w:sz w:val="22"/>
          <w:szCs w:val="22"/>
          <w:lang w:val="en-GB"/>
        </w:rPr>
        <w:t xml:space="preserve"> volume markets where size in terms of potential consumers is more important than other market attractors </w:t>
      </w:r>
      <w:r w:rsidR="00AC5D29" w:rsidRPr="00C244B9">
        <w:rPr>
          <w:bCs/>
          <w:sz w:val="22"/>
          <w:szCs w:val="22"/>
          <w:lang w:val="en-GB"/>
        </w:rPr>
        <w:t xml:space="preserve">(Bahadir, Bharadwaj &amp; Srivastava, 2015). </w:t>
      </w:r>
      <w:r w:rsidR="00F4577E" w:rsidRPr="00C244B9">
        <w:rPr>
          <w:bCs/>
          <w:sz w:val="22"/>
          <w:szCs w:val="22"/>
          <w:lang w:val="en-GB"/>
        </w:rPr>
        <w:t>Their advantages of scale are more naturally transferable to large markets whereas customization for small</w:t>
      </w:r>
      <w:r w:rsidR="00495209" w:rsidRPr="00C244B9">
        <w:rPr>
          <w:bCs/>
          <w:sz w:val="22"/>
          <w:szCs w:val="22"/>
          <w:lang w:val="en-GB"/>
        </w:rPr>
        <w:t>er</w:t>
      </w:r>
      <w:r w:rsidR="00F4577E" w:rsidRPr="00C244B9">
        <w:rPr>
          <w:bCs/>
          <w:sz w:val="22"/>
          <w:szCs w:val="22"/>
          <w:lang w:val="en-GB"/>
        </w:rPr>
        <w:t xml:space="preserve"> markets incurs relatively high</w:t>
      </w:r>
      <w:r w:rsidR="00495209" w:rsidRPr="00C244B9">
        <w:rPr>
          <w:bCs/>
          <w:sz w:val="22"/>
          <w:szCs w:val="22"/>
          <w:lang w:val="en-GB"/>
        </w:rPr>
        <w:t>er</w:t>
      </w:r>
      <w:r w:rsidR="00F4577E" w:rsidRPr="00C244B9">
        <w:rPr>
          <w:bCs/>
          <w:sz w:val="22"/>
          <w:szCs w:val="22"/>
          <w:lang w:val="en-GB"/>
        </w:rPr>
        <w:t xml:space="preserve"> costs</w:t>
      </w:r>
      <w:r w:rsidR="00495209" w:rsidRPr="00C244B9">
        <w:rPr>
          <w:bCs/>
          <w:sz w:val="22"/>
          <w:szCs w:val="22"/>
          <w:lang w:val="en-GB"/>
        </w:rPr>
        <w:t xml:space="preserve"> for them</w:t>
      </w:r>
      <w:r w:rsidR="00F4577E" w:rsidRPr="00C244B9">
        <w:rPr>
          <w:bCs/>
          <w:sz w:val="22"/>
          <w:szCs w:val="22"/>
          <w:lang w:val="en-GB"/>
        </w:rPr>
        <w:t xml:space="preserve">. </w:t>
      </w:r>
      <w:r w:rsidR="00DE4BC0" w:rsidRPr="00C244B9">
        <w:rPr>
          <w:bCs/>
          <w:sz w:val="22"/>
          <w:szCs w:val="22"/>
          <w:lang w:val="en-GB"/>
        </w:rPr>
        <w:t>Hence</w:t>
      </w:r>
      <w:r w:rsidR="00D74D19" w:rsidRPr="00C244B9">
        <w:rPr>
          <w:bCs/>
          <w:sz w:val="22"/>
          <w:szCs w:val="22"/>
          <w:lang w:val="en-GB"/>
        </w:rPr>
        <w:t>,</w:t>
      </w:r>
      <w:r w:rsidR="00DE4BC0" w:rsidRPr="00C244B9">
        <w:rPr>
          <w:bCs/>
          <w:sz w:val="22"/>
          <w:szCs w:val="22"/>
          <w:lang w:val="en-GB"/>
        </w:rPr>
        <w:t xml:space="preserve"> </w:t>
      </w:r>
      <w:r w:rsidR="00F4577E" w:rsidRPr="00C244B9">
        <w:rPr>
          <w:bCs/>
          <w:sz w:val="22"/>
          <w:szCs w:val="22"/>
          <w:lang w:val="en-GB"/>
        </w:rPr>
        <w:t xml:space="preserve">market size </w:t>
      </w:r>
      <w:r w:rsidR="004E4CF6" w:rsidRPr="00C244B9">
        <w:rPr>
          <w:bCs/>
          <w:sz w:val="22"/>
          <w:szCs w:val="22"/>
          <w:lang w:val="en-GB"/>
        </w:rPr>
        <w:t xml:space="preserve">may </w:t>
      </w:r>
      <w:r w:rsidR="007427D0" w:rsidRPr="00C244B9">
        <w:rPr>
          <w:bCs/>
          <w:sz w:val="22"/>
          <w:szCs w:val="22"/>
          <w:lang w:val="en-GB"/>
        </w:rPr>
        <w:t xml:space="preserve">be </w:t>
      </w:r>
      <w:r w:rsidR="00F4577E" w:rsidRPr="00C244B9">
        <w:rPr>
          <w:bCs/>
          <w:sz w:val="22"/>
          <w:szCs w:val="22"/>
          <w:lang w:val="en-GB"/>
        </w:rPr>
        <w:t xml:space="preserve">relatively </w:t>
      </w:r>
      <w:r w:rsidR="005C210D" w:rsidRPr="00C244B9">
        <w:rPr>
          <w:bCs/>
          <w:sz w:val="22"/>
          <w:szCs w:val="22"/>
          <w:lang w:val="en-GB"/>
        </w:rPr>
        <w:t xml:space="preserve">more </w:t>
      </w:r>
      <w:r w:rsidR="00F4577E" w:rsidRPr="00C244B9">
        <w:rPr>
          <w:bCs/>
          <w:sz w:val="22"/>
          <w:szCs w:val="22"/>
          <w:lang w:val="en-GB"/>
        </w:rPr>
        <w:t xml:space="preserve">important </w:t>
      </w:r>
      <w:r w:rsidR="00D74D19" w:rsidRPr="00C244B9">
        <w:rPr>
          <w:bCs/>
          <w:sz w:val="22"/>
          <w:szCs w:val="22"/>
          <w:lang w:val="en-GB"/>
        </w:rPr>
        <w:t xml:space="preserve">to </w:t>
      </w:r>
      <w:r w:rsidR="00F4577E" w:rsidRPr="00C244B9">
        <w:rPr>
          <w:bCs/>
          <w:sz w:val="22"/>
          <w:szCs w:val="22"/>
          <w:lang w:val="en-GB"/>
        </w:rPr>
        <w:t>attract</w:t>
      </w:r>
      <w:r w:rsidR="000720EB" w:rsidRPr="00C244B9">
        <w:rPr>
          <w:bCs/>
          <w:sz w:val="22"/>
          <w:szCs w:val="22"/>
          <w:lang w:val="en-GB"/>
        </w:rPr>
        <w:t xml:space="preserve"> for EE </w:t>
      </w:r>
      <w:r w:rsidR="00D74D19" w:rsidRPr="00C244B9">
        <w:rPr>
          <w:bCs/>
          <w:sz w:val="22"/>
          <w:szCs w:val="22"/>
          <w:lang w:val="en-GB"/>
        </w:rPr>
        <w:t xml:space="preserve">MNEs </w:t>
      </w:r>
      <w:r w:rsidR="007427D0" w:rsidRPr="00C244B9">
        <w:rPr>
          <w:bCs/>
          <w:sz w:val="22"/>
          <w:szCs w:val="22"/>
          <w:lang w:val="en-GB"/>
        </w:rPr>
        <w:t xml:space="preserve">than AE </w:t>
      </w:r>
      <w:r w:rsidR="000720EB" w:rsidRPr="00C244B9">
        <w:rPr>
          <w:bCs/>
          <w:sz w:val="22"/>
          <w:szCs w:val="22"/>
          <w:lang w:val="en-GB"/>
        </w:rPr>
        <w:t>MNEs</w:t>
      </w:r>
      <w:r w:rsidR="00F4577E" w:rsidRPr="00C244B9">
        <w:rPr>
          <w:bCs/>
          <w:sz w:val="22"/>
          <w:szCs w:val="22"/>
          <w:lang w:val="en-GB"/>
        </w:rPr>
        <w:t xml:space="preserve">. </w:t>
      </w:r>
    </w:p>
    <w:p w14:paraId="6E628FC2" w14:textId="32AA44C8" w:rsidR="00E4577F" w:rsidRPr="00C244B9" w:rsidRDefault="00DE4BC0" w:rsidP="00C46F54">
      <w:pPr>
        <w:spacing w:line="480" w:lineRule="auto"/>
        <w:ind w:firstLine="284"/>
        <w:rPr>
          <w:bCs/>
          <w:sz w:val="22"/>
          <w:szCs w:val="22"/>
          <w:lang w:val="en-GB"/>
        </w:rPr>
      </w:pPr>
      <w:r w:rsidRPr="00C244B9">
        <w:rPr>
          <w:bCs/>
          <w:sz w:val="22"/>
          <w:szCs w:val="22"/>
          <w:lang w:val="en-GB"/>
        </w:rPr>
        <w:t>L</w:t>
      </w:r>
      <w:r w:rsidR="00F4577E" w:rsidRPr="00C244B9">
        <w:rPr>
          <w:bCs/>
          <w:sz w:val="22"/>
          <w:szCs w:val="22"/>
          <w:lang w:val="en-GB"/>
        </w:rPr>
        <w:t>arge</w:t>
      </w:r>
      <w:r w:rsidRPr="00C244B9">
        <w:rPr>
          <w:bCs/>
          <w:sz w:val="22"/>
          <w:szCs w:val="22"/>
          <w:lang w:val="en-GB"/>
        </w:rPr>
        <w:t>r</w:t>
      </w:r>
      <w:r w:rsidR="00F4577E" w:rsidRPr="00C244B9">
        <w:rPr>
          <w:bCs/>
          <w:sz w:val="22"/>
          <w:szCs w:val="22"/>
          <w:lang w:val="en-GB"/>
        </w:rPr>
        <w:t xml:space="preserve"> markets </w:t>
      </w:r>
      <w:r w:rsidRPr="00C244B9">
        <w:rPr>
          <w:bCs/>
          <w:sz w:val="22"/>
          <w:szCs w:val="22"/>
          <w:lang w:val="en-GB"/>
        </w:rPr>
        <w:t xml:space="preserve">will likely also contain more heterogeneous population and therefore </w:t>
      </w:r>
      <w:r w:rsidR="00495209" w:rsidRPr="00C244B9">
        <w:rPr>
          <w:bCs/>
          <w:sz w:val="22"/>
          <w:szCs w:val="22"/>
          <w:lang w:val="en-GB"/>
        </w:rPr>
        <w:t>a wider variety of consumers</w:t>
      </w:r>
      <w:r w:rsidRPr="00C244B9">
        <w:rPr>
          <w:bCs/>
          <w:sz w:val="22"/>
          <w:szCs w:val="22"/>
          <w:lang w:val="en-GB"/>
        </w:rPr>
        <w:t>. They</w:t>
      </w:r>
      <w:r w:rsidR="00495209" w:rsidRPr="00C244B9">
        <w:rPr>
          <w:bCs/>
          <w:sz w:val="22"/>
          <w:szCs w:val="22"/>
          <w:lang w:val="en-GB"/>
        </w:rPr>
        <w:t xml:space="preserve"> </w:t>
      </w:r>
      <w:r w:rsidRPr="00C244B9">
        <w:rPr>
          <w:bCs/>
          <w:sz w:val="22"/>
          <w:szCs w:val="22"/>
          <w:lang w:val="en-GB"/>
        </w:rPr>
        <w:t xml:space="preserve">therefore </w:t>
      </w:r>
      <w:r w:rsidR="00495209" w:rsidRPr="00C244B9">
        <w:rPr>
          <w:bCs/>
          <w:sz w:val="22"/>
          <w:szCs w:val="22"/>
          <w:lang w:val="en-GB"/>
        </w:rPr>
        <w:t xml:space="preserve">offer a </w:t>
      </w:r>
      <w:r w:rsidRPr="00C244B9">
        <w:rPr>
          <w:bCs/>
          <w:sz w:val="22"/>
          <w:szCs w:val="22"/>
          <w:lang w:val="en-GB"/>
        </w:rPr>
        <w:t xml:space="preserve">greater </w:t>
      </w:r>
      <w:r w:rsidR="00495209" w:rsidRPr="00C244B9">
        <w:rPr>
          <w:bCs/>
          <w:sz w:val="22"/>
          <w:szCs w:val="22"/>
          <w:lang w:val="en-GB"/>
        </w:rPr>
        <w:t xml:space="preserve">spectrum of </w:t>
      </w:r>
      <w:r w:rsidRPr="00C244B9">
        <w:rPr>
          <w:bCs/>
          <w:sz w:val="22"/>
          <w:szCs w:val="22"/>
          <w:lang w:val="en-GB"/>
        </w:rPr>
        <w:t xml:space="preserve">potential </w:t>
      </w:r>
      <w:r w:rsidR="00495209" w:rsidRPr="00C244B9">
        <w:rPr>
          <w:bCs/>
          <w:sz w:val="22"/>
          <w:szCs w:val="22"/>
          <w:lang w:val="en-GB"/>
        </w:rPr>
        <w:t xml:space="preserve">paths for product differentiation and market segmentation. Moreover, </w:t>
      </w:r>
      <w:r w:rsidR="00747906" w:rsidRPr="00C244B9">
        <w:rPr>
          <w:bCs/>
          <w:sz w:val="22"/>
          <w:szCs w:val="22"/>
          <w:lang w:val="en-GB"/>
        </w:rPr>
        <w:t>a</w:t>
      </w:r>
      <w:r w:rsidR="00495209" w:rsidRPr="00C244B9">
        <w:rPr>
          <w:bCs/>
          <w:sz w:val="22"/>
          <w:szCs w:val="22"/>
          <w:lang w:val="en-GB"/>
        </w:rPr>
        <w:t xml:space="preserve"> greater variety of </w:t>
      </w:r>
      <w:r w:rsidR="00836446" w:rsidRPr="00C244B9">
        <w:rPr>
          <w:bCs/>
          <w:sz w:val="22"/>
          <w:szCs w:val="22"/>
          <w:lang w:val="en-GB"/>
        </w:rPr>
        <w:t>consumer</w:t>
      </w:r>
      <w:r w:rsidR="005C210D" w:rsidRPr="00C244B9">
        <w:rPr>
          <w:bCs/>
          <w:sz w:val="22"/>
          <w:szCs w:val="22"/>
          <w:lang w:val="en-GB"/>
        </w:rPr>
        <w:t xml:space="preserve"> </w:t>
      </w:r>
      <w:r w:rsidR="00495209" w:rsidRPr="00C244B9">
        <w:rPr>
          <w:bCs/>
          <w:sz w:val="22"/>
          <w:szCs w:val="22"/>
          <w:lang w:val="en-GB"/>
        </w:rPr>
        <w:t xml:space="preserve">preferences and tastes, </w:t>
      </w:r>
      <w:r w:rsidR="00747906" w:rsidRPr="00C244B9">
        <w:rPr>
          <w:bCs/>
          <w:sz w:val="22"/>
          <w:szCs w:val="22"/>
          <w:lang w:val="en-GB"/>
        </w:rPr>
        <w:t xml:space="preserve">of </w:t>
      </w:r>
      <w:r w:rsidR="005C210D" w:rsidRPr="00C244B9">
        <w:rPr>
          <w:bCs/>
          <w:sz w:val="22"/>
          <w:szCs w:val="22"/>
          <w:lang w:val="en-GB"/>
        </w:rPr>
        <w:t xml:space="preserve">distribution channels and </w:t>
      </w:r>
      <w:r w:rsidR="00747906" w:rsidRPr="00C244B9">
        <w:rPr>
          <w:bCs/>
          <w:sz w:val="22"/>
          <w:szCs w:val="22"/>
          <w:lang w:val="en-GB"/>
        </w:rPr>
        <w:t xml:space="preserve">of </w:t>
      </w:r>
      <w:r w:rsidR="005C210D" w:rsidRPr="00C244B9">
        <w:rPr>
          <w:bCs/>
          <w:sz w:val="22"/>
          <w:szCs w:val="22"/>
          <w:lang w:val="en-GB"/>
        </w:rPr>
        <w:t>geographic sub</w:t>
      </w:r>
      <w:r w:rsidR="00836446" w:rsidRPr="00C244B9">
        <w:rPr>
          <w:bCs/>
          <w:sz w:val="22"/>
          <w:szCs w:val="22"/>
          <w:lang w:val="en-GB"/>
        </w:rPr>
        <w:t>-</w:t>
      </w:r>
      <w:r w:rsidR="005C210D" w:rsidRPr="00C244B9">
        <w:rPr>
          <w:bCs/>
          <w:sz w:val="22"/>
          <w:szCs w:val="22"/>
          <w:lang w:val="en-GB"/>
        </w:rPr>
        <w:t>s</w:t>
      </w:r>
      <w:r w:rsidR="00836446" w:rsidRPr="00C244B9">
        <w:rPr>
          <w:bCs/>
          <w:sz w:val="22"/>
          <w:szCs w:val="22"/>
          <w:lang w:val="en-GB"/>
        </w:rPr>
        <w:t>e</w:t>
      </w:r>
      <w:r w:rsidR="005C210D" w:rsidRPr="00C244B9">
        <w:rPr>
          <w:bCs/>
          <w:sz w:val="22"/>
          <w:szCs w:val="22"/>
          <w:lang w:val="en-GB"/>
        </w:rPr>
        <w:t>gments</w:t>
      </w:r>
      <w:r w:rsidR="00747906" w:rsidRPr="00C244B9">
        <w:rPr>
          <w:bCs/>
          <w:sz w:val="22"/>
          <w:szCs w:val="22"/>
          <w:lang w:val="en-GB"/>
        </w:rPr>
        <w:t xml:space="preserve"> </w:t>
      </w:r>
      <w:r w:rsidR="00495209" w:rsidRPr="00C244B9">
        <w:rPr>
          <w:bCs/>
          <w:sz w:val="22"/>
          <w:szCs w:val="22"/>
          <w:lang w:val="en-GB"/>
        </w:rPr>
        <w:t>offer</w:t>
      </w:r>
      <w:r w:rsidR="00747906" w:rsidRPr="00C244B9">
        <w:rPr>
          <w:bCs/>
          <w:sz w:val="22"/>
          <w:szCs w:val="22"/>
          <w:lang w:val="en-GB"/>
        </w:rPr>
        <w:t>s</w:t>
      </w:r>
      <w:r w:rsidR="00495209" w:rsidRPr="00C244B9">
        <w:rPr>
          <w:bCs/>
          <w:sz w:val="22"/>
          <w:szCs w:val="22"/>
          <w:lang w:val="en-GB"/>
        </w:rPr>
        <w:t xml:space="preserve"> more niches </w:t>
      </w:r>
      <w:r w:rsidRPr="00C244B9">
        <w:rPr>
          <w:bCs/>
          <w:sz w:val="22"/>
          <w:szCs w:val="22"/>
          <w:lang w:val="en-GB"/>
        </w:rPr>
        <w:t xml:space="preserve">into which </w:t>
      </w:r>
      <w:r w:rsidR="00747906" w:rsidRPr="00C244B9">
        <w:rPr>
          <w:bCs/>
          <w:sz w:val="22"/>
          <w:szCs w:val="22"/>
          <w:lang w:val="en-GB"/>
        </w:rPr>
        <w:t>a foreign investor</w:t>
      </w:r>
      <w:r w:rsidR="00495209" w:rsidRPr="00C244B9">
        <w:rPr>
          <w:bCs/>
          <w:sz w:val="22"/>
          <w:szCs w:val="22"/>
          <w:lang w:val="en-GB"/>
        </w:rPr>
        <w:t xml:space="preserve"> can gradually enter.</w:t>
      </w:r>
      <w:r w:rsidRPr="00C244B9">
        <w:rPr>
          <w:bCs/>
          <w:sz w:val="22"/>
          <w:szCs w:val="22"/>
          <w:lang w:val="en-GB"/>
        </w:rPr>
        <w:t xml:space="preserve"> This greater range of possibilities for market penetration therefore </w:t>
      </w:r>
      <w:r w:rsidR="00CD5B0C" w:rsidRPr="00C244B9">
        <w:rPr>
          <w:bCs/>
          <w:sz w:val="22"/>
          <w:szCs w:val="22"/>
          <w:lang w:val="en-GB"/>
        </w:rPr>
        <w:t xml:space="preserve">offers </w:t>
      </w:r>
      <w:r w:rsidR="00323490">
        <w:rPr>
          <w:bCs/>
          <w:sz w:val="22"/>
          <w:szCs w:val="22"/>
          <w:lang w:val="en-GB"/>
        </w:rPr>
        <w:t xml:space="preserve">exposure to </w:t>
      </w:r>
      <w:r w:rsidR="00323490" w:rsidRPr="00C244B9">
        <w:rPr>
          <w:bCs/>
          <w:sz w:val="22"/>
          <w:szCs w:val="22"/>
          <w:lang w:val="en-GB"/>
        </w:rPr>
        <w:t xml:space="preserve">a wider variety of internationalization experiences </w:t>
      </w:r>
      <w:r w:rsidR="00323490">
        <w:rPr>
          <w:bCs/>
          <w:sz w:val="22"/>
          <w:szCs w:val="22"/>
          <w:lang w:val="en-GB"/>
        </w:rPr>
        <w:t xml:space="preserve">and thus more learning </w:t>
      </w:r>
      <w:r w:rsidR="005C210D" w:rsidRPr="00C244B9">
        <w:rPr>
          <w:bCs/>
          <w:sz w:val="22"/>
          <w:szCs w:val="22"/>
          <w:lang w:val="en-GB"/>
        </w:rPr>
        <w:t>opportunities</w:t>
      </w:r>
      <w:r w:rsidR="00323490">
        <w:rPr>
          <w:bCs/>
          <w:sz w:val="22"/>
          <w:szCs w:val="22"/>
          <w:lang w:val="en-GB"/>
        </w:rPr>
        <w:t xml:space="preserve"> for EE MNEs</w:t>
      </w:r>
      <w:r w:rsidR="000F718E" w:rsidRPr="00C244B9">
        <w:rPr>
          <w:bCs/>
          <w:sz w:val="22"/>
          <w:szCs w:val="22"/>
          <w:lang w:val="en-GB"/>
        </w:rPr>
        <w:t>.</w:t>
      </w:r>
    </w:p>
    <w:p w14:paraId="0D1658D7" w14:textId="1F26BA48" w:rsidR="00111E44" w:rsidRPr="00C244B9" w:rsidRDefault="00495209" w:rsidP="00C46F54">
      <w:pPr>
        <w:spacing w:line="480" w:lineRule="auto"/>
        <w:ind w:firstLine="284"/>
        <w:rPr>
          <w:bCs/>
          <w:sz w:val="22"/>
          <w:szCs w:val="22"/>
          <w:lang w:val="en-GB"/>
        </w:rPr>
      </w:pPr>
      <w:r w:rsidRPr="00C244B9">
        <w:rPr>
          <w:bCs/>
          <w:sz w:val="22"/>
          <w:szCs w:val="22"/>
          <w:lang w:val="en-GB"/>
        </w:rPr>
        <w:t>Finally</w:t>
      </w:r>
      <w:r w:rsidR="005C210D" w:rsidRPr="00C244B9">
        <w:rPr>
          <w:bCs/>
          <w:sz w:val="22"/>
          <w:szCs w:val="22"/>
          <w:lang w:val="en-GB"/>
        </w:rPr>
        <w:t>,</w:t>
      </w:r>
      <w:r w:rsidRPr="00C244B9">
        <w:rPr>
          <w:bCs/>
          <w:sz w:val="22"/>
          <w:szCs w:val="22"/>
          <w:lang w:val="en-GB"/>
        </w:rPr>
        <w:t xml:space="preserve"> a larger market </w:t>
      </w:r>
      <w:r w:rsidR="00E74F99" w:rsidRPr="00C244B9">
        <w:rPr>
          <w:bCs/>
          <w:sz w:val="22"/>
          <w:szCs w:val="22"/>
          <w:lang w:val="en-GB"/>
        </w:rPr>
        <w:t xml:space="preserve">is likely to host </w:t>
      </w:r>
      <w:r w:rsidRPr="00C244B9">
        <w:rPr>
          <w:bCs/>
          <w:sz w:val="22"/>
          <w:szCs w:val="22"/>
          <w:lang w:val="en-GB"/>
        </w:rPr>
        <w:t xml:space="preserve">more </w:t>
      </w:r>
      <w:r w:rsidR="00E74F99" w:rsidRPr="00C244B9">
        <w:rPr>
          <w:bCs/>
          <w:sz w:val="22"/>
          <w:szCs w:val="22"/>
          <w:lang w:val="en-GB"/>
        </w:rPr>
        <w:t xml:space="preserve">incumbent </w:t>
      </w:r>
      <w:r w:rsidRPr="00C244B9">
        <w:rPr>
          <w:bCs/>
          <w:sz w:val="22"/>
          <w:szCs w:val="22"/>
          <w:lang w:val="en-GB"/>
        </w:rPr>
        <w:t xml:space="preserve">firms, covering the numerous options for strategic variation, </w:t>
      </w:r>
      <w:r w:rsidR="00E74F99" w:rsidRPr="00C244B9">
        <w:rPr>
          <w:bCs/>
          <w:sz w:val="22"/>
          <w:szCs w:val="22"/>
          <w:lang w:val="en-GB"/>
        </w:rPr>
        <w:t xml:space="preserve">such that </w:t>
      </w:r>
      <w:r w:rsidRPr="00C244B9">
        <w:rPr>
          <w:bCs/>
          <w:sz w:val="22"/>
          <w:szCs w:val="22"/>
          <w:lang w:val="en-GB"/>
        </w:rPr>
        <w:t xml:space="preserve">EE MNEs will </w:t>
      </w:r>
      <w:r w:rsidR="0086296E" w:rsidRPr="00C244B9">
        <w:rPr>
          <w:bCs/>
          <w:sz w:val="22"/>
          <w:szCs w:val="22"/>
          <w:lang w:val="en-GB"/>
        </w:rPr>
        <w:t xml:space="preserve">also </w:t>
      </w:r>
      <w:r w:rsidRPr="00C244B9">
        <w:rPr>
          <w:bCs/>
          <w:sz w:val="22"/>
          <w:szCs w:val="22"/>
          <w:lang w:val="en-GB"/>
        </w:rPr>
        <w:t xml:space="preserve">be able to learn </w:t>
      </w:r>
      <w:r w:rsidR="009F599E" w:rsidRPr="00C244B9">
        <w:rPr>
          <w:bCs/>
          <w:sz w:val="22"/>
          <w:szCs w:val="22"/>
          <w:lang w:val="en-GB"/>
        </w:rPr>
        <w:t xml:space="preserve">from a greater diversity of local peers. For example, </w:t>
      </w:r>
      <w:r w:rsidRPr="00C244B9">
        <w:rPr>
          <w:bCs/>
          <w:sz w:val="22"/>
          <w:szCs w:val="22"/>
          <w:lang w:val="en-GB"/>
        </w:rPr>
        <w:t xml:space="preserve">Haier, </w:t>
      </w:r>
      <w:r w:rsidR="000F718E" w:rsidRPr="00C244B9">
        <w:rPr>
          <w:bCs/>
          <w:sz w:val="22"/>
          <w:szCs w:val="22"/>
          <w:lang w:val="en-GB"/>
        </w:rPr>
        <w:t>which entered</w:t>
      </w:r>
      <w:r w:rsidRPr="00C244B9">
        <w:rPr>
          <w:bCs/>
          <w:sz w:val="22"/>
          <w:szCs w:val="22"/>
          <w:lang w:val="en-GB"/>
        </w:rPr>
        <w:t xml:space="preserve"> the US</w:t>
      </w:r>
      <w:r w:rsidR="005C210D" w:rsidRPr="00C244B9">
        <w:rPr>
          <w:bCs/>
          <w:sz w:val="22"/>
          <w:szCs w:val="22"/>
          <w:lang w:val="en-GB"/>
        </w:rPr>
        <w:t>A</w:t>
      </w:r>
      <w:r w:rsidRPr="00C244B9">
        <w:rPr>
          <w:bCs/>
          <w:sz w:val="22"/>
          <w:szCs w:val="22"/>
          <w:lang w:val="en-GB"/>
        </w:rPr>
        <w:t xml:space="preserve"> </w:t>
      </w:r>
      <w:r w:rsidR="00F80A24" w:rsidRPr="00C244B9">
        <w:rPr>
          <w:bCs/>
          <w:sz w:val="22"/>
          <w:szCs w:val="22"/>
          <w:lang w:val="en-GB"/>
        </w:rPr>
        <w:t xml:space="preserve">as </w:t>
      </w:r>
      <w:r w:rsidR="007427D0" w:rsidRPr="00C244B9">
        <w:rPr>
          <w:bCs/>
          <w:sz w:val="22"/>
          <w:szCs w:val="22"/>
          <w:lang w:val="en-GB"/>
        </w:rPr>
        <w:t xml:space="preserve">an early </w:t>
      </w:r>
      <w:r w:rsidR="00F80A24" w:rsidRPr="00C244B9">
        <w:rPr>
          <w:bCs/>
          <w:sz w:val="22"/>
          <w:szCs w:val="22"/>
          <w:lang w:val="en-GB"/>
        </w:rPr>
        <w:t xml:space="preserve">foreign </w:t>
      </w:r>
      <w:r w:rsidRPr="00C244B9">
        <w:rPr>
          <w:bCs/>
          <w:sz w:val="22"/>
          <w:szCs w:val="22"/>
          <w:lang w:val="en-GB"/>
        </w:rPr>
        <w:t>market</w:t>
      </w:r>
      <w:r w:rsidR="00D74D19" w:rsidRPr="00C244B9">
        <w:rPr>
          <w:bCs/>
          <w:sz w:val="22"/>
          <w:szCs w:val="22"/>
          <w:lang w:val="en-GB"/>
        </w:rPr>
        <w:t xml:space="preserve"> </w:t>
      </w:r>
      <w:r w:rsidR="00500FF6" w:rsidRPr="00C244B9">
        <w:rPr>
          <w:bCs/>
          <w:sz w:val="22"/>
          <w:szCs w:val="22"/>
          <w:lang w:val="en-GB"/>
        </w:rPr>
        <w:t>(</w:t>
      </w:r>
      <w:r w:rsidRPr="00C244B9">
        <w:rPr>
          <w:bCs/>
          <w:sz w:val="22"/>
          <w:szCs w:val="22"/>
          <w:lang w:val="en-GB"/>
        </w:rPr>
        <w:t>rather than smaller economies in Europe</w:t>
      </w:r>
      <w:r w:rsidR="00500FF6" w:rsidRPr="00C244B9">
        <w:rPr>
          <w:bCs/>
          <w:sz w:val="22"/>
          <w:szCs w:val="22"/>
          <w:lang w:val="en-GB"/>
        </w:rPr>
        <w:t>)</w:t>
      </w:r>
      <w:r w:rsidRPr="00C244B9">
        <w:rPr>
          <w:bCs/>
          <w:sz w:val="22"/>
          <w:szCs w:val="22"/>
          <w:lang w:val="en-GB"/>
        </w:rPr>
        <w:t xml:space="preserve"> argu</w:t>
      </w:r>
      <w:r w:rsidR="000F718E" w:rsidRPr="00C244B9">
        <w:rPr>
          <w:bCs/>
          <w:sz w:val="22"/>
          <w:szCs w:val="22"/>
          <w:lang w:val="en-GB"/>
        </w:rPr>
        <w:t>ed</w:t>
      </w:r>
      <w:r w:rsidR="00500FF6" w:rsidRPr="00C244B9">
        <w:rPr>
          <w:bCs/>
          <w:sz w:val="22"/>
          <w:szCs w:val="22"/>
          <w:lang w:val="en-GB"/>
        </w:rPr>
        <w:t xml:space="preserve"> </w:t>
      </w:r>
      <w:r w:rsidRPr="00C244B9">
        <w:rPr>
          <w:bCs/>
          <w:sz w:val="22"/>
          <w:szCs w:val="22"/>
          <w:lang w:val="en-GB"/>
        </w:rPr>
        <w:t xml:space="preserve">that if it </w:t>
      </w:r>
      <w:r w:rsidR="00507175" w:rsidRPr="00C244B9">
        <w:rPr>
          <w:bCs/>
          <w:sz w:val="22"/>
          <w:szCs w:val="22"/>
          <w:lang w:val="en-GB"/>
        </w:rPr>
        <w:t>succeeded</w:t>
      </w:r>
      <w:r w:rsidRPr="00C244B9">
        <w:rPr>
          <w:bCs/>
          <w:sz w:val="22"/>
          <w:szCs w:val="22"/>
          <w:lang w:val="en-GB"/>
        </w:rPr>
        <w:t xml:space="preserve"> in the US</w:t>
      </w:r>
      <w:r w:rsidR="00D74D19" w:rsidRPr="00C244B9">
        <w:rPr>
          <w:bCs/>
          <w:sz w:val="22"/>
          <w:szCs w:val="22"/>
          <w:lang w:val="en-GB"/>
        </w:rPr>
        <w:t>A</w:t>
      </w:r>
      <w:r w:rsidRPr="00C244B9">
        <w:rPr>
          <w:bCs/>
          <w:sz w:val="22"/>
          <w:szCs w:val="22"/>
          <w:lang w:val="en-GB"/>
        </w:rPr>
        <w:t xml:space="preserve">, it </w:t>
      </w:r>
      <w:r w:rsidR="00500FF6" w:rsidRPr="00C244B9">
        <w:rPr>
          <w:bCs/>
          <w:sz w:val="22"/>
          <w:szCs w:val="22"/>
          <w:lang w:val="en-GB"/>
        </w:rPr>
        <w:t>could build on that learning to</w:t>
      </w:r>
      <w:r w:rsidRPr="00C244B9">
        <w:rPr>
          <w:bCs/>
          <w:sz w:val="22"/>
          <w:szCs w:val="22"/>
          <w:lang w:val="en-GB"/>
        </w:rPr>
        <w:t xml:space="preserve"> succeed </w:t>
      </w:r>
      <w:r w:rsidR="00507175" w:rsidRPr="00C244B9">
        <w:rPr>
          <w:bCs/>
          <w:sz w:val="22"/>
          <w:szCs w:val="22"/>
          <w:lang w:val="en-GB"/>
        </w:rPr>
        <w:t>in other countries subsequently</w:t>
      </w:r>
      <w:r w:rsidR="00C54C91" w:rsidRPr="00C244B9">
        <w:rPr>
          <w:bCs/>
          <w:sz w:val="22"/>
          <w:szCs w:val="22"/>
          <w:lang w:val="en-GB"/>
        </w:rPr>
        <w:t xml:space="preserve"> (Khanna, Palepu, Vargas, 2006)</w:t>
      </w:r>
      <w:r w:rsidR="00507175" w:rsidRPr="00C244B9">
        <w:rPr>
          <w:bCs/>
          <w:sz w:val="22"/>
          <w:szCs w:val="22"/>
          <w:lang w:val="en-GB"/>
        </w:rPr>
        <w:t xml:space="preserve">. </w:t>
      </w:r>
      <w:r w:rsidR="00C54C91" w:rsidRPr="00C244B9">
        <w:rPr>
          <w:bCs/>
          <w:sz w:val="22"/>
          <w:szCs w:val="22"/>
          <w:lang w:val="en-GB"/>
        </w:rPr>
        <w:t>Subsequently</w:t>
      </w:r>
      <w:r w:rsidR="005C210D" w:rsidRPr="00C244B9">
        <w:rPr>
          <w:bCs/>
          <w:sz w:val="22"/>
          <w:szCs w:val="22"/>
          <w:lang w:val="en-GB"/>
        </w:rPr>
        <w:t>,</w:t>
      </w:r>
      <w:r w:rsidR="00C54C91" w:rsidRPr="00C244B9">
        <w:rPr>
          <w:bCs/>
          <w:sz w:val="22"/>
          <w:szCs w:val="22"/>
          <w:lang w:val="en-GB"/>
        </w:rPr>
        <w:t xml:space="preserve"> Haier entered other markets, including major acquisitions in New Zealand, Japan and in 2016 </w:t>
      </w:r>
      <w:r w:rsidR="007427D0" w:rsidRPr="00C244B9">
        <w:rPr>
          <w:bCs/>
          <w:sz w:val="22"/>
          <w:szCs w:val="22"/>
          <w:lang w:val="en-GB"/>
        </w:rPr>
        <w:t xml:space="preserve">again </w:t>
      </w:r>
      <w:r w:rsidR="00C54C91" w:rsidRPr="00C244B9">
        <w:rPr>
          <w:bCs/>
          <w:sz w:val="22"/>
          <w:szCs w:val="22"/>
          <w:lang w:val="en-GB"/>
        </w:rPr>
        <w:t xml:space="preserve">the USA. In view of the greater emphasis of EE </w:t>
      </w:r>
      <w:r w:rsidR="00C54C91" w:rsidRPr="00C244B9">
        <w:rPr>
          <w:bCs/>
          <w:sz w:val="22"/>
          <w:szCs w:val="22"/>
          <w:lang w:val="en-GB"/>
        </w:rPr>
        <w:lastRenderedPageBreak/>
        <w:t xml:space="preserve">MNEs on scale and learning opportunities, </w:t>
      </w:r>
      <w:r w:rsidR="00111E44" w:rsidRPr="00C244B9">
        <w:rPr>
          <w:bCs/>
          <w:sz w:val="22"/>
          <w:szCs w:val="22"/>
          <w:lang w:val="en-GB"/>
        </w:rPr>
        <w:t>we propose our hypothes</w:t>
      </w:r>
      <w:r w:rsidR="009F599E" w:rsidRPr="00C244B9">
        <w:rPr>
          <w:bCs/>
          <w:sz w:val="22"/>
          <w:szCs w:val="22"/>
          <w:lang w:val="en-GB"/>
        </w:rPr>
        <w:t>i</w:t>
      </w:r>
      <w:r w:rsidR="00111E44" w:rsidRPr="00C244B9">
        <w:rPr>
          <w:bCs/>
          <w:sz w:val="22"/>
          <w:szCs w:val="22"/>
          <w:lang w:val="en-GB"/>
        </w:rPr>
        <w:t xml:space="preserve">s </w:t>
      </w:r>
      <w:r w:rsidR="009F599E" w:rsidRPr="00C244B9">
        <w:rPr>
          <w:bCs/>
          <w:sz w:val="22"/>
          <w:szCs w:val="22"/>
          <w:lang w:val="en-GB"/>
        </w:rPr>
        <w:t>on</w:t>
      </w:r>
      <w:r w:rsidR="00111E44" w:rsidRPr="00C244B9">
        <w:rPr>
          <w:bCs/>
          <w:sz w:val="22"/>
          <w:szCs w:val="22"/>
          <w:lang w:val="en-GB"/>
        </w:rPr>
        <w:t xml:space="preserve"> host countries’ market attractiveness</w:t>
      </w:r>
      <w:r w:rsidR="0084723C" w:rsidRPr="00C244B9">
        <w:rPr>
          <w:bCs/>
          <w:sz w:val="22"/>
          <w:szCs w:val="22"/>
          <w:lang w:val="en-GB"/>
        </w:rPr>
        <w:t xml:space="preserve">. </w:t>
      </w:r>
    </w:p>
    <w:p w14:paraId="2D5AE934" w14:textId="76D18965" w:rsidR="00111E44" w:rsidRPr="00C244B9" w:rsidRDefault="00111E44" w:rsidP="004D2295">
      <w:pPr>
        <w:spacing w:line="480" w:lineRule="auto"/>
        <w:ind w:left="567" w:hanging="567"/>
        <w:rPr>
          <w:b/>
          <w:bCs/>
          <w:i/>
          <w:sz w:val="22"/>
          <w:szCs w:val="22"/>
          <w:lang w:val="en-GB"/>
        </w:rPr>
      </w:pPr>
      <w:r w:rsidRPr="00D11E58">
        <w:rPr>
          <w:b/>
          <w:bCs/>
          <w:i/>
          <w:sz w:val="22"/>
          <w:szCs w:val="22"/>
          <w:lang w:val="en-GB"/>
        </w:rPr>
        <w:t xml:space="preserve">Hypothesis </w:t>
      </w:r>
      <w:r w:rsidR="00CD5B0C" w:rsidRPr="00D11E58">
        <w:rPr>
          <w:b/>
          <w:bCs/>
          <w:i/>
          <w:sz w:val="22"/>
          <w:szCs w:val="22"/>
          <w:lang w:val="en-GB"/>
        </w:rPr>
        <w:t>4</w:t>
      </w:r>
      <w:r w:rsidRPr="00D11E58">
        <w:rPr>
          <w:b/>
          <w:bCs/>
          <w:i/>
          <w:sz w:val="22"/>
          <w:szCs w:val="22"/>
          <w:lang w:val="en-GB"/>
        </w:rPr>
        <w:t xml:space="preserve">: </w:t>
      </w:r>
      <w:r w:rsidR="001A13A8" w:rsidRPr="00D11E58">
        <w:rPr>
          <w:b/>
          <w:bCs/>
          <w:i/>
          <w:sz w:val="22"/>
          <w:szCs w:val="22"/>
          <w:lang w:val="en-GB"/>
        </w:rPr>
        <w:t>T</w:t>
      </w:r>
      <w:r w:rsidRPr="00D11E58">
        <w:rPr>
          <w:b/>
          <w:bCs/>
          <w:i/>
          <w:sz w:val="22"/>
          <w:szCs w:val="22"/>
          <w:lang w:val="en-GB"/>
        </w:rPr>
        <w:t xml:space="preserve">he </w:t>
      </w:r>
      <w:r w:rsidR="005E166E">
        <w:rPr>
          <w:b/>
          <w:bCs/>
          <w:i/>
          <w:sz w:val="22"/>
          <w:szCs w:val="22"/>
          <w:lang w:val="en-GB"/>
        </w:rPr>
        <w:t xml:space="preserve">larger the number of </w:t>
      </w:r>
      <w:r w:rsidRPr="00D11E58">
        <w:rPr>
          <w:b/>
          <w:bCs/>
          <w:i/>
          <w:sz w:val="22"/>
          <w:szCs w:val="22"/>
          <w:lang w:val="en-GB"/>
        </w:rPr>
        <w:t xml:space="preserve">potential customers </w:t>
      </w:r>
      <w:r w:rsidR="005E166E">
        <w:rPr>
          <w:b/>
          <w:bCs/>
          <w:i/>
          <w:sz w:val="22"/>
          <w:szCs w:val="22"/>
          <w:lang w:val="en-GB"/>
        </w:rPr>
        <w:t xml:space="preserve">in the host economy, </w:t>
      </w:r>
      <w:r w:rsidR="001A13A8" w:rsidRPr="00D11E58">
        <w:rPr>
          <w:b/>
          <w:bCs/>
          <w:i/>
          <w:sz w:val="22"/>
          <w:szCs w:val="22"/>
          <w:lang w:val="en-GB"/>
        </w:rPr>
        <w:t xml:space="preserve">, the more likely </w:t>
      </w:r>
      <w:r w:rsidR="005E166E">
        <w:rPr>
          <w:b/>
          <w:bCs/>
          <w:i/>
          <w:sz w:val="22"/>
          <w:szCs w:val="22"/>
          <w:lang w:val="en-GB"/>
        </w:rPr>
        <w:t xml:space="preserve">are </w:t>
      </w:r>
      <w:r w:rsidR="001A13A8" w:rsidRPr="00D11E58">
        <w:rPr>
          <w:b/>
          <w:bCs/>
          <w:i/>
          <w:sz w:val="22"/>
          <w:szCs w:val="22"/>
          <w:lang w:val="en-GB"/>
        </w:rPr>
        <w:t>MNEs to locate in this advanced economy</w:t>
      </w:r>
      <w:r w:rsidR="005E166E">
        <w:rPr>
          <w:b/>
          <w:bCs/>
          <w:i/>
          <w:sz w:val="22"/>
          <w:szCs w:val="22"/>
          <w:lang w:val="en-GB"/>
        </w:rPr>
        <w:t>. T</w:t>
      </w:r>
      <w:r w:rsidRPr="00D11E58">
        <w:rPr>
          <w:b/>
          <w:bCs/>
          <w:i/>
          <w:sz w:val="22"/>
          <w:szCs w:val="22"/>
          <w:lang w:val="en-GB"/>
        </w:rPr>
        <w:t>his effect is stronger for EE MNEs than for AE MNEs.</w:t>
      </w:r>
      <w:r w:rsidRPr="00C244B9">
        <w:rPr>
          <w:b/>
          <w:bCs/>
          <w:i/>
          <w:sz w:val="22"/>
          <w:szCs w:val="22"/>
          <w:lang w:val="en-GB"/>
        </w:rPr>
        <w:t xml:space="preserve">  </w:t>
      </w:r>
    </w:p>
    <w:p w14:paraId="4981D066" w14:textId="39229D5A" w:rsidR="00E64509" w:rsidRPr="00C244B9" w:rsidRDefault="002D2EEF" w:rsidP="00D74D19">
      <w:pPr>
        <w:spacing w:line="480" w:lineRule="auto"/>
        <w:rPr>
          <w:bCs/>
          <w:sz w:val="22"/>
          <w:szCs w:val="22"/>
          <w:lang w:val="en-GB"/>
        </w:rPr>
      </w:pPr>
      <w:r w:rsidRPr="00C244B9">
        <w:rPr>
          <w:bCs/>
          <w:sz w:val="22"/>
          <w:szCs w:val="22"/>
          <w:lang w:val="en-GB"/>
        </w:rPr>
        <w:t xml:space="preserve">Table </w:t>
      </w:r>
      <w:r w:rsidR="004F78DD" w:rsidRPr="00C244B9">
        <w:rPr>
          <w:bCs/>
          <w:sz w:val="22"/>
          <w:szCs w:val="22"/>
          <w:lang w:val="en-GB"/>
        </w:rPr>
        <w:t>1</w:t>
      </w:r>
      <w:r w:rsidRPr="00C244B9">
        <w:rPr>
          <w:bCs/>
          <w:sz w:val="22"/>
          <w:szCs w:val="22"/>
          <w:lang w:val="en-GB"/>
        </w:rPr>
        <w:t xml:space="preserve"> summarize</w:t>
      </w:r>
      <w:r w:rsidR="004F78DD" w:rsidRPr="00C244B9">
        <w:rPr>
          <w:bCs/>
          <w:sz w:val="22"/>
          <w:szCs w:val="22"/>
          <w:lang w:val="en-GB"/>
        </w:rPr>
        <w:t>s</w:t>
      </w:r>
      <w:r w:rsidRPr="00C244B9">
        <w:rPr>
          <w:bCs/>
          <w:sz w:val="22"/>
          <w:szCs w:val="22"/>
          <w:lang w:val="en-GB"/>
        </w:rPr>
        <w:t xml:space="preserve"> our hypotheses</w:t>
      </w:r>
      <w:r w:rsidR="009C6493" w:rsidRPr="00C244B9">
        <w:rPr>
          <w:bCs/>
          <w:sz w:val="22"/>
          <w:szCs w:val="22"/>
          <w:lang w:val="en-GB"/>
        </w:rPr>
        <w:t>.</w:t>
      </w:r>
      <w:r w:rsidR="00830BA5" w:rsidRPr="00C244B9">
        <w:rPr>
          <w:bCs/>
          <w:sz w:val="22"/>
          <w:szCs w:val="22"/>
          <w:lang w:val="en-GB"/>
        </w:rPr>
        <w:t xml:space="preserve"> </w:t>
      </w:r>
      <w:r w:rsidR="00AE3471" w:rsidRPr="00C244B9">
        <w:rPr>
          <w:bCs/>
          <w:sz w:val="22"/>
          <w:szCs w:val="22"/>
          <w:lang w:val="en-GB"/>
        </w:rPr>
        <w:t>As is customary, we discuss alternative explanations and countervailing effects in the discussion section.</w:t>
      </w:r>
    </w:p>
    <w:p w14:paraId="1424BC43" w14:textId="55BB26E6" w:rsidR="005022B9" w:rsidRPr="00C244B9" w:rsidRDefault="005022B9" w:rsidP="0018025D">
      <w:pPr>
        <w:spacing w:line="480" w:lineRule="auto"/>
        <w:jc w:val="center"/>
        <w:rPr>
          <w:bCs/>
          <w:i/>
          <w:sz w:val="22"/>
          <w:szCs w:val="22"/>
          <w:lang w:val="en-GB"/>
        </w:rPr>
      </w:pPr>
      <w:r w:rsidRPr="00C244B9">
        <w:rPr>
          <w:bCs/>
          <w:i/>
          <w:sz w:val="22"/>
          <w:szCs w:val="22"/>
          <w:lang w:val="en-GB"/>
        </w:rPr>
        <w:t xml:space="preserve"> Insert Table </w:t>
      </w:r>
      <w:r w:rsidR="004F78DD" w:rsidRPr="00C244B9">
        <w:rPr>
          <w:bCs/>
          <w:i/>
          <w:sz w:val="22"/>
          <w:szCs w:val="22"/>
          <w:lang w:val="en-GB"/>
        </w:rPr>
        <w:t>1</w:t>
      </w:r>
      <w:r w:rsidRPr="00C244B9">
        <w:rPr>
          <w:bCs/>
          <w:i/>
          <w:sz w:val="22"/>
          <w:szCs w:val="22"/>
          <w:lang w:val="en-GB"/>
        </w:rPr>
        <w:t xml:space="preserve"> about here </w:t>
      </w:r>
    </w:p>
    <w:p w14:paraId="60571CB2" w14:textId="77777777" w:rsidR="00D11FB6" w:rsidRPr="00C244B9" w:rsidRDefault="00D11FB6" w:rsidP="0018025D">
      <w:pPr>
        <w:spacing w:line="480" w:lineRule="auto"/>
        <w:jc w:val="center"/>
        <w:outlineLvl w:val="0"/>
        <w:rPr>
          <w:b/>
          <w:bCs/>
          <w:sz w:val="22"/>
          <w:szCs w:val="22"/>
          <w:lang w:val="en-GB"/>
        </w:rPr>
      </w:pPr>
      <w:r w:rsidRPr="00C244B9">
        <w:rPr>
          <w:b/>
          <w:bCs/>
          <w:sz w:val="22"/>
          <w:szCs w:val="22"/>
          <w:lang w:val="en-GB"/>
        </w:rPr>
        <w:t>METHODOLOGY</w:t>
      </w:r>
    </w:p>
    <w:p w14:paraId="019327C1" w14:textId="77777777" w:rsidR="00800BD4" w:rsidRPr="00C244B9" w:rsidRDefault="00800BD4" w:rsidP="00800BD4">
      <w:pPr>
        <w:spacing w:line="480" w:lineRule="auto"/>
        <w:outlineLvl w:val="0"/>
        <w:rPr>
          <w:b/>
          <w:sz w:val="22"/>
          <w:szCs w:val="22"/>
          <w:lang w:val="en-GB"/>
        </w:rPr>
      </w:pPr>
      <w:r w:rsidRPr="00C244B9">
        <w:rPr>
          <w:b/>
          <w:sz w:val="22"/>
          <w:szCs w:val="22"/>
          <w:lang w:val="en-GB"/>
        </w:rPr>
        <w:t>Data</w:t>
      </w:r>
    </w:p>
    <w:p w14:paraId="0568BB4F" w14:textId="440673BA" w:rsidR="00800BD4" w:rsidRPr="00C244B9" w:rsidRDefault="00800BD4" w:rsidP="00800BD4">
      <w:pPr>
        <w:spacing w:line="480" w:lineRule="auto"/>
        <w:rPr>
          <w:sz w:val="22"/>
          <w:szCs w:val="22"/>
          <w:lang w:val="en-GB"/>
        </w:rPr>
      </w:pPr>
      <w:r w:rsidRPr="00C244B9">
        <w:rPr>
          <w:sz w:val="22"/>
          <w:szCs w:val="22"/>
          <w:lang w:val="en-GB"/>
        </w:rPr>
        <w:t xml:space="preserve">We constructed our own dataset of </w:t>
      </w:r>
      <w:r w:rsidR="00FC5BAB" w:rsidRPr="00C244B9">
        <w:rPr>
          <w:sz w:val="22"/>
          <w:szCs w:val="22"/>
          <w:lang w:val="en-GB"/>
        </w:rPr>
        <w:t xml:space="preserve">the </w:t>
      </w:r>
      <w:r w:rsidRPr="00C244B9">
        <w:rPr>
          <w:sz w:val="22"/>
          <w:szCs w:val="22"/>
          <w:lang w:val="en-GB"/>
        </w:rPr>
        <w:t>locational choices of foreign investors from the Orbis database (Bureau van Dyck) combined with other variables. Orbis distinguishes between foreign and domestically owned firms and provides the home economy of the ultimate owner; the largest shareholder that is independent.</w:t>
      </w:r>
      <w:r w:rsidRPr="00C244B9">
        <w:rPr>
          <w:sz w:val="22"/>
          <w:szCs w:val="22"/>
          <w:vertAlign w:val="superscript"/>
          <w:lang w:val="en-GB"/>
        </w:rPr>
        <w:footnoteReference w:id="5"/>
      </w:r>
      <w:r w:rsidRPr="00C244B9">
        <w:rPr>
          <w:sz w:val="22"/>
          <w:szCs w:val="22"/>
          <w:lang w:val="en-GB"/>
        </w:rPr>
        <w:t xml:space="preserve">  We define a firm as being foreign owned when the (foreign) ultimate owner holds a direct or indirect participation of at least 50.01% of the stock.  We restrict our attention to firms that were incorporated after 2005, so as to focus on investments that are comparable in terms of market conditions and institutional context.</w:t>
      </w:r>
      <w:r w:rsidRPr="00C244B9">
        <w:rPr>
          <w:rStyle w:val="FootnoteReference"/>
          <w:sz w:val="22"/>
          <w:szCs w:val="22"/>
          <w:lang w:val="en-GB"/>
        </w:rPr>
        <w:footnoteReference w:id="6"/>
      </w:r>
      <w:r w:rsidRPr="00C244B9">
        <w:rPr>
          <w:sz w:val="22"/>
          <w:szCs w:val="22"/>
          <w:lang w:val="en-GB"/>
        </w:rPr>
        <w:t xml:space="preserve"> The dataset allows us to identify all firms operating in a given host economy owned by firms from any given source country, provided the subsidiary is of the minimum size to be included in the database.</w:t>
      </w:r>
      <w:r w:rsidR="00FE562B" w:rsidRPr="00C244B9">
        <w:rPr>
          <w:sz w:val="22"/>
          <w:szCs w:val="22"/>
          <w:lang w:val="en-GB"/>
        </w:rPr>
        <w:t xml:space="preserve"> </w:t>
      </w:r>
    </w:p>
    <w:p w14:paraId="1DE66EEA" w14:textId="58DDBA01" w:rsidR="00800BD4" w:rsidRPr="00C244B9" w:rsidRDefault="00800BD4" w:rsidP="00800BD4">
      <w:pPr>
        <w:spacing w:line="480" w:lineRule="auto"/>
        <w:ind w:firstLine="284"/>
        <w:rPr>
          <w:sz w:val="22"/>
          <w:szCs w:val="22"/>
          <w:lang w:val="en-GB"/>
        </w:rPr>
      </w:pPr>
      <w:r w:rsidRPr="00C244B9">
        <w:rPr>
          <w:sz w:val="22"/>
          <w:szCs w:val="22"/>
          <w:lang w:val="en-GB"/>
        </w:rPr>
        <w:t xml:space="preserve">Our hypotheses are tested by considering </w:t>
      </w:r>
      <w:r w:rsidRPr="00C244B9">
        <w:rPr>
          <w:i/>
          <w:sz w:val="22"/>
          <w:szCs w:val="22"/>
          <w:lang w:val="en-GB"/>
        </w:rPr>
        <w:t>differences</w:t>
      </w:r>
      <w:r w:rsidRPr="00C244B9">
        <w:rPr>
          <w:sz w:val="22"/>
          <w:szCs w:val="22"/>
          <w:lang w:val="en-GB"/>
        </w:rPr>
        <w:t xml:space="preserve"> in home country effects </w:t>
      </w:r>
      <w:r w:rsidR="00FE562B" w:rsidRPr="00C244B9">
        <w:rPr>
          <w:sz w:val="22"/>
          <w:szCs w:val="22"/>
          <w:lang w:val="en-GB"/>
        </w:rPr>
        <w:t xml:space="preserve">on locational choice </w:t>
      </w:r>
      <w:r w:rsidRPr="00C244B9">
        <w:rPr>
          <w:sz w:val="22"/>
          <w:szCs w:val="22"/>
          <w:lang w:val="en-GB"/>
        </w:rPr>
        <w:t xml:space="preserve">between firms from AEs and EEs; hence our dataset must encompass </w:t>
      </w:r>
      <w:r w:rsidRPr="00C244B9">
        <w:rPr>
          <w:sz w:val="22"/>
          <w:szCs w:val="22"/>
          <w:lang w:val="en-GB"/>
        </w:rPr>
        <w:lastRenderedPageBreak/>
        <w:t>MNEs originating from both. To construct this, we extracted data from Orbis for all MNE subsidiaries active in 2011 and established after 2005 that originated from one of the f</w:t>
      </w:r>
      <w:r w:rsidR="00E74F99" w:rsidRPr="00C244B9">
        <w:rPr>
          <w:sz w:val="22"/>
          <w:szCs w:val="22"/>
          <w:lang w:val="en-GB"/>
        </w:rPr>
        <w:t>our</w:t>
      </w:r>
      <w:r w:rsidRPr="00C244B9">
        <w:rPr>
          <w:sz w:val="22"/>
          <w:szCs w:val="22"/>
          <w:lang w:val="en-GB"/>
        </w:rPr>
        <w:t xml:space="preserve">teen main actors in FDI; seven </w:t>
      </w:r>
      <w:r w:rsidR="00323490">
        <w:rPr>
          <w:sz w:val="22"/>
          <w:szCs w:val="22"/>
          <w:lang w:val="en-GB"/>
        </w:rPr>
        <w:t>AEs</w:t>
      </w:r>
      <w:r w:rsidRPr="00C244B9">
        <w:rPr>
          <w:sz w:val="22"/>
          <w:szCs w:val="22"/>
          <w:lang w:val="en-GB"/>
        </w:rPr>
        <w:t xml:space="preserve"> (France, Germany, Spain, Japan, United Kingdom</w:t>
      </w:r>
      <w:r w:rsidR="0056432C" w:rsidRPr="00C244B9">
        <w:rPr>
          <w:sz w:val="22"/>
          <w:szCs w:val="22"/>
          <w:lang w:val="en-GB"/>
        </w:rPr>
        <w:t xml:space="preserve">, </w:t>
      </w:r>
      <w:r w:rsidRPr="00C244B9">
        <w:rPr>
          <w:sz w:val="22"/>
          <w:szCs w:val="22"/>
          <w:lang w:val="en-GB"/>
        </w:rPr>
        <w:t xml:space="preserve">United States and Canada) and </w:t>
      </w:r>
      <w:r w:rsidR="002D22FC" w:rsidRPr="00C244B9">
        <w:rPr>
          <w:sz w:val="22"/>
          <w:szCs w:val="22"/>
          <w:lang w:val="en-GB"/>
        </w:rPr>
        <w:t>seven</w:t>
      </w:r>
      <w:r w:rsidR="00625326" w:rsidRPr="00C244B9">
        <w:rPr>
          <w:sz w:val="22"/>
          <w:szCs w:val="22"/>
          <w:lang w:val="en-GB"/>
        </w:rPr>
        <w:t xml:space="preserve"> </w:t>
      </w:r>
      <w:r w:rsidR="00323490">
        <w:rPr>
          <w:sz w:val="22"/>
          <w:szCs w:val="22"/>
          <w:lang w:val="en-GB"/>
        </w:rPr>
        <w:t>EEs</w:t>
      </w:r>
      <w:r w:rsidRPr="00C244B9">
        <w:rPr>
          <w:sz w:val="22"/>
          <w:szCs w:val="22"/>
          <w:lang w:val="en-GB"/>
        </w:rPr>
        <w:t xml:space="preserve"> (Brazil, China, India, Russia, South Africa, Mexico, and Turkey). The chosen seven AEs generated about two thirds of global FDI from </w:t>
      </w:r>
      <w:r w:rsidR="0056432C" w:rsidRPr="00C244B9">
        <w:rPr>
          <w:sz w:val="22"/>
          <w:szCs w:val="22"/>
          <w:lang w:val="en-GB"/>
        </w:rPr>
        <w:t>AEs</w:t>
      </w:r>
      <w:r w:rsidRPr="00C244B9">
        <w:rPr>
          <w:sz w:val="22"/>
          <w:szCs w:val="22"/>
          <w:lang w:val="en-GB"/>
        </w:rPr>
        <w:t xml:space="preserve">, and the </w:t>
      </w:r>
      <w:r w:rsidR="00E74F99" w:rsidRPr="00C244B9">
        <w:rPr>
          <w:sz w:val="22"/>
          <w:szCs w:val="22"/>
          <w:lang w:val="en-GB"/>
        </w:rPr>
        <w:t xml:space="preserve">seven </w:t>
      </w:r>
      <w:r w:rsidRPr="00C244B9">
        <w:rPr>
          <w:sz w:val="22"/>
          <w:szCs w:val="22"/>
          <w:lang w:val="en-GB"/>
        </w:rPr>
        <w:t xml:space="preserve">EEs around three fifths of all investment from </w:t>
      </w:r>
      <w:r w:rsidR="0056432C" w:rsidRPr="00C244B9">
        <w:rPr>
          <w:sz w:val="22"/>
          <w:szCs w:val="22"/>
          <w:lang w:val="en-GB"/>
        </w:rPr>
        <w:t>EEs</w:t>
      </w:r>
      <w:r w:rsidRPr="00C244B9">
        <w:rPr>
          <w:sz w:val="22"/>
          <w:szCs w:val="22"/>
          <w:lang w:val="en-GB"/>
        </w:rPr>
        <w:t xml:space="preserve"> (UNCTAD 201</w:t>
      </w:r>
      <w:r w:rsidR="0061384E" w:rsidRPr="00C244B9">
        <w:rPr>
          <w:sz w:val="22"/>
          <w:szCs w:val="22"/>
          <w:lang w:val="en-GB"/>
        </w:rPr>
        <w:t>6</w:t>
      </w:r>
      <w:r w:rsidRPr="00C244B9">
        <w:rPr>
          <w:sz w:val="22"/>
          <w:szCs w:val="22"/>
          <w:lang w:val="en-GB"/>
        </w:rPr>
        <w:t>)</w:t>
      </w:r>
      <w:r w:rsidR="004F78DD" w:rsidRPr="00C244B9">
        <w:rPr>
          <w:sz w:val="22"/>
          <w:szCs w:val="22"/>
          <w:lang w:val="en-GB"/>
        </w:rPr>
        <w:t>.</w:t>
      </w:r>
      <w:r w:rsidRPr="00C244B9">
        <w:rPr>
          <w:sz w:val="22"/>
          <w:szCs w:val="22"/>
          <w:lang w:val="en-GB"/>
        </w:rPr>
        <w:t xml:space="preserve"> </w:t>
      </w:r>
    </w:p>
    <w:p w14:paraId="2C39C23C" w14:textId="73684A4A" w:rsidR="00800BD4" w:rsidRPr="00C244B9" w:rsidRDefault="00800BD4" w:rsidP="00800BD4">
      <w:pPr>
        <w:spacing w:line="480" w:lineRule="auto"/>
        <w:ind w:firstLine="284"/>
        <w:rPr>
          <w:bCs/>
          <w:sz w:val="22"/>
          <w:szCs w:val="22"/>
          <w:lang w:val="en-GB"/>
        </w:rPr>
      </w:pPr>
      <w:r w:rsidRPr="00C244B9">
        <w:rPr>
          <w:sz w:val="22"/>
          <w:szCs w:val="22"/>
          <w:lang w:val="en-GB"/>
        </w:rPr>
        <w:t xml:space="preserve">We consider a wide range of </w:t>
      </w:r>
      <w:r w:rsidR="0056432C" w:rsidRPr="00C244B9">
        <w:rPr>
          <w:sz w:val="22"/>
          <w:szCs w:val="22"/>
          <w:lang w:val="en-GB"/>
        </w:rPr>
        <w:t>A</w:t>
      </w:r>
      <w:r w:rsidR="0002259C" w:rsidRPr="00C244B9">
        <w:rPr>
          <w:sz w:val="22"/>
          <w:szCs w:val="22"/>
          <w:lang w:val="en-GB"/>
        </w:rPr>
        <w:t>E</w:t>
      </w:r>
      <w:r w:rsidR="0056432C" w:rsidRPr="00C244B9">
        <w:rPr>
          <w:sz w:val="22"/>
          <w:szCs w:val="22"/>
          <w:lang w:val="en-GB"/>
        </w:rPr>
        <w:t>s</w:t>
      </w:r>
      <w:r w:rsidRPr="00C244B9">
        <w:rPr>
          <w:sz w:val="22"/>
          <w:szCs w:val="22"/>
          <w:lang w:val="en-GB"/>
        </w:rPr>
        <w:t xml:space="preserve"> economies into which MNEs from these home economies invest. We included </w:t>
      </w:r>
      <w:r w:rsidR="002D22FC" w:rsidRPr="00C244B9">
        <w:rPr>
          <w:sz w:val="22"/>
          <w:szCs w:val="22"/>
          <w:lang w:val="en-GB"/>
        </w:rPr>
        <w:t xml:space="preserve">the European countries that are member of the OECD and the </w:t>
      </w:r>
      <w:r w:rsidR="00386C36" w:rsidRPr="00C244B9">
        <w:rPr>
          <w:sz w:val="22"/>
          <w:szCs w:val="22"/>
          <w:lang w:val="en-GB"/>
        </w:rPr>
        <w:t xml:space="preserve">largest </w:t>
      </w:r>
      <w:r w:rsidR="002D22FC" w:rsidRPr="00C244B9">
        <w:rPr>
          <w:sz w:val="22"/>
          <w:szCs w:val="22"/>
          <w:lang w:val="en-GB"/>
        </w:rPr>
        <w:t xml:space="preserve">non-European </w:t>
      </w:r>
      <w:r w:rsidR="00386C36" w:rsidRPr="00C244B9">
        <w:rPr>
          <w:sz w:val="22"/>
          <w:szCs w:val="22"/>
          <w:lang w:val="en-GB"/>
        </w:rPr>
        <w:t>economies that are member of the OECD. In total, we include the following</w:t>
      </w:r>
      <w:r w:rsidR="002D22FC" w:rsidRPr="00C244B9">
        <w:rPr>
          <w:sz w:val="22"/>
          <w:szCs w:val="22"/>
          <w:lang w:val="en-GB"/>
        </w:rPr>
        <w:t xml:space="preserve"> </w:t>
      </w:r>
      <w:r w:rsidR="00913C3B" w:rsidRPr="00C244B9">
        <w:rPr>
          <w:sz w:val="22"/>
          <w:szCs w:val="22"/>
          <w:lang w:val="en-GB"/>
        </w:rPr>
        <w:t>31</w:t>
      </w:r>
      <w:r w:rsidRPr="00C244B9">
        <w:rPr>
          <w:sz w:val="22"/>
          <w:szCs w:val="22"/>
          <w:lang w:val="en-GB"/>
        </w:rPr>
        <w:t xml:space="preserve"> host countries in our dataset: </w:t>
      </w:r>
      <w:r w:rsidR="00913C3B" w:rsidRPr="00C244B9">
        <w:rPr>
          <w:sz w:val="22"/>
          <w:szCs w:val="22"/>
          <w:lang w:val="en-GB"/>
        </w:rPr>
        <w:t xml:space="preserve">Australia, Austria, Belgium, Canada, </w:t>
      </w:r>
      <w:r w:rsidR="00EB5FA8" w:rsidRPr="00C244B9">
        <w:rPr>
          <w:sz w:val="22"/>
          <w:szCs w:val="22"/>
          <w:lang w:val="en-GB"/>
        </w:rPr>
        <w:t xml:space="preserve">Czech Republic, </w:t>
      </w:r>
      <w:r w:rsidR="00913C3B" w:rsidRPr="00C244B9">
        <w:rPr>
          <w:sz w:val="22"/>
          <w:szCs w:val="22"/>
          <w:lang w:val="en-GB"/>
        </w:rPr>
        <w:t xml:space="preserve">Denmark, Estonia, Finland, France, Germany, Greece, </w:t>
      </w:r>
      <w:r w:rsidR="00EB5FA8" w:rsidRPr="00C244B9">
        <w:rPr>
          <w:sz w:val="22"/>
          <w:szCs w:val="22"/>
          <w:lang w:val="en-GB"/>
        </w:rPr>
        <w:t>Hungary,</w:t>
      </w:r>
      <w:r w:rsidR="00913C3B" w:rsidRPr="00C244B9">
        <w:rPr>
          <w:sz w:val="22"/>
          <w:szCs w:val="22"/>
          <w:lang w:val="en-GB"/>
        </w:rPr>
        <w:t xml:space="preserve"> Iceland, Ireland, Italy, Japan, Korea, Latvia, Luxembourg</w:t>
      </w:r>
      <w:r w:rsidR="00045445" w:rsidRPr="00C244B9">
        <w:rPr>
          <w:sz w:val="22"/>
          <w:szCs w:val="22"/>
          <w:lang w:val="en-GB"/>
        </w:rPr>
        <w:t>, Netherlands</w:t>
      </w:r>
      <w:r w:rsidR="00913C3B" w:rsidRPr="00C244B9">
        <w:rPr>
          <w:sz w:val="22"/>
          <w:szCs w:val="22"/>
          <w:lang w:val="en-GB"/>
        </w:rPr>
        <w:t>, New Zealand, Norway, Poland, Portugal, Spain, Slovakia, Slovenia</w:t>
      </w:r>
      <w:r w:rsidR="00045445" w:rsidRPr="00C244B9">
        <w:rPr>
          <w:sz w:val="22"/>
          <w:szCs w:val="22"/>
          <w:lang w:val="en-GB"/>
        </w:rPr>
        <w:t>, Sweden</w:t>
      </w:r>
      <w:r w:rsidR="00913C3B" w:rsidRPr="00C244B9">
        <w:rPr>
          <w:sz w:val="22"/>
          <w:szCs w:val="22"/>
          <w:lang w:val="en-GB"/>
        </w:rPr>
        <w:t>, Switzerland, United Kingdom and the United States.</w:t>
      </w:r>
      <w:r w:rsidRPr="00C244B9">
        <w:rPr>
          <w:sz w:val="22"/>
          <w:szCs w:val="22"/>
          <w:lang w:val="en-GB"/>
        </w:rPr>
        <w:t xml:space="preserve">  </w:t>
      </w:r>
      <w:r w:rsidRPr="00C244B9">
        <w:rPr>
          <w:sz w:val="22"/>
          <w:szCs w:val="22"/>
          <w:shd w:val="clear" w:color="auto" w:fill="FFFFFF" w:themeFill="background1"/>
          <w:lang w:val="en-GB"/>
        </w:rPr>
        <w:t xml:space="preserve">These countries received more than 80% of all FDI into AEs (UNCTAD, 2012). </w:t>
      </w:r>
      <w:r w:rsidRPr="00C244B9">
        <w:rPr>
          <w:bCs/>
          <w:sz w:val="22"/>
          <w:szCs w:val="22"/>
          <w:lang w:val="en-GB"/>
        </w:rPr>
        <w:t xml:space="preserve">Figure </w:t>
      </w:r>
      <w:r w:rsidR="008B337D" w:rsidRPr="00C244B9">
        <w:rPr>
          <w:bCs/>
          <w:sz w:val="22"/>
          <w:szCs w:val="22"/>
          <w:lang w:val="en-GB"/>
        </w:rPr>
        <w:t>2</w:t>
      </w:r>
      <w:r w:rsidRPr="00C244B9">
        <w:rPr>
          <w:bCs/>
          <w:sz w:val="22"/>
          <w:szCs w:val="22"/>
          <w:lang w:val="en-GB"/>
        </w:rPr>
        <w:t xml:space="preserve"> illustrates the structure of our dataset and our empirical methodology. </w:t>
      </w:r>
    </w:p>
    <w:p w14:paraId="08034C4F" w14:textId="1EAEDE9A" w:rsidR="00800BD4" w:rsidRPr="00C244B9" w:rsidRDefault="00800BD4" w:rsidP="00D74D19">
      <w:pPr>
        <w:spacing w:line="480" w:lineRule="auto"/>
        <w:ind w:firstLine="720"/>
        <w:jc w:val="center"/>
        <w:rPr>
          <w:b/>
          <w:bCs/>
          <w:sz w:val="22"/>
          <w:szCs w:val="22"/>
          <w:lang w:val="en-GB"/>
        </w:rPr>
      </w:pPr>
      <w:r w:rsidRPr="00C244B9">
        <w:rPr>
          <w:i/>
          <w:sz w:val="22"/>
          <w:szCs w:val="22"/>
        </w:rPr>
        <w:t xml:space="preserve">Insert Figure </w:t>
      </w:r>
      <w:r w:rsidR="008B337D" w:rsidRPr="00C244B9">
        <w:rPr>
          <w:i/>
          <w:sz w:val="22"/>
          <w:szCs w:val="22"/>
        </w:rPr>
        <w:t>2</w:t>
      </w:r>
      <w:r w:rsidRPr="00C244B9">
        <w:rPr>
          <w:i/>
          <w:sz w:val="22"/>
          <w:szCs w:val="22"/>
        </w:rPr>
        <w:t xml:space="preserve"> about here</w:t>
      </w:r>
    </w:p>
    <w:p w14:paraId="08F4C803" w14:textId="7D20B3BB" w:rsidR="00D11FB6" w:rsidRPr="00C244B9" w:rsidRDefault="00837972" w:rsidP="00C46F54">
      <w:pPr>
        <w:pStyle w:val="NormalWeb"/>
        <w:shd w:val="clear" w:color="auto" w:fill="FFFFFF"/>
        <w:spacing w:before="0" w:beforeAutospacing="0" w:after="0" w:afterAutospacing="0" w:line="480" w:lineRule="auto"/>
        <w:ind w:firstLine="284"/>
        <w:rPr>
          <w:sz w:val="22"/>
          <w:szCs w:val="22"/>
        </w:rPr>
      </w:pPr>
      <w:r w:rsidRPr="00C244B9">
        <w:rPr>
          <w:sz w:val="22"/>
          <w:szCs w:val="22"/>
          <w:lang w:val="en-GB"/>
        </w:rPr>
        <w:t xml:space="preserve">Our </w:t>
      </w:r>
      <w:r w:rsidR="00D11FB6" w:rsidRPr="00C244B9">
        <w:rPr>
          <w:sz w:val="22"/>
          <w:szCs w:val="22"/>
          <w:lang w:val="en-GB"/>
        </w:rPr>
        <w:t>hypotheses</w:t>
      </w:r>
      <w:r w:rsidR="00226E71" w:rsidRPr="00C244B9">
        <w:rPr>
          <w:sz w:val="22"/>
          <w:szCs w:val="22"/>
          <w:lang w:val="en-GB"/>
        </w:rPr>
        <w:t xml:space="preserve"> </w:t>
      </w:r>
      <w:r w:rsidR="00D11FB6" w:rsidRPr="00C244B9">
        <w:rPr>
          <w:sz w:val="22"/>
          <w:szCs w:val="22"/>
          <w:lang w:val="en-GB"/>
        </w:rPr>
        <w:t xml:space="preserve">concern the </w:t>
      </w:r>
      <w:r w:rsidR="006B05DF" w:rsidRPr="00C244B9">
        <w:rPr>
          <w:sz w:val="22"/>
          <w:szCs w:val="22"/>
          <w:lang w:val="en-GB"/>
        </w:rPr>
        <w:t xml:space="preserve">relative importance of </w:t>
      </w:r>
      <w:r w:rsidR="008B337D" w:rsidRPr="00C244B9">
        <w:rPr>
          <w:sz w:val="22"/>
          <w:szCs w:val="22"/>
          <w:lang w:val="en-GB"/>
        </w:rPr>
        <w:t xml:space="preserve">four groups of </w:t>
      </w:r>
      <w:r w:rsidR="008B337D" w:rsidRPr="00C244B9">
        <w:rPr>
          <w:i/>
          <w:sz w:val="22"/>
          <w:szCs w:val="22"/>
          <w:lang w:val="en-GB"/>
        </w:rPr>
        <w:t xml:space="preserve">host economy </w:t>
      </w:r>
      <w:r w:rsidR="006B05DF" w:rsidRPr="00C244B9">
        <w:rPr>
          <w:i/>
          <w:sz w:val="22"/>
          <w:szCs w:val="22"/>
          <w:lang w:val="en-GB"/>
        </w:rPr>
        <w:t>characteristics</w:t>
      </w:r>
      <w:r w:rsidR="006B05DF" w:rsidRPr="00C244B9">
        <w:rPr>
          <w:sz w:val="22"/>
          <w:szCs w:val="22"/>
          <w:lang w:val="en-GB"/>
        </w:rPr>
        <w:t xml:space="preserve"> </w:t>
      </w:r>
      <w:r w:rsidR="00D11FB6" w:rsidRPr="00C244B9">
        <w:rPr>
          <w:sz w:val="22"/>
          <w:szCs w:val="22"/>
          <w:lang w:val="en-GB"/>
        </w:rPr>
        <w:t>influencing</w:t>
      </w:r>
      <w:r w:rsidRPr="00C244B9">
        <w:rPr>
          <w:sz w:val="22"/>
          <w:szCs w:val="22"/>
          <w:lang w:val="en-GB"/>
        </w:rPr>
        <w:t xml:space="preserve"> </w:t>
      </w:r>
      <w:r w:rsidR="008B337D" w:rsidRPr="00C244B9">
        <w:rPr>
          <w:sz w:val="22"/>
          <w:szCs w:val="22"/>
          <w:lang w:val="en-GB"/>
        </w:rPr>
        <w:t xml:space="preserve">the </w:t>
      </w:r>
      <w:r w:rsidR="00D11FB6" w:rsidRPr="00C244B9">
        <w:rPr>
          <w:sz w:val="22"/>
          <w:szCs w:val="22"/>
          <w:lang w:val="en-GB"/>
        </w:rPr>
        <w:t xml:space="preserve">choice of location </w:t>
      </w:r>
      <w:r w:rsidR="006B05DF" w:rsidRPr="00C244B9">
        <w:rPr>
          <w:sz w:val="22"/>
          <w:szCs w:val="22"/>
          <w:lang w:val="en-GB"/>
        </w:rPr>
        <w:t>by MNEs’ from</w:t>
      </w:r>
      <w:r w:rsidR="003A4B0B" w:rsidRPr="00C244B9">
        <w:rPr>
          <w:sz w:val="22"/>
          <w:szCs w:val="22"/>
          <w:lang w:val="en-GB"/>
        </w:rPr>
        <w:t xml:space="preserve"> </w:t>
      </w:r>
      <w:r w:rsidR="00C46AD4" w:rsidRPr="00C244B9">
        <w:rPr>
          <w:sz w:val="22"/>
          <w:szCs w:val="22"/>
          <w:lang w:val="en-GB"/>
        </w:rPr>
        <w:t>AE</w:t>
      </w:r>
      <w:r w:rsidR="008B337D" w:rsidRPr="00C244B9">
        <w:rPr>
          <w:sz w:val="22"/>
          <w:szCs w:val="22"/>
          <w:lang w:val="en-GB"/>
        </w:rPr>
        <w:t>s</w:t>
      </w:r>
      <w:r w:rsidR="00C46AD4" w:rsidRPr="00C244B9">
        <w:rPr>
          <w:sz w:val="22"/>
          <w:szCs w:val="22"/>
          <w:lang w:val="en-GB"/>
        </w:rPr>
        <w:t xml:space="preserve"> </w:t>
      </w:r>
      <w:r w:rsidR="008B337D" w:rsidRPr="00C244B9">
        <w:rPr>
          <w:sz w:val="22"/>
          <w:szCs w:val="22"/>
          <w:lang w:val="en-GB"/>
        </w:rPr>
        <w:t xml:space="preserve">as against </w:t>
      </w:r>
      <w:r w:rsidR="003A4B0B" w:rsidRPr="00C244B9">
        <w:rPr>
          <w:sz w:val="22"/>
          <w:szCs w:val="22"/>
          <w:lang w:val="en-GB"/>
        </w:rPr>
        <w:t>EE</w:t>
      </w:r>
      <w:r w:rsidR="00771336" w:rsidRPr="00C244B9">
        <w:rPr>
          <w:sz w:val="22"/>
          <w:szCs w:val="22"/>
          <w:lang w:val="en-GB"/>
        </w:rPr>
        <w:t>s</w:t>
      </w:r>
      <w:r w:rsidR="008B337D" w:rsidRPr="00C244B9">
        <w:rPr>
          <w:sz w:val="22"/>
          <w:szCs w:val="22"/>
          <w:lang w:val="en-GB"/>
        </w:rPr>
        <w:t xml:space="preserve">. We are interested in the factors determining the choice of location for MNEs within a set of potential host economies and the appropriate methodology is therefore location choice modelling, which has been frequently applied in studies of FDI </w:t>
      </w:r>
      <w:r w:rsidR="008B337D" w:rsidRPr="00C244B9">
        <w:rPr>
          <w:sz w:val="22"/>
          <w:szCs w:val="22"/>
        </w:rPr>
        <w:t xml:space="preserve">(Alcácer &amp; Chung, 2014; Chang &amp; Park, 2005; Disdier &amp; Mayer, 2004; Head et al., 1995; Tan &amp; Meyer, 2011). Our hypotheses are tested by investigating whether the coefficients on the determinants of location choice for MNEs from AEs are the same as those for MNEs from EEs. </w:t>
      </w:r>
    </w:p>
    <w:p w14:paraId="31A9CB6B" w14:textId="77878C2B" w:rsidR="00FE4F8C" w:rsidRPr="00C244B9" w:rsidRDefault="00EA2870" w:rsidP="00C46F54">
      <w:pPr>
        <w:pStyle w:val="NormalWeb"/>
        <w:shd w:val="clear" w:color="auto" w:fill="FFFFFF"/>
        <w:spacing w:before="0" w:beforeAutospacing="0" w:after="0" w:afterAutospacing="0" w:line="480" w:lineRule="auto"/>
        <w:ind w:firstLine="284"/>
        <w:rPr>
          <w:sz w:val="22"/>
          <w:szCs w:val="22"/>
        </w:rPr>
      </w:pPr>
      <w:r w:rsidRPr="00C244B9">
        <w:rPr>
          <w:sz w:val="22"/>
          <w:szCs w:val="22"/>
        </w:rPr>
        <w:t>I</w:t>
      </w:r>
      <w:r w:rsidR="00D11FB6" w:rsidRPr="00C244B9">
        <w:rPr>
          <w:sz w:val="22"/>
          <w:szCs w:val="22"/>
        </w:rPr>
        <w:t>n our</w:t>
      </w:r>
      <w:r w:rsidR="00154938" w:rsidRPr="00C244B9">
        <w:rPr>
          <w:sz w:val="22"/>
          <w:szCs w:val="22"/>
        </w:rPr>
        <w:t xml:space="preserve"> framework</w:t>
      </w:r>
      <w:r w:rsidR="00D11FB6" w:rsidRPr="00C244B9">
        <w:rPr>
          <w:sz w:val="22"/>
          <w:szCs w:val="22"/>
        </w:rPr>
        <w:t>, firms are making choices about whether or not to</w:t>
      </w:r>
      <w:r w:rsidR="003A7770" w:rsidRPr="00C244B9">
        <w:rPr>
          <w:sz w:val="22"/>
          <w:szCs w:val="22"/>
        </w:rPr>
        <w:t xml:space="preserve"> </w:t>
      </w:r>
      <w:r w:rsidR="004A187B" w:rsidRPr="00C244B9">
        <w:rPr>
          <w:sz w:val="22"/>
          <w:szCs w:val="22"/>
        </w:rPr>
        <w:t>invest (I</w:t>
      </w:r>
      <w:r w:rsidR="00D11FB6" w:rsidRPr="00C244B9">
        <w:rPr>
          <w:sz w:val="22"/>
          <w:szCs w:val="22"/>
        </w:rPr>
        <w:t xml:space="preserve">) across a variety of host countries </w:t>
      </w:r>
      <w:r w:rsidR="005C337F" w:rsidRPr="00C244B9">
        <w:rPr>
          <w:sz w:val="22"/>
          <w:szCs w:val="22"/>
        </w:rPr>
        <w:t>(</w:t>
      </w:r>
      <w:r w:rsidR="00D11FB6" w:rsidRPr="00C244B9">
        <w:rPr>
          <w:sz w:val="22"/>
          <w:szCs w:val="22"/>
        </w:rPr>
        <w:t>h</w:t>
      </w:r>
      <w:r w:rsidR="005C337F" w:rsidRPr="00C244B9">
        <w:rPr>
          <w:sz w:val="22"/>
          <w:szCs w:val="22"/>
        </w:rPr>
        <w:t>)</w:t>
      </w:r>
      <w:r w:rsidR="003A7770" w:rsidRPr="00C244B9">
        <w:rPr>
          <w:sz w:val="22"/>
          <w:szCs w:val="22"/>
        </w:rPr>
        <w:t xml:space="preserve">. </w:t>
      </w:r>
      <w:r w:rsidR="00BD3A2B" w:rsidRPr="00C244B9">
        <w:rPr>
          <w:sz w:val="22"/>
          <w:szCs w:val="22"/>
        </w:rPr>
        <w:t>The dependent variable, I</w:t>
      </w:r>
      <w:r w:rsidR="00BD3A2B" w:rsidRPr="00C244B9">
        <w:rPr>
          <w:sz w:val="22"/>
          <w:szCs w:val="22"/>
          <w:vertAlign w:val="subscript"/>
        </w:rPr>
        <w:t>h</w:t>
      </w:r>
      <w:r w:rsidR="00BD3A2B" w:rsidRPr="00C244B9">
        <w:rPr>
          <w:sz w:val="22"/>
          <w:szCs w:val="22"/>
        </w:rPr>
        <w:t xml:space="preserve">, </w:t>
      </w:r>
      <w:r w:rsidR="00947E9C" w:rsidRPr="00C244B9">
        <w:rPr>
          <w:sz w:val="22"/>
          <w:szCs w:val="22"/>
        </w:rPr>
        <w:t xml:space="preserve">describes </w:t>
      </w:r>
      <w:r w:rsidR="004E3975" w:rsidRPr="00C244B9">
        <w:rPr>
          <w:sz w:val="22"/>
          <w:szCs w:val="22"/>
        </w:rPr>
        <w:t xml:space="preserve">the probability of a </w:t>
      </w:r>
      <w:r w:rsidR="00AE3471" w:rsidRPr="00C244B9">
        <w:rPr>
          <w:sz w:val="22"/>
          <w:szCs w:val="22"/>
        </w:rPr>
        <w:t xml:space="preserve">given </w:t>
      </w:r>
      <w:r w:rsidR="004E3975" w:rsidRPr="00C244B9">
        <w:rPr>
          <w:sz w:val="22"/>
          <w:szCs w:val="22"/>
        </w:rPr>
        <w:lastRenderedPageBreak/>
        <w:t>firm to invest in a potential host country, given the characteristics of this host country</w:t>
      </w:r>
      <w:r w:rsidR="00BD3A2B" w:rsidRPr="00C244B9">
        <w:rPr>
          <w:sz w:val="22"/>
          <w:szCs w:val="22"/>
        </w:rPr>
        <w:t xml:space="preserve">. </w:t>
      </w:r>
      <w:r w:rsidR="009B5691" w:rsidRPr="00C244B9">
        <w:rPr>
          <w:sz w:val="22"/>
          <w:szCs w:val="22"/>
        </w:rPr>
        <w:t xml:space="preserve">The choice set of host economies for investing firms is restricted to </w:t>
      </w:r>
      <w:r w:rsidR="00323490">
        <w:rPr>
          <w:sz w:val="22"/>
          <w:szCs w:val="22"/>
        </w:rPr>
        <w:t>AEs</w:t>
      </w:r>
      <w:r w:rsidR="006B05DF" w:rsidRPr="00C244B9">
        <w:rPr>
          <w:sz w:val="22"/>
          <w:szCs w:val="22"/>
        </w:rPr>
        <w:t xml:space="preserve">, which we operationalize as </w:t>
      </w:r>
      <w:r w:rsidR="00430402" w:rsidRPr="00C244B9">
        <w:rPr>
          <w:sz w:val="22"/>
          <w:szCs w:val="22"/>
        </w:rPr>
        <w:t>member</w:t>
      </w:r>
      <w:r w:rsidR="006B05DF" w:rsidRPr="00C244B9">
        <w:rPr>
          <w:sz w:val="22"/>
          <w:szCs w:val="22"/>
        </w:rPr>
        <w:t xml:space="preserve"> countrie</w:t>
      </w:r>
      <w:r w:rsidR="00430402" w:rsidRPr="00C244B9">
        <w:rPr>
          <w:sz w:val="22"/>
          <w:szCs w:val="22"/>
        </w:rPr>
        <w:t>s of the</w:t>
      </w:r>
      <w:r w:rsidR="009B5691" w:rsidRPr="00C244B9">
        <w:rPr>
          <w:sz w:val="22"/>
          <w:szCs w:val="22"/>
        </w:rPr>
        <w:t xml:space="preserve"> OECD</w:t>
      </w:r>
      <w:r w:rsidR="0061384E" w:rsidRPr="00C244B9">
        <w:rPr>
          <w:sz w:val="22"/>
          <w:szCs w:val="22"/>
        </w:rPr>
        <w:t>,</w:t>
      </w:r>
      <w:r w:rsidR="00375CF4" w:rsidRPr="00C244B9">
        <w:rPr>
          <w:sz w:val="22"/>
          <w:szCs w:val="22"/>
        </w:rPr>
        <w:t xml:space="preserve"> excluding non-European </w:t>
      </w:r>
      <w:r w:rsidR="0061384E" w:rsidRPr="00C244B9">
        <w:rPr>
          <w:sz w:val="22"/>
          <w:szCs w:val="22"/>
        </w:rPr>
        <w:t xml:space="preserve">members </w:t>
      </w:r>
      <w:r w:rsidR="00BA1132" w:rsidRPr="00C244B9">
        <w:rPr>
          <w:sz w:val="22"/>
          <w:szCs w:val="22"/>
        </w:rPr>
        <w:t xml:space="preserve">that until recently were commonly classed as </w:t>
      </w:r>
      <w:r w:rsidR="00375CF4" w:rsidRPr="00C244B9">
        <w:rPr>
          <w:sz w:val="22"/>
          <w:szCs w:val="22"/>
        </w:rPr>
        <w:t>emerging economies (Chile, Mexico</w:t>
      </w:r>
      <w:r w:rsidR="00BA1132" w:rsidRPr="00C244B9">
        <w:rPr>
          <w:sz w:val="22"/>
          <w:szCs w:val="22"/>
        </w:rPr>
        <w:t xml:space="preserve">, </w:t>
      </w:r>
      <w:r w:rsidR="00375CF4" w:rsidRPr="00C244B9">
        <w:rPr>
          <w:sz w:val="22"/>
          <w:szCs w:val="22"/>
        </w:rPr>
        <w:t>Israel</w:t>
      </w:r>
      <w:r w:rsidR="00BA1132" w:rsidRPr="00C244B9">
        <w:rPr>
          <w:sz w:val="22"/>
          <w:szCs w:val="22"/>
        </w:rPr>
        <w:t xml:space="preserve"> and Turkey</w:t>
      </w:r>
      <w:r w:rsidR="00375CF4" w:rsidRPr="00C244B9">
        <w:rPr>
          <w:sz w:val="22"/>
          <w:szCs w:val="22"/>
        </w:rPr>
        <w:t>).</w:t>
      </w:r>
      <w:r w:rsidR="009B5691" w:rsidRPr="00C244B9">
        <w:rPr>
          <w:sz w:val="22"/>
          <w:szCs w:val="22"/>
        </w:rPr>
        <w:t xml:space="preserve">  </w:t>
      </w:r>
      <w:r w:rsidR="00430402" w:rsidRPr="00C244B9">
        <w:rPr>
          <w:sz w:val="22"/>
          <w:szCs w:val="22"/>
        </w:rPr>
        <w:t xml:space="preserve">Investing firms </w:t>
      </w:r>
      <w:r w:rsidR="003A7770" w:rsidRPr="00C244B9">
        <w:rPr>
          <w:sz w:val="22"/>
          <w:szCs w:val="22"/>
        </w:rPr>
        <w:t xml:space="preserve">make </w:t>
      </w:r>
      <w:r w:rsidR="009C6493" w:rsidRPr="00C244B9">
        <w:rPr>
          <w:sz w:val="22"/>
          <w:szCs w:val="22"/>
        </w:rPr>
        <w:t>their</w:t>
      </w:r>
      <w:r w:rsidR="003A7770" w:rsidRPr="00C244B9">
        <w:rPr>
          <w:sz w:val="22"/>
          <w:szCs w:val="22"/>
        </w:rPr>
        <w:t xml:space="preserve"> location choice </w:t>
      </w:r>
      <w:r w:rsidR="00D11FB6" w:rsidRPr="00C244B9">
        <w:rPr>
          <w:sz w:val="22"/>
          <w:szCs w:val="22"/>
        </w:rPr>
        <w:t>according to the characteristics of th</w:t>
      </w:r>
      <w:r w:rsidR="00430402" w:rsidRPr="00C244B9">
        <w:rPr>
          <w:sz w:val="22"/>
          <w:szCs w:val="22"/>
        </w:rPr>
        <w:t xml:space="preserve">e potential </w:t>
      </w:r>
      <w:r w:rsidR="00D11FB6" w:rsidRPr="00C244B9">
        <w:rPr>
          <w:sz w:val="22"/>
          <w:szCs w:val="22"/>
        </w:rPr>
        <w:t xml:space="preserve">host countries </w:t>
      </w:r>
      <w:r w:rsidR="00BD3A2B" w:rsidRPr="00C244B9">
        <w:rPr>
          <w:sz w:val="22"/>
          <w:szCs w:val="22"/>
        </w:rPr>
        <w:t xml:space="preserve">discussed </w:t>
      </w:r>
      <w:r w:rsidR="008B337D" w:rsidRPr="00C244B9">
        <w:rPr>
          <w:sz w:val="22"/>
          <w:szCs w:val="22"/>
        </w:rPr>
        <w:t xml:space="preserve">in our hypotheses </w:t>
      </w:r>
      <w:r w:rsidR="005C337F" w:rsidRPr="00C244B9">
        <w:rPr>
          <w:sz w:val="22"/>
          <w:szCs w:val="22"/>
        </w:rPr>
        <w:t>(</w:t>
      </w:r>
      <w:r w:rsidR="00D11FB6" w:rsidRPr="00C244B9">
        <w:rPr>
          <w:sz w:val="22"/>
          <w:szCs w:val="22"/>
        </w:rPr>
        <w:t>C</w:t>
      </w:r>
      <w:r w:rsidR="00A52189" w:rsidRPr="00C244B9">
        <w:rPr>
          <w:sz w:val="22"/>
          <w:szCs w:val="22"/>
          <w:vertAlign w:val="subscript"/>
        </w:rPr>
        <w:t>h</w:t>
      </w:r>
      <w:r w:rsidR="005C337F" w:rsidRPr="00C244B9">
        <w:rPr>
          <w:sz w:val="22"/>
          <w:szCs w:val="22"/>
        </w:rPr>
        <w:t>)</w:t>
      </w:r>
      <w:r w:rsidR="00454214" w:rsidRPr="00C244B9">
        <w:rPr>
          <w:sz w:val="22"/>
          <w:szCs w:val="22"/>
        </w:rPr>
        <w:t xml:space="preserve"> </w:t>
      </w:r>
      <w:r w:rsidR="008B337D" w:rsidRPr="00C244B9">
        <w:rPr>
          <w:sz w:val="22"/>
          <w:szCs w:val="22"/>
        </w:rPr>
        <w:t xml:space="preserve">as well as </w:t>
      </w:r>
      <w:r w:rsidR="00D11FB6" w:rsidRPr="00C244B9">
        <w:rPr>
          <w:sz w:val="22"/>
          <w:szCs w:val="22"/>
        </w:rPr>
        <w:t>a vector of control variable</w:t>
      </w:r>
      <w:r w:rsidR="00A52189" w:rsidRPr="00C244B9">
        <w:rPr>
          <w:sz w:val="22"/>
          <w:szCs w:val="22"/>
        </w:rPr>
        <w:t>s</w:t>
      </w:r>
      <w:r w:rsidR="00226E71" w:rsidRPr="00C244B9">
        <w:rPr>
          <w:sz w:val="22"/>
          <w:szCs w:val="22"/>
        </w:rPr>
        <w:t xml:space="preserve"> </w:t>
      </w:r>
      <w:r w:rsidR="00D11FB6" w:rsidRPr="00C244B9">
        <w:rPr>
          <w:sz w:val="22"/>
          <w:szCs w:val="22"/>
        </w:rPr>
        <w:t>(</w:t>
      </w:r>
      <w:r w:rsidR="00D11FB6" w:rsidRPr="00C244B9">
        <w:rPr>
          <w:i/>
          <w:sz w:val="22"/>
          <w:szCs w:val="22"/>
        </w:rPr>
        <w:t>X</w:t>
      </w:r>
      <w:r w:rsidR="00A52189" w:rsidRPr="00C244B9">
        <w:rPr>
          <w:sz w:val="22"/>
          <w:szCs w:val="22"/>
          <w:vertAlign w:val="subscript"/>
        </w:rPr>
        <w:t xml:space="preserve"> h</w:t>
      </w:r>
      <w:r w:rsidR="00D11FB6" w:rsidRPr="00C244B9">
        <w:rPr>
          <w:sz w:val="22"/>
          <w:szCs w:val="22"/>
        </w:rPr>
        <w:t>).</w:t>
      </w:r>
      <w:r w:rsidR="00430402" w:rsidRPr="00C244B9">
        <w:rPr>
          <w:sz w:val="22"/>
          <w:szCs w:val="22"/>
        </w:rPr>
        <w:t xml:space="preserve"> </w:t>
      </w:r>
    </w:p>
    <w:p w14:paraId="7ADD63EA" w14:textId="2619413D" w:rsidR="00DA3DB6" w:rsidRPr="00C244B9" w:rsidRDefault="00DA3DB6" w:rsidP="005A3198">
      <w:pPr>
        <w:pStyle w:val="NormalWeb"/>
        <w:spacing w:before="0" w:beforeAutospacing="0" w:after="0" w:afterAutospacing="0" w:line="480" w:lineRule="auto"/>
        <w:ind w:firstLine="720"/>
        <w:rPr>
          <w:sz w:val="22"/>
          <w:szCs w:val="22"/>
        </w:rPr>
      </w:pPr>
      <w:r w:rsidRPr="00C244B9">
        <w:rPr>
          <w:sz w:val="22"/>
          <w:szCs w:val="22"/>
        </w:rPr>
        <w:t>The traditional methodology in th</w:t>
      </w:r>
      <w:r w:rsidR="00430402" w:rsidRPr="00C244B9">
        <w:rPr>
          <w:sz w:val="22"/>
          <w:szCs w:val="22"/>
        </w:rPr>
        <w:t>e</w:t>
      </w:r>
      <w:r w:rsidRPr="00C244B9">
        <w:rPr>
          <w:sz w:val="22"/>
          <w:szCs w:val="22"/>
        </w:rPr>
        <w:t xml:space="preserve"> literature</w:t>
      </w:r>
      <w:r w:rsidR="00430402" w:rsidRPr="00C244B9">
        <w:rPr>
          <w:sz w:val="22"/>
          <w:szCs w:val="22"/>
        </w:rPr>
        <w:t xml:space="preserve"> on location </w:t>
      </w:r>
      <w:r w:rsidR="009C6493" w:rsidRPr="00C244B9">
        <w:rPr>
          <w:sz w:val="22"/>
          <w:szCs w:val="22"/>
        </w:rPr>
        <w:t>choice is</w:t>
      </w:r>
      <w:r w:rsidRPr="00C244B9">
        <w:rPr>
          <w:sz w:val="22"/>
          <w:szCs w:val="22"/>
          <w:lang w:val="en-GB"/>
        </w:rPr>
        <w:t xml:space="preserve"> </w:t>
      </w:r>
      <w:r w:rsidR="009C6493" w:rsidRPr="00C244B9">
        <w:rPr>
          <w:sz w:val="22"/>
          <w:szCs w:val="22"/>
          <w:lang w:val="en-GB"/>
        </w:rPr>
        <w:t xml:space="preserve">to use a </w:t>
      </w:r>
      <w:r w:rsidRPr="00C244B9">
        <w:rPr>
          <w:sz w:val="22"/>
          <w:szCs w:val="22"/>
          <w:lang w:val="en-GB"/>
        </w:rPr>
        <w:t>conditional logit</w:t>
      </w:r>
      <w:r w:rsidR="009F3EDA" w:rsidRPr="00C244B9">
        <w:rPr>
          <w:sz w:val="22"/>
          <w:szCs w:val="22"/>
          <w:lang w:val="en-GB"/>
        </w:rPr>
        <w:t xml:space="preserve"> (C-Logit)</w:t>
      </w:r>
      <w:r w:rsidR="009C6493" w:rsidRPr="00C244B9">
        <w:rPr>
          <w:sz w:val="22"/>
          <w:szCs w:val="22"/>
          <w:lang w:val="en-GB"/>
        </w:rPr>
        <w:t xml:space="preserve"> to examine the determinants of location choice</w:t>
      </w:r>
      <w:r w:rsidR="00BD3A2B" w:rsidRPr="00C244B9">
        <w:rPr>
          <w:sz w:val="22"/>
          <w:szCs w:val="22"/>
          <w:lang w:val="en-GB"/>
        </w:rPr>
        <w:t xml:space="preserve">. This method is </w:t>
      </w:r>
      <w:r w:rsidRPr="00C244B9">
        <w:rPr>
          <w:sz w:val="22"/>
          <w:szCs w:val="22"/>
        </w:rPr>
        <w:t xml:space="preserve">an extension of the multinomial logit model that was developed for models of choice behavior in which the explanatory variables include attributes of the choice </w:t>
      </w:r>
      <w:r w:rsidR="000D3A1E" w:rsidRPr="00C244B9">
        <w:rPr>
          <w:sz w:val="22"/>
          <w:szCs w:val="22"/>
        </w:rPr>
        <w:t xml:space="preserve">alternatives </w:t>
      </w:r>
      <w:r w:rsidRPr="00C244B9">
        <w:rPr>
          <w:sz w:val="22"/>
          <w:szCs w:val="22"/>
        </w:rPr>
        <w:t xml:space="preserve">(Maddala, 1983). </w:t>
      </w:r>
      <w:r w:rsidR="004E3975" w:rsidRPr="00C244B9">
        <w:rPr>
          <w:sz w:val="22"/>
          <w:szCs w:val="22"/>
        </w:rPr>
        <w:t xml:space="preserve">In </w:t>
      </w:r>
      <w:r w:rsidR="00ED0070" w:rsidRPr="00C244B9">
        <w:rPr>
          <w:sz w:val="22"/>
          <w:szCs w:val="22"/>
        </w:rPr>
        <w:t xml:space="preserve">the </w:t>
      </w:r>
      <w:r w:rsidR="00AE3471" w:rsidRPr="00C244B9">
        <w:rPr>
          <w:sz w:val="22"/>
          <w:szCs w:val="22"/>
        </w:rPr>
        <w:t>C-L</w:t>
      </w:r>
      <w:r w:rsidR="00ED0070" w:rsidRPr="00C244B9">
        <w:rPr>
          <w:sz w:val="22"/>
          <w:szCs w:val="22"/>
        </w:rPr>
        <w:t>ogit specification</w:t>
      </w:r>
      <w:r w:rsidR="004E3975" w:rsidRPr="00C244B9">
        <w:rPr>
          <w:sz w:val="22"/>
          <w:szCs w:val="22"/>
        </w:rPr>
        <w:t xml:space="preserve">, the utility for each host-country alternative depends on the attributes of that alternative and not </w:t>
      </w:r>
      <w:r w:rsidR="00ED0070" w:rsidRPr="00C244B9">
        <w:rPr>
          <w:sz w:val="22"/>
          <w:szCs w:val="22"/>
        </w:rPr>
        <w:t xml:space="preserve">on </w:t>
      </w:r>
      <w:r w:rsidR="004E3975" w:rsidRPr="00C244B9">
        <w:rPr>
          <w:sz w:val="22"/>
          <w:szCs w:val="22"/>
        </w:rPr>
        <w:t xml:space="preserve">the attributes of the firm, as is the case in the multinomial </w:t>
      </w:r>
      <w:r w:rsidR="00AE3471" w:rsidRPr="00C244B9">
        <w:rPr>
          <w:sz w:val="22"/>
          <w:szCs w:val="22"/>
        </w:rPr>
        <w:t>L</w:t>
      </w:r>
      <w:r w:rsidR="004E3975" w:rsidRPr="00C244B9">
        <w:rPr>
          <w:sz w:val="22"/>
          <w:szCs w:val="22"/>
        </w:rPr>
        <w:t xml:space="preserve">ogit. </w:t>
      </w:r>
      <w:r w:rsidR="009203F4" w:rsidRPr="00C244B9">
        <w:rPr>
          <w:sz w:val="22"/>
          <w:szCs w:val="22"/>
        </w:rPr>
        <w:t>Crucially, t</w:t>
      </w:r>
      <w:r w:rsidR="004E3975" w:rsidRPr="00C244B9">
        <w:rPr>
          <w:sz w:val="22"/>
          <w:szCs w:val="22"/>
        </w:rPr>
        <w:t>his means that, in our model, the explanatory variable</w:t>
      </w:r>
      <w:r w:rsidR="009203F4" w:rsidRPr="00C244B9">
        <w:rPr>
          <w:sz w:val="22"/>
          <w:szCs w:val="22"/>
        </w:rPr>
        <w:t>s are</w:t>
      </w:r>
      <w:r w:rsidR="001F1558" w:rsidRPr="00C244B9">
        <w:rPr>
          <w:sz w:val="22"/>
          <w:szCs w:val="22"/>
        </w:rPr>
        <w:t xml:space="preserve"> at the</w:t>
      </w:r>
      <w:r w:rsidR="009203F4" w:rsidRPr="00C244B9">
        <w:rPr>
          <w:sz w:val="22"/>
          <w:szCs w:val="22"/>
        </w:rPr>
        <w:t xml:space="preserve"> host-</w:t>
      </w:r>
      <w:r w:rsidR="001F1558" w:rsidRPr="00C244B9">
        <w:rPr>
          <w:sz w:val="22"/>
          <w:szCs w:val="22"/>
        </w:rPr>
        <w:t>country level</w:t>
      </w:r>
      <w:r w:rsidR="009203F4" w:rsidRPr="00C244B9">
        <w:rPr>
          <w:sz w:val="22"/>
          <w:szCs w:val="22"/>
        </w:rPr>
        <w:t xml:space="preserve"> and</w:t>
      </w:r>
      <w:r w:rsidR="001F1558" w:rsidRPr="00C244B9">
        <w:rPr>
          <w:sz w:val="22"/>
          <w:szCs w:val="22"/>
        </w:rPr>
        <w:t xml:space="preserve"> it is important to note that</w:t>
      </w:r>
      <w:r w:rsidR="009203F4" w:rsidRPr="00C244B9">
        <w:rPr>
          <w:sz w:val="22"/>
          <w:szCs w:val="22"/>
        </w:rPr>
        <w:t xml:space="preserve"> the </w:t>
      </w:r>
      <w:r w:rsidR="00AE3471" w:rsidRPr="00C244B9">
        <w:rPr>
          <w:sz w:val="22"/>
          <w:szCs w:val="22"/>
        </w:rPr>
        <w:t>C-L</w:t>
      </w:r>
      <w:r w:rsidR="009203F4" w:rsidRPr="00C244B9">
        <w:rPr>
          <w:sz w:val="22"/>
          <w:szCs w:val="22"/>
        </w:rPr>
        <w:t>ogit specification cannot</w:t>
      </w:r>
      <w:r w:rsidR="001F1558" w:rsidRPr="00C244B9">
        <w:rPr>
          <w:sz w:val="22"/>
          <w:szCs w:val="22"/>
        </w:rPr>
        <w:t xml:space="preserve"> directly</w:t>
      </w:r>
      <w:r w:rsidR="009203F4" w:rsidRPr="00C244B9">
        <w:rPr>
          <w:sz w:val="22"/>
          <w:szCs w:val="22"/>
        </w:rPr>
        <w:t xml:space="preserve"> </w:t>
      </w:r>
      <w:r w:rsidR="001F1558" w:rsidRPr="00C244B9">
        <w:rPr>
          <w:sz w:val="22"/>
          <w:szCs w:val="22"/>
        </w:rPr>
        <w:t>accommodate</w:t>
      </w:r>
      <w:r w:rsidR="009203F4" w:rsidRPr="00C244B9">
        <w:rPr>
          <w:sz w:val="22"/>
          <w:szCs w:val="22"/>
        </w:rPr>
        <w:t xml:space="preserve"> firm-level o</w:t>
      </w:r>
      <w:r w:rsidR="00A07C00" w:rsidRPr="00C244B9">
        <w:rPr>
          <w:sz w:val="22"/>
          <w:szCs w:val="22"/>
        </w:rPr>
        <w:t>r</w:t>
      </w:r>
      <w:r w:rsidR="009203F4" w:rsidRPr="00C244B9">
        <w:rPr>
          <w:sz w:val="22"/>
          <w:szCs w:val="22"/>
        </w:rPr>
        <w:t xml:space="preserve"> home-country level variables</w:t>
      </w:r>
      <w:r w:rsidR="00323490">
        <w:rPr>
          <w:sz w:val="22"/>
          <w:szCs w:val="22"/>
        </w:rPr>
        <w:t>.</w:t>
      </w:r>
      <w:r w:rsidR="009203F4" w:rsidRPr="00C244B9">
        <w:rPr>
          <w:rStyle w:val="FootnoteReference"/>
          <w:sz w:val="22"/>
          <w:szCs w:val="22"/>
        </w:rPr>
        <w:footnoteReference w:id="7"/>
      </w:r>
      <w:r w:rsidR="004E3975" w:rsidRPr="00C244B9">
        <w:rPr>
          <w:sz w:val="22"/>
          <w:szCs w:val="22"/>
        </w:rPr>
        <w:t xml:space="preserve"> </w:t>
      </w:r>
      <w:r w:rsidR="007E00A9" w:rsidRPr="00C244B9">
        <w:rPr>
          <w:sz w:val="22"/>
          <w:szCs w:val="22"/>
        </w:rPr>
        <w:t xml:space="preserve">Under a type </w:t>
      </w:r>
      <w:r w:rsidR="00814518" w:rsidRPr="00C244B9">
        <w:rPr>
          <w:sz w:val="22"/>
          <w:szCs w:val="22"/>
        </w:rPr>
        <w:t>1</w:t>
      </w:r>
      <w:r w:rsidR="007E00A9" w:rsidRPr="00C244B9">
        <w:rPr>
          <w:sz w:val="22"/>
          <w:szCs w:val="22"/>
        </w:rPr>
        <w:t xml:space="preserve"> extreme value distribution of the error term, the probability of choosing location </w:t>
      </w:r>
      <w:r w:rsidR="00FC1428" w:rsidRPr="00C244B9">
        <w:rPr>
          <w:i/>
          <w:sz w:val="22"/>
          <w:szCs w:val="22"/>
        </w:rPr>
        <w:t>h</w:t>
      </w:r>
      <w:r w:rsidR="00832286" w:rsidRPr="00C244B9">
        <w:rPr>
          <w:sz w:val="22"/>
          <w:szCs w:val="22"/>
        </w:rPr>
        <w:t xml:space="preserve"> takes the following form (McFadden, 1984)</w:t>
      </w:r>
      <w:r w:rsidR="007E00A9" w:rsidRPr="00C244B9">
        <w:rPr>
          <w:sz w:val="22"/>
          <w:szCs w:val="22"/>
        </w:rPr>
        <w:t xml:space="preserve">: </w:t>
      </w:r>
    </w:p>
    <w:p w14:paraId="1A4EF495" w14:textId="49B9EE1D" w:rsidR="00DA3DB6" w:rsidRPr="00C244B9" w:rsidRDefault="00DA3DB6" w:rsidP="00C46F54">
      <w:pPr>
        <w:pStyle w:val="NormalWeb"/>
        <w:spacing w:before="0" w:beforeAutospacing="0" w:after="0" w:afterAutospacing="0" w:line="480" w:lineRule="auto"/>
        <w:rPr>
          <w:sz w:val="22"/>
          <w:szCs w:val="22"/>
        </w:rPr>
      </w:pPr>
      <w:r w:rsidRPr="00C244B9">
        <w:rPr>
          <w:sz w:val="22"/>
          <w:szCs w:val="22"/>
        </w:rPr>
        <w:t>Prob(</w:t>
      </w:r>
      <w:r w:rsidR="007E0BBC" w:rsidRPr="00C244B9">
        <w:rPr>
          <w:sz w:val="22"/>
          <w:szCs w:val="22"/>
        </w:rPr>
        <w:t>I</w:t>
      </w:r>
      <w:r w:rsidR="007E0BBC" w:rsidRPr="00C244B9">
        <w:rPr>
          <w:sz w:val="22"/>
          <w:szCs w:val="22"/>
          <w:vertAlign w:val="subscript"/>
        </w:rPr>
        <w:t>h</w:t>
      </w:r>
      <w:r w:rsidR="00C11F76" w:rsidRPr="00C244B9">
        <w:rPr>
          <w:sz w:val="22"/>
          <w:szCs w:val="22"/>
          <w:vertAlign w:val="subscript"/>
        </w:rPr>
        <w:t xml:space="preserve"> </w:t>
      </w:r>
      <w:r w:rsidRPr="00C244B9">
        <w:rPr>
          <w:sz w:val="22"/>
          <w:szCs w:val="22"/>
        </w:rPr>
        <w:t>=  j|x</w:t>
      </w:r>
      <w:r w:rsidR="00FC1428" w:rsidRPr="00C244B9">
        <w:rPr>
          <w:sz w:val="22"/>
          <w:szCs w:val="22"/>
          <w:vertAlign w:val="subscript"/>
        </w:rPr>
        <w:t>h</w:t>
      </w:r>
      <w:r w:rsidRPr="00C244B9">
        <w:rPr>
          <w:sz w:val="22"/>
          <w:szCs w:val="22"/>
          <w:vertAlign w:val="subscript"/>
        </w:rPr>
        <w:t>1</w:t>
      </w:r>
      <w:r w:rsidRPr="00C244B9">
        <w:rPr>
          <w:sz w:val="22"/>
          <w:szCs w:val="22"/>
        </w:rPr>
        <w:t>,x</w:t>
      </w:r>
      <w:r w:rsidR="00FC1428" w:rsidRPr="00C244B9">
        <w:rPr>
          <w:sz w:val="22"/>
          <w:szCs w:val="22"/>
          <w:vertAlign w:val="subscript"/>
        </w:rPr>
        <w:t>h</w:t>
      </w:r>
      <w:r w:rsidRPr="00C244B9">
        <w:rPr>
          <w:sz w:val="22"/>
          <w:szCs w:val="22"/>
          <w:vertAlign w:val="subscript"/>
        </w:rPr>
        <w:t>2</w:t>
      </w:r>
      <w:r w:rsidRPr="00C244B9">
        <w:rPr>
          <w:sz w:val="22"/>
          <w:szCs w:val="22"/>
        </w:rPr>
        <w:t>,…….x</w:t>
      </w:r>
      <w:r w:rsidR="00FC1428" w:rsidRPr="00C244B9">
        <w:rPr>
          <w:sz w:val="22"/>
          <w:szCs w:val="22"/>
          <w:vertAlign w:val="subscript"/>
        </w:rPr>
        <w:t>h</w:t>
      </w:r>
      <w:r w:rsidRPr="00C244B9">
        <w:rPr>
          <w:sz w:val="22"/>
          <w:szCs w:val="22"/>
          <w:vertAlign w:val="subscript"/>
        </w:rPr>
        <w:t>J</w:t>
      </w:r>
      <w:r w:rsidRPr="00C244B9">
        <w:rPr>
          <w:sz w:val="22"/>
          <w:szCs w:val="22"/>
        </w:rPr>
        <w:t>) = Prob(</w:t>
      </w:r>
      <w:r w:rsidR="007E0BBC" w:rsidRPr="00C244B9">
        <w:rPr>
          <w:sz w:val="22"/>
          <w:szCs w:val="22"/>
        </w:rPr>
        <w:t>I</w:t>
      </w:r>
      <w:r w:rsidR="00FC1428" w:rsidRPr="00C244B9">
        <w:rPr>
          <w:sz w:val="22"/>
          <w:szCs w:val="22"/>
          <w:vertAlign w:val="subscript"/>
        </w:rPr>
        <w:t>h</w:t>
      </w:r>
      <w:r w:rsidRPr="00C244B9">
        <w:rPr>
          <w:sz w:val="22"/>
          <w:szCs w:val="22"/>
          <w:vertAlign w:val="subscript"/>
        </w:rPr>
        <w:t xml:space="preserve"> </w:t>
      </w:r>
      <w:r w:rsidRPr="00C244B9">
        <w:rPr>
          <w:sz w:val="22"/>
          <w:szCs w:val="22"/>
        </w:rPr>
        <w:t>=  j|X</w:t>
      </w:r>
      <w:r w:rsidR="00FC1428" w:rsidRPr="00C244B9">
        <w:rPr>
          <w:sz w:val="22"/>
          <w:szCs w:val="22"/>
          <w:vertAlign w:val="subscript"/>
        </w:rPr>
        <w:t>h</w:t>
      </w:r>
      <w:r w:rsidRPr="00C244B9">
        <w:rPr>
          <w:sz w:val="22"/>
          <w:szCs w:val="22"/>
        </w:rPr>
        <w:t>) = P</w:t>
      </w:r>
      <w:r w:rsidR="00FC1428" w:rsidRPr="00C244B9">
        <w:rPr>
          <w:sz w:val="22"/>
          <w:szCs w:val="22"/>
          <w:vertAlign w:val="subscript"/>
        </w:rPr>
        <w:t>h</w:t>
      </w:r>
      <w:r w:rsidRPr="00C244B9">
        <w:rPr>
          <w:sz w:val="22"/>
          <w:szCs w:val="22"/>
          <w:vertAlign w:val="subscript"/>
        </w:rPr>
        <w:t xml:space="preserve">j </w:t>
      </w:r>
      <w:r w:rsidRPr="00C244B9">
        <w:rPr>
          <w:sz w:val="22"/>
          <w:szCs w:val="22"/>
        </w:rPr>
        <w:t>= exp(x’</w:t>
      </w:r>
      <w:r w:rsidR="00FC1428" w:rsidRPr="00C244B9">
        <w:rPr>
          <w:sz w:val="22"/>
          <w:szCs w:val="22"/>
          <w:vertAlign w:val="subscript"/>
        </w:rPr>
        <w:t>h</w:t>
      </w:r>
      <w:r w:rsidRPr="00C244B9">
        <w:rPr>
          <w:sz w:val="22"/>
          <w:szCs w:val="22"/>
          <w:vertAlign w:val="subscript"/>
        </w:rPr>
        <w:t>j</w:t>
      </w:r>
      <w:r w:rsidRPr="00C244B9">
        <w:rPr>
          <w:sz w:val="22"/>
          <w:szCs w:val="22"/>
        </w:rPr>
        <w:t>β)/Ʃi</w:t>
      </w:r>
      <w:r w:rsidRPr="00C244B9">
        <w:rPr>
          <w:sz w:val="22"/>
          <w:szCs w:val="22"/>
          <w:vertAlign w:val="subscript"/>
        </w:rPr>
        <w:t xml:space="preserve">=1 </w:t>
      </w:r>
      <w:r w:rsidRPr="00C244B9">
        <w:rPr>
          <w:sz w:val="22"/>
          <w:szCs w:val="22"/>
        </w:rPr>
        <w:t>exp(x</w:t>
      </w:r>
      <w:r w:rsidRPr="00C244B9">
        <w:rPr>
          <w:sz w:val="22"/>
          <w:szCs w:val="22"/>
          <w:vertAlign w:val="superscript"/>
        </w:rPr>
        <w:t>’</w:t>
      </w:r>
      <w:r w:rsidR="009E1485" w:rsidRPr="00C244B9">
        <w:rPr>
          <w:sz w:val="22"/>
          <w:szCs w:val="22"/>
          <w:vertAlign w:val="subscript"/>
        </w:rPr>
        <w:t>h</w:t>
      </w:r>
      <w:r w:rsidRPr="00C244B9">
        <w:rPr>
          <w:sz w:val="22"/>
          <w:szCs w:val="22"/>
          <w:vertAlign w:val="subscript"/>
        </w:rPr>
        <w:t>j</w:t>
      </w:r>
      <w:r w:rsidRPr="00C244B9">
        <w:rPr>
          <w:sz w:val="22"/>
          <w:szCs w:val="22"/>
        </w:rPr>
        <w:t xml:space="preserve">β) </w:t>
      </w:r>
      <w:r w:rsidR="008B034A" w:rsidRPr="00C244B9">
        <w:rPr>
          <w:sz w:val="22"/>
          <w:szCs w:val="22"/>
        </w:rPr>
        <w:tab/>
      </w:r>
      <w:r w:rsidRPr="00C244B9">
        <w:rPr>
          <w:sz w:val="22"/>
          <w:szCs w:val="22"/>
        </w:rPr>
        <w:t xml:space="preserve"> (1)</w:t>
      </w:r>
    </w:p>
    <w:p w14:paraId="6209B33F" w14:textId="5737C098" w:rsidR="00D11FB6" w:rsidRPr="00C244B9" w:rsidRDefault="00DA3DB6" w:rsidP="00D34638">
      <w:pPr>
        <w:pStyle w:val="NormalWeb"/>
        <w:spacing w:after="0" w:afterAutospacing="0" w:line="480" w:lineRule="auto"/>
        <w:rPr>
          <w:sz w:val="22"/>
          <w:szCs w:val="22"/>
        </w:rPr>
      </w:pPr>
      <w:r w:rsidRPr="00C244B9">
        <w:rPr>
          <w:sz w:val="22"/>
          <w:szCs w:val="22"/>
        </w:rPr>
        <w:t xml:space="preserve">where the x denotes </w:t>
      </w:r>
      <w:r w:rsidR="007E0BBC" w:rsidRPr="00C244B9">
        <w:rPr>
          <w:sz w:val="22"/>
          <w:szCs w:val="22"/>
        </w:rPr>
        <w:t xml:space="preserve">the </w:t>
      </w:r>
      <w:r w:rsidRPr="00C244B9">
        <w:rPr>
          <w:sz w:val="22"/>
          <w:szCs w:val="22"/>
        </w:rPr>
        <w:t xml:space="preserve">choice variables (Greene, 2011). </w:t>
      </w:r>
      <w:r w:rsidR="00832286" w:rsidRPr="00C244B9">
        <w:rPr>
          <w:sz w:val="22"/>
          <w:szCs w:val="22"/>
        </w:rPr>
        <w:t xml:space="preserve">The coefficient on each variable is then estimated by maximum likelihood. </w:t>
      </w:r>
      <w:r w:rsidR="00D11FB6" w:rsidRPr="00C244B9">
        <w:rPr>
          <w:sz w:val="22"/>
          <w:szCs w:val="22"/>
        </w:rPr>
        <w:t xml:space="preserve">Thus, we estimate </w:t>
      </w:r>
      <w:r w:rsidR="009B3C17" w:rsidRPr="00C244B9">
        <w:rPr>
          <w:sz w:val="22"/>
          <w:szCs w:val="22"/>
        </w:rPr>
        <w:t xml:space="preserve">for each group of home economies </w:t>
      </w:r>
      <w:r w:rsidR="00D11FB6" w:rsidRPr="00C244B9">
        <w:rPr>
          <w:sz w:val="22"/>
          <w:szCs w:val="22"/>
        </w:rPr>
        <w:t xml:space="preserve">a </w:t>
      </w:r>
      <w:r w:rsidR="00DD4D5F" w:rsidRPr="00C244B9">
        <w:rPr>
          <w:sz w:val="22"/>
          <w:szCs w:val="22"/>
        </w:rPr>
        <w:t>C-</w:t>
      </w:r>
      <w:r w:rsidR="00AE3471" w:rsidRPr="00C244B9">
        <w:rPr>
          <w:sz w:val="22"/>
          <w:szCs w:val="22"/>
        </w:rPr>
        <w:t>L</w:t>
      </w:r>
      <w:r w:rsidR="00D11FB6" w:rsidRPr="00C244B9">
        <w:rPr>
          <w:sz w:val="22"/>
          <w:szCs w:val="22"/>
        </w:rPr>
        <w:t>ogit equation of the form:</w:t>
      </w:r>
    </w:p>
    <w:p w14:paraId="292E5DCA" w14:textId="25D39DF5" w:rsidR="00D11FB6" w:rsidRPr="00C244B9" w:rsidRDefault="00D11FB6" w:rsidP="00032263">
      <w:pPr>
        <w:pStyle w:val="NormalWeb"/>
        <w:shd w:val="clear" w:color="auto" w:fill="FFFFFF"/>
        <w:spacing w:before="0" w:beforeAutospacing="0" w:after="0" w:afterAutospacing="0" w:line="480" w:lineRule="auto"/>
        <w:ind w:firstLine="709"/>
        <w:rPr>
          <w:sz w:val="22"/>
          <w:szCs w:val="22"/>
        </w:rPr>
      </w:pPr>
      <w:r w:rsidRPr="00C244B9">
        <w:rPr>
          <w:sz w:val="22"/>
          <w:szCs w:val="22"/>
        </w:rPr>
        <w:t>Prob</w:t>
      </w:r>
      <w:r w:rsidR="003A7770" w:rsidRPr="00C244B9">
        <w:rPr>
          <w:sz w:val="22"/>
          <w:szCs w:val="22"/>
        </w:rPr>
        <w:t xml:space="preserve"> </w:t>
      </w:r>
      <w:r w:rsidR="003A4B0B" w:rsidRPr="00C244B9">
        <w:rPr>
          <w:sz w:val="22"/>
          <w:szCs w:val="22"/>
        </w:rPr>
        <w:t>(</w:t>
      </w:r>
      <w:r w:rsidRPr="00C244B9">
        <w:rPr>
          <w:sz w:val="22"/>
          <w:szCs w:val="22"/>
        </w:rPr>
        <w:t>I</w:t>
      </w:r>
      <w:r w:rsidRPr="00C244B9">
        <w:rPr>
          <w:sz w:val="22"/>
          <w:szCs w:val="22"/>
          <w:vertAlign w:val="subscript"/>
        </w:rPr>
        <w:t>h</w:t>
      </w:r>
      <w:r w:rsidR="003A4B0B" w:rsidRPr="00C244B9">
        <w:rPr>
          <w:sz w:val="22"/>
          <w:szCs w:val="22"/>
          <w:vertAlign w:val="subscript"/>
        </w:rPr>
        <w:t>)</w:t>
      </w:r>
      <w:r w:rsidRPr="00C244B9">
        <w:rPr>
          <w:sz w:val="22"/>
          <w:szCs w:val="22"/>
          <w:vertAlign w:val="subscript"/>
        </w:rPr>
        <w:t xml:space="preserve"> </w:t>
      </w:r>
      <w:r w:rsidRPr="00C244B9">
        <w:rPr>
          <w:sz w:val="22"/>
          <w:szCs w:val="22"/>
        </w:rPr>
        <w:t>= f( C</w:t>
      </w:r>
      <w:r w:rsidR="00A52189" w:rsidRPr="00C244B9">
        <w:rPr>
          <w:sz w:val="22"/>
          <w:szCs w:val="22"/>
          <w:vertAlign w:val="subscript"/>
        </w:rPr>
        <w:t>h</w:t>
      </w:r>
      <w:r w:rsidRPr="00C244B9">
        <w:rPr>
          <w:sz w:val="22"/>
          <w:szCs w:val="22"/>
        </w:rPr>
        <w:t>,</w:t>
      </w:r>
      <w:r w:rsidR="00154938" w:rsidRPr="00C244B9">
        <w:rPr>
          <w:sz w:val="22"/>
          <w:szCs w:val="22"/>
        </w:rPr>
        <w:t xml:space="preserve"> </w:t>
      </w:r>
      <w:r w:rsidRPr="00C244B9">
        <w:rPr>
          <w:i/>
          <w:sz w:val="22"/>
          <w:szCs w:val="22"/>
        </w:rPr>
        <w:t>X</w:t>
      </w:r>
      <w:r w:rsidR="00226E71" w:rsidRPr="00C244B9">
        <w:rPr>
          <w:sz w:val="22"/>
          <w:szCs w:val="22"/>
          <w:vertAlign w:val="subscript"/>
        </w:rPr>
        <w:t>h</w:t>
      </w:r>
      <w:r w:rsidRPr="00C244B9">
        <w:rPr>
          <w:sz w:val="22"/>
          <w:szCs w:val="22"/>
        </w:rPr>
        <w:t>)</w:t>
      </w:r>
      <w:r w:rsidR="003A4B0B" w:rsidRPr="00C244B9">
        <w:rPr>
          <w:sz w:val="22"/>
          <w:szCs w:val="22"/>
        </w:rPr>
        <w:t>.</w:t>
      </w:r>
      <w:r w:rsidRPr="00C244B9">
        <w:rPr>
          <w:sz w:val="22"/>
          <w:szCs w:val="22"/>
        </w:rPr>
        <w:tab/>
      </w:r>
      <w:r w:rsidR="005E5D41" w:rsidRPr="00C244B9">
        <w:rPr>
          <w:sz w:val="22"/>
          <w:szCs w:val="22"/>
        </w:rPr>
        <w:tab/>
      </w:r>
      <w:r w:rsidR="005E5D41" w:rsidRPr="00C244B9">
        <w:rPr>
          <w:sz w:val="22"/>
          <w:szCs w:val="22"/>
        </w:rPr>
        <w:tab/>
      </w:r>
      <w:r w:rsidR="005E5D41" w:rsidRPr="00C244B9">
        <w:rPr>
          <w:sz w:val="22"/>
          <w:szCs w:val="22"/>
        </w:rPr>
        <w:tab/>
      </w:r>
      <w:r w:rsidR="005E5D41" w:rsidRPr="00C244B9">
        <w:rPr>
          <w:sz w:val="22"/>
          <w:szCs w:val="22"/>
        </w:rPr>
        <w:tab/>
      </w:r>
      <w:r w:rsidR="005E5D41" w:rsidRPr="00C244B9">
        <w:rPr>
          <w:sz w:val="22"/>
          <w:szCs w:val="22"/>
        </w:rPr>
        <w:tab/>
      </w:r>
      <w:r w:rsidR="00AE3471" w:rsidRPr="00C244B9">
        <w:rPr>
          <w:sz w:val="22"/>
          <w:szCs w:val="22"/>
        </w:rPr>
        <w:tab/>
      </w:r>
      <w:r w:rsidRPr="00C244B9">
        <w:rPr>
          <w:sz w:val="22"/>
          <w:szCs w:val="22"/>
        </w:rPr>
        <w:t>(2)</w:t>
      </w:r>
    </w:p>
    <w:p w14:paraId="72D0E96B" w14:textId="0E160F6D" w:rsidR="009F3EDA" w:rsidRPr="00C244B9" w:rsidRDefault="009F3EDA" w:rsidP="00C46F54">
      <w:pPr>
        <w:spacing w:line="480" w:lineRule="auto"/>
        <w:ind w:firstLine="284"/>
        <w:outlineLvl w:val="0"/>
        <w:rPr>
          <w:sz w:val="22"/>
          <w:szCs w:val="22"/>
          <w:lang w:val="en-GB"/>
        </w:rPr>
      </w:pPr>
      <w:r w:rsidRPr="00C244B9">
        <w:rPr>
          <w:sz w:val="22"/>
          <w:szCs w:val="22"/>
          <w:lang w:val="en-GB"/>
        </w:rPr>
        <w:lastRenderedPageBreak/>
        <w:t>Note that the coefficients in this type of model reflect the characteristics of the choice alternative, in our case alternative locations. Thus</w:t>
      </w:r>
      <w:r w:rsidR="00123BD8" w:rsidRPr="00C244B9">
        <w:rPr>
          <w:sz w:val="22"/>
          <w:szCs w:val="22"/>
          <w:lang w:val="en-GB"/>
        </w:rPr>
        <w:t>,</w:t>
      </w:r>
      <w:r w:rsidRPr="00C244B9">
        <w:rPr>
          <w:sz w:val="22"/>
          <w:szCs w:val="22"/>
          <w:lang w:val="en-GB"/>
        </w:rPr>
        <w:t xml:space="preserve"> the coefficients reflect </w:t>
      </w:r>
      <w:r w:rsidR="00BD3A2B" w:rsidRPr="00C244B9">
        <w:rPr>
          <w:sz w:val="22"/>
          <w:szCs w:val="22"/>
          <w:lang w:val="en-GB"/>
        </w:rPr>
        <w:t xml:space="preserve">the </w:t>
      </w:r>
      <w:r w:rsidRPr="00C244B9">
        <w:rPr>
          <w:sz w:val="22"/>
          <w:szCs w:val="22"/>
          <w:lang w:val="en-GB"/>
        </w:rPr>
        <w:t>attractiveness</w:t>
      </w:r>
      <w:r w:rsidR="00BD3A2B" w:rsidRPr="00C244B9">
        <w:rPr>
          <w:sz w:val="22"/>
          <w:szCs w:val="22"/>
          <w:lang w:val="en-GB"/>
        </w:rPr>
        <w:t xml:space="preserve"> of locations to</w:t>
      </w:r>
      <w:r w:rsidRPr="00C244B9">
        <w:rPr>
          <w:sz w:val="22"/>
          <w:szCs w:val="22"/>
          <w:lang w:val="en-GB"/>
        </w:rPr>
        <w:t xml:space="preserve"> the firms in the respective sample</w:t>
      </w:r>
      <w:r w:rsidR="00BD3A2B" w:rsidRPr="00C244B9">
        <w:rPr>
          <w:sz w:val="22"/>
          <w:szCs w:val="22"/>
          <w:lang w:val="en-GB"/>
        </w:rPr>
        <w:t>s</w:t>
      </w:r>
      <w:r w:rsidRPr="00C244B9">
        <w:rPr>
          <w:sz w:val="22"/>
          <w:szCs w:val="22"/>
          <w:lang w:val="en-GB"/>
        </w:rPr>
        <w:t xml:space="preserve"> (</w:t>
      </w:r>
      <w:r w:rsidRPr="00C244B9">
        <w:rPr>
          <w:sz w:val="22"/>
          <w:szCs w:val="22"/>
        </w:rPr>
        <w:t xml:space="preserve">Alcácer </w:t>
      </w:r>
      <w:r w:rsidR="009C3732" w:rsidRPr="00C244B9">
        <w:rPr>
          <w:sz w:val="22"/>
          <w:szCs w:val="22"/>
        </w:rPr>
        <w:t xml:space="preserve">&amp; </w:t>
      </w:r>
      <w:r w:rsidRPr="00C244B9">
        <w:rPr>
          <w:sz w:val="22"/>
          <w:szCs w:val="22"/>
        </w:rPr>
        <w:t>Chung, 2014</w:t>
      </w:r>
      <w:r w:rsidR="009B2C1A" w:rsidRPr="00C244B9">
        <w:rPr>
          <w:sz w:val="22"/>
          <w:szCs w:val="22"/>
        </w:rPr>
        <w:t xml:space="preserve">; Tan </w:t>
      </w:r>
      <w:r w:rsidR="009C3732" w:rsidRPr="00C244B9">
        <w:rPr>
          <w:sz w:val="22"/>
          <w:szCs w:val="22"/>
        </w:rPr>
        <w:t xml:space="preserve">&amp; </w:t>
      </w:r>
      <w:r w:rsidR="009B2C1A" w:rsidRPr="00C244B9">
        <w:rPr>
          <w:sz w:val="22"/>
          <w:szCs w:val="22"/>
        </w:rPr>
        <w:t>Meyer, 201</w:t>
      </w:r>
      <w:r w:rsidR="00123BD8" w:rsidRPr="00C244B9">
        <w:rPr>
          <w:sz w:val="22"/>
          <w:szCs w:val="22"/>
        </w:rPr>
        <w:t>1</w:t>
      </w:r>
      <w:r w:rsidRPr="00C244B9">
        <w:rPr>
          <w:sz w:val="22"/>
          <w:szCs w:val="22"/>
        </w:rPr>
        <w:t xml:space="preserve">). </w:t>
      </w:r>
    </w:p>
    <w:p w14:paraId="5397A24F" w14:textId="56E6FC5D" w:rsidR="009B5691" w:rsidRPr="00C244B9" w:rsidRDefault="00BD3A2B" w:rsidP="00C46F54">
      <w:pPr>
        <w:spacing w:line="480" w:lineRule="auto"/>
        <w:ind w:firstLine="284"/>
        <w:outlineLvl w:val="0"/>
        <w:rPr>
          <w:sz w:val="22"/>
          <w:szCs w:val="22"/>
          <w:lang w:val="en-GB"/>
        </w:rPr>
      </w:pPr>
      <w:r w:rsidRPr="00C244B9">
        <w:rPr>
          <w:sz w:val="22"/>
          <w:szCs w:val="22"/>
          <w:lang w:val="en-GB"/>
        </w:rPr>
        <w:t xml:space="preserve">We use two </w:t>
      </w:r>
      <w:r w:rsidR="00E07526" w:rsidRPr="00C244B9">
        <w:rPr>
          <w:sz w:val="22"/>
          <w:szCs w:val="22"/>
          <w:lang w:val="en-GB"/>
        </w:rPr>
        <w:t>method</w:t>
      </w:r>
      <w:r w:rsidRPr="00C244B9">
        <w:rPr>
          <w:sz w:val="22"/>
          <w:szCs w:val="22"/>
          <w:lang w:val="en-GB"/>
        </w:rPr>
        <w:t>s</w:t>
      </w:r>
      <w:r w:rsidR="00E07526" w:rsidRPr="00C244B9">
        <w:rPr>
          <w:sz w:val="22"/>
          <w:szCs w:val="22"/>
          <w:lang w:val="en-GB"/>
        </w:rPr>
        <w:t xml:space="preserve"> to test our </w:t>
      </w:r>
      <w:r w:rsidR="00F94E09" w:rsidRPr="00C244B9">
        <w:rPr>
          <w:sz w:val="22"/>
          <w:szCs w:val="22"/>
          <w:lang w:val="en-GB"/>
        </w:rPr>
        <w:t>hypotheses</w:t>
      </w:r>
      <w:r w:rsidRPr="00C244B9">
        <w:rPr>
          <w:sz w:val="22"/>
          <w:szCs w:val="22"/>
          <w:lang w:val="en-GB"/>
        </w:rPr>
        <w:t xml:space="preserve">. First, </w:t>
      </w:r>
      <w:r w:rsidR="002237AB" w:rsidRPr="00C244B9">
        <w:rPr>
          <w:sz w:val="22"/>
          <w:szCs w:val="22"/>
          <w:lang w:val="en-GB"/>
        </w:rPr>
        <w:t>we divide</w:t>
      </w:r>
      <w:r w:rsidRPr="00C244B9">
        <w:rPr>
          <w:sz w:val="22"/>
          <w:szCs w:val="22"/>
          <w:lang w:val="en-GB"/>
        </w:rPr>
        <w:t xml:space="preserve"> the sample into AEs and EEs and </w:t>
      </w:r>
      <w:r w:rsidR="00E07526" w:rsidRPr="00C244B9">
        <w:rPr>
          <w:sz w:val="22"/>
          <w:szCs w:val="22"/>
          <w:lang w:val="en-GB"/>
        </w:rPr>
        <w:t xml:space="preserve">analyse the </w:t>
      </w:r>
      <w:r w:rsidR="00F94E09" w:rsidRPr="00C244B9">
        <w:rPr>
          <w:sz w:val="22"/>
          <w:szCs w:val="22"/>
          <w:lang w:val="en-GB"/>
        </w:rPr>
        <w:t xml:space="preserve">differences in the </w:t>
      </w:r>
      <w:r w:rsidR="004A14B8" w:rsidRPr="00C244B9">
        <w:rPr>
          <w:sz w:val="22"/>
          <w:szCs w:val="22"/>
          <w:lang w:val="en-GB"/>
        </w:rPr>
        <w:t xml:space="preserve">strength of </w:t>
      </w:r>
      <w:r w:rsidR="00F94E09" w:rsidRPr="00C244B9">
        <w:rPr>
          <w:sz w:val="22"/>
          <w:szCs w:val="22"/>
          <w:lang w:val="en-GB"/>
        </w:rPr>
        <w:t>effect</w:t>
      </w:r>
      <w:r w:rsidR="00226E71" w:rsidRPr="00C244B9">
        <w:rPr>
          <w:sz w:val="22"/>
          <w:szCs w:val="22"/>
          <w:lang w:val="en-GB"/>
        </w:rPr>
        <w:t>s</w:t>
      </w:r>
      <w:r w:rsidR="00F94E09" w:rsidRPr="00C244B9">
        <w:rPr>
          <w:sz w:val="22"/>
          <w:szCs w:val="22"/>
          <w:lang w:val="en-GB"/>
        </w:rPr>
        <w:t xml:space="preserve"> </w:t>
      </w:r>
      <w:r w:rsidR="009B3C17" w:rsidRPr="00C244B9">
        <w:rPr>
          <w:sz w:val="22"/>
          <w:szCs w:val="22"/>
          <w:lang w:val="en-GB"/>
        </w:rPr>
        <w:t xml:space="preserve">(i.e. the size of coefficients) </w:t>
      </w:r>
      <w:r w:rsidR="00F94E09" w:rsidRPr="00C244B9">
        <w:rPr>
          <w:sz w:val="22"/>
          <w:szCs w:val="22"/>
          <w:lang w:val="en-GB"/>
        </w:rPr>
        <w:t>between</w:t>
      </w:r>
      <w:r w:rsidR="004A14B8" w:rsidRPr="00C244B9">
        <w:rPr>
          <w:sz w:val="22"/>
          <w:szCs w:val="22"/>
          <w:lang w:val="en-GB"/>
        </w:rPr>
        <w:t xml:space="preserve"> </w:t>
      </w:r>
      <w:r w:rsidRPr="00C244B9">
        <w:rPr>
          <w:sz w:val="22"/>
          <w:szCs w:val="22"/>
          <w:lang w:val="en-GB"/>
        </w:rPr>
        <w:t xml:space="preserve">the two sub-samples using a </w:t>
      </w:r>
      <w:r w:rsidR="00820C6C" w:rsidRPr="00C244B9">
        <w:rPr>
          <w:sz w:val="22"/>
          <w:szCs w:val="22"/>
          <w:lang w:val="en-GB"/>
        </w:rPr>
        <w:t>Hausman</w:t>
      </w:r>
      <w:r w:rsidR="008B38B3" w:rsidRPr="00C244B9">
        <w:rPr>
          <w:sz w:val="22"/>
          <w:szCs w:val="22"/>
          <w:lang w:val="en-GB"/>
        </w:rPr>
        <w:t xml:space="preserve"> </w:t>
      </w:r>
      <w:r w:rsidRPr="00C244B9">
        <w:rPr>
          <w:sz w:val="22"/>
          <w:szCs w:val="22"/>
          <w:lang w:val="en-GB"/>
        </w:rPr>
        <w:t>test. Second</w:t>
      </w:r>
      <w:r w:rsidR="00AE3471" w:rsidRPr="00C244B9">
        <w:rPr>
          <w:sz w:val="22"/>
          <w:szCs w:val="22"/>
          <w:lang w:val="en-GB"/>
        </w:rPr>
        <w:t>,</w:t>
      </w:r>
      <w:r w:rsidRPr="00C244B9">
        <w:rPr>
          <w:sz w:val="22"/>
          <w:szCs w:val="22"/>
          <w:lang w:val="en-GB"/>
        </w:rPr>
        <w:t xml:space="preserve"> we use the whole </w:t>
      </w:r>
      <w:r w:rsidR="00B10E62" w:rsidRPr="00C244B9">
        <w:rPr>
          <w:sz w:val="22"/>
          <w:szCs w:val="22"/>
          <w:lang w:val="en-GB"/>
        </w:rPr>
        <w:t>sample but</w:t>
      </w:r>
      <w:r w:rsidRPr="00C244B9">
        <w:rPr>
          <w:sz w:val="22"/>
          <w:szCs w:val="22"/>
          <w:lang w:val="en-GB"/>
        </w:rPr>
        <w:t xml:space="preserve"> </w:t>
      </w:r>
      <w:r w:rsidR="004C1A2C" w:rsidRPr="00C244B9">
        <w:rPr>
          <w:sz w:val="22"/>
          <w:szCs w:val="22"/>
          <w:lang w:val="en-GB"/>
        </w:rPr>
        <w:t xml:space="preserve">interact our </w:t>
      </w:r>
      <w:r w:rsidR="00CA4ACD" w:rsidRPr="00C244B9">
        <w:rPr>
          <w:sz w:val="22"/>
          <w:szCs w:val="22"/>
          <w:lang w:val="en-GB"/>
        </w:rPr>
        <w:t xml:space="preserve">independent </w:t>
      </w:r>
      <w:r w:rsidR="004C1A2C" w:rsidRPr="00C244B9">
        <w:rPr>
          <w:sz w:val="22"/>
          <w:szCs w:val="22"/>
          <w:lang w:val="en-GB"/>
        </w:rPr>
        <w:t>variables</w:t>
      </w:r>
      <w:r w:rsidR="00CA4ACD" w:rsidRPr="00C244B9">
        <w:rPr>
          <w:sz w:val="22"/>
          <w:szCs w:val="22"/>
          <w:lang w:val="en-GB"/>
        </w:rPr>
        <w:t xml:space="preserve"> of relevance for our hypotheses </w:t>
      </w:r>
      <w:r w:rsidR="004C1A2C" w:rsidRPr="00C244B9">
        <w:rPr>
          <w:sz w:val="22"/>
          <w:szCs w:val="22"/>
          <w:lang w:val="en-GB"/>
        </w:rPr>
        <w:t>with a dummy</w:t>
      </w:r>
      <w:r w:rsidR="00CA4ACD" w:rsidRPr="00C244B9">
        <w:rPr>
          <w:sz w:val="22"/>
          <w:szCs w:val="22"/>
          <w:lang w:val="en-GB"/>
        </w:rPr>
        <w:t xml:space="preserve"> variable which takes the value 1 if the home economy is an </w:t>
      </w:r>
      <w:r w:rsidR="009771A1" w:rsidRPr="00C244B9">
        <w:rPr>
          <w:sz w:val="22"/>
          <w:szCs w:val="22"/>
          <w:lang w:val="en-GB"/>
        </w:rPr>
        <w:t>EE</w:t>
      </w:r>
      <w:r w:rsidR="00CA4ACD" w:rsidRPr="00C244B9">
        <w:rPr>
          <w:sz w:val="22"/>
          <w:szCs w:val="22"/>
          <w:lang w:val="en-GB"/>
        </w:rPr>
        <w:t xml:space="preserve"> and zero if it is an </w:t>
      </w:r>
      <w:r w:rsidR="009771A1" w:rsidRPr="00C244B9">
        <w:rPr>
          <w:sz w:val="22"/>
          <w:szCs w:val="22"/>
          <w:lang w:val="en-GB"/>
        </w:rPr>
        <w:t>A</w:t>
      </w:r>
      <w:r w:rsidR="00BA4F6E" w:rsidRPr="00C244B9">
        <w:rPr>
          <w:sz w:val="22"/>
          <w:szCs w:val="22"/>
          <w:lang w:val="en-GB"/>
        </w:rPr>
        <w:t>E</w:t>
      </w:r>
      <w:r w:rsidR="00CA4ACD" w:rsidRPr="00C244B9">
        <w:rPr>
          <w:sz w:val="22"/>
          <w:szCs w:val="22"/>
          <w:lang w:val="en-GB"/>
        </w:rPr>
        <w:t>.</w:t>
      </w:r>
      <w:r w:rsidR="009601B8" w:rsidRPr="00C244B9">
        <w:rPr>
          <w:sz w:val="22"/>
          <w:szCs w:val="22"/>
          <w:lang w:val="en-GB"/>
        </w:rPr>
        <w:t xml:space="preserve"> </w:t>
      </w:r>
      <w:r w:rsidR="00CA4ACD" w:rsidRPr="00C244B9">
        <w:rPr>
          <w:sz w:val="22"/>
          <w:szCs w:val="22"/>
          <w:lang w:val="en-GB"/>
        </w:rPr>
        <w:t xml:space="preserve">The hypothesis is </w:t>
      </w:r>
      <w:r w:rsidRPr="00C244B9">
        <w:rPr>
          <w:sz w:val="22"/>
          <w:szCs w:val="22"/>
          <w:lang w:val="en-GB"/>
        </w:rPr>
        <w:t xml:space="preserve">then </w:t>
      </w:r>
      <w:r w:rsidR="00CA4ACD" w:rsidRPr="00C244B9">
        <w:rPr>
          <w:sz w:val="22"/>
          <w:szCs w:val="22"/>
          <w:lang w:val="en-GB"/>
        </w:rPr>
        <w:t>tested acco</w:t>
      </w:r>
      <w:r w:rsidR="009601B8" w:rsidRPr="00C244B9">
        <w:rPr>
          <w:sz w:val="22"/>
          <w:szCs w:val="22"/>
          <w:lang w:val="en-GB"/>
        </w:rPr>
        <w:t>rding to the</w:t>
      </w:r>
      <w:r w:rsidRPr="00C244B9">
        <w:rPr>
          <w:sz w:val="22"/>
          <w:szCs w:val="22"/>
          <w:lang w:val="en-GB"/>
        </w:rPr>
        <w:t xml:space="preserve"> sign and significance</w:t>
      </w:r>
      <w:r w:rsidR="009601B8" w:rsidRPr="00C244B9">
        <w:rPr>
          <w:sz w:val="22"/>
          <w:szCs w:val="22"/>
          <w:lang w:val="en-GB"/>
        </w:rPr>
        <w:t xml:space="preserve"> of </w:t>
      </w:r>
      <w:r w:rsidR="00E05094" w:rsidRPr="00C244B9">
        <w:rPr>
          <w:sz w:val="22"/>
          <w:szCs w:val="22"/>
          <w:lang w:val="en-GB"/>
        </w:rPr>
        <w:t>this interactive</w:t>
      </w:r>
      <w:r w:rsidR="00CA4ACD" w:rsidRPr="00C244B9">
        <w:rPr>
          <w:sz w:val="22"/>
          <w:szCs w:val="22"/>
          <w:lang w:val="en-GB"/>
        </w:rPr>
        <w:t xml:space="preserve"> dummy</w:t>
      </w:r>
      <w:r w:rsidRPr="00C244B9">
        <w:rPr>
          <w:sz w:val="22"/>
          <w:szCs w:val="22"/>
          <w:lang w:val="en-GB"/>
        </w:rPr>
        <w:t>. I</w:t>
      </w:r>
      <w:r w:rsidR="004C1A2C" w:rsidRPr="00C244B9">
        <w:rPr>
          <w:sz w:val="22"/>
          <w:szCs w:val="22"/>
          <w:lang w:val="en-GB"/>
        </w:rPr>
        <w:t>f the interaction term is significant</w:t>
      </w:r>
      <w:r w:rsidRPr="00C244B9">
        <w:rPr>
          <w:sz w:val="22"/>
          <w:szCs w:val="22"/>
          <w:lang w:val="en-GB"/>
        </w:rPr>
        <w:t xml:space="preserve"> and of the sign predicted in Table </w:t>
      </w:r>
      <w:r w:rsidR="002237AB" w:rsidRPr="00C244B9">
        <w:rPr>
          <w:sz w:val="22"/>
          <w:szCs w:val="22"/>
          <w:lang w:val="en-GB"/>
        </w:rPr>
        <w:t>1</w:t>
      </w:r>
      <w:r w:rsidRPr="00C244B9">
        <w:rPr>
          <w:sz w:val="22"/>
          <w:szCs w:val="22"/>
          <w:lang w:val="en-GB"/>
        </w:rPr>
        <w:t>,</w:t>
      </w:r>
      <w:r w:rsidR="004C1A2C" w:rsidRPr="00C244B9">
        <w:rPr>
          <w:sz w:val="22"/>
          <w:szCs w:val="22"/>
          <w:lang w:val="en-GB"/>
        </w:rPr>
        <w:t xml:space="preserve"> then we conclude that the difference between </w:t>
      </w:r>
      <w:r w:rsidR="00AE3471" w:rsidRPr="00C244B9">
        <w:rPr>
          <w:sz w:val="22"/>
          <w:szCs w:val="22"/>
          <w:lang w:val="en-GB"/>
        </w:rPr>
        <w:t>EE MNEs</w:t>
      </w:r>
      <w:r w:rsidR="004C1A2C" w:rsidRPr="00C244B9">
        <w:rPr>
          <w:sz w:val="22"/>
          <w:szCs w:val="22"/>
          <w:lang w:val="en-GB"/>
        </w:rPr>
        <w:t xml:space="preserve"> and </w:t>
      </w:r>
      <w:r w:rsidR="00AE3471" w:rsidRPr="00C244B9">
        <w:rPr>
          <w:sz w:val="22"/>
          <w:szCs w:val="22"/>
          <w:lang w:val="en-GB"/>
        </w:rPr>
        <w:t>AE MNEs</w:t>
      </w:r>
      <w:r w:rsidR="004C1A2C" w:rsidRPr="00C244B9">
        <w:rPr>
          <w:sz w:val="22"/>
          <w:szCs w:val="22"/>
          <w:lang w:val="en-GB"/>
        </w:rPr>
        <w:t xml:space="preserve"> firms in the impact of the variable of interest on location choice is significant. </w:t>
      </w:r>
      <w:r w:rsidR="00AC27E4" w:rsidRPr="00C244B9">
        <w:rPr>
          <w:sz w:val="22"/>
          <w:szCs w:val="22"/>
          <w:lang w:val="en-GB"/>
        </w:rPr>
        <w:t xml:space="preserve">In a post hoc analysis, </w:t>
      </w:r>
      <w:r w:rsidR="002871DD" w:rsidRPr="00C244B9">
        <w:rPr>
          <w:sz w:val="22"/>
          <w:szCs w:val="22"/>
          <w:lang w:val="en-GB"/>
        </w:rPr>
        <w:t xml:space="preserve">using country specific datasets, </w:t>
      </w:r>
      <w:r w:rsidR="00AC27E4" w:rsidRPr="00C244B9">
        <w:rPr>
          <w:sz w:val="22"/>
          <w:szCs w:val="22"/>
          <w:lang w:val="en-GB"/>
        </w:rPr>
        <w:t xml:space="preserve">we </w:t>
      </w:r>
      <w:r w:rsidR="00992C02" w:rsidRPr="00C244B9">
        <w:rPr>
          <w:sz w:val="22"/>
          <w:szCs w:val="22"/>
          <w:lang w:val="en-GB"/>
        </w:rPr>
        <w:t xml:space="preserve">offer a more nuanced analysis in which the </w:t>
      </w:r>
      <w:r w:rsidR="00AE3471" w:rsidRPr="00C244B9">
        <w:rPr>
          <w:sz w:val="22"/>
          <w:szCs w:val="22"/>
          <w:lang w:val="en-GB"/>
        </w:rPr>
        <w:t xml:space="preserve">determinants </w:t>
      </w:r>
      <w:r w:rsidR="002871DD" w:rsidRPr="00C244B9">
        <w:rPr>
          <w:sz w:val="22"/>
          <w:szCs w:val="22"/>
          <w:lang w:val="en-GB"/>
        </w:rPr>
        <w:t>are</w:t>
      </w:r>
      <w:r w:rsidR="00992C02" w:rsidRPr="00C244B9">
        <w:rPr>
          <w:sz w:val="22"/>
          <w:szCs w:val="22"/>
          <w:lang w:val="en-GB"/>
        </w:rPr>
        <w:t xml:space="preserve"> considered on a country by country basis across the set of </w:t>
      </w:r>
      <w:r w:rsidR="00AC27E4" w:rsidRPr="00C244B9">
        <w:rPr>
          <w:sz w:val="22"/>
          <w:szCs w:val="22"/>
          <w:lang w:val="en-GB"/>
        </w:rPr>
        <w:t>EEs</w:t>
      </w:r>
      <w:r w:rsidR="00992C02" w:rsidRPr="00C244B9">
        <w:rPr>
          <w:sz w:val="22"/>
          <w:szCs w:val="22"/>
          <w:lang w:val="en-GB"/>
        </w:rPr>
        <w:t xml:space="preserve"> and </w:t>
      </w:r>
      <w:r w:rsidR="00AC27E4" w:rsidRPr="00C244B9">
        <w:rPr>
          <w:sz w:val="22"/>
          <w:szCs w:val="22"/>
          <w:lang w:val="en-GB"/>
        </w:rPr>
        <w:t>AEs</w:t>
      </w:r>
      <w:r w:rsidRPr="00C244B9">
        <w:rPr>
          <w:sz w:val="22"/>
          <w:szCs w:val="22"/>
          <w:lang w:val="en-GB"/>
        </w:rPr>
        <w:t xml:space="preserve"> though of course the sample</w:t>
      </w:r>
      <w:r w:rsidR="002237AB" w:rsidRPr="00C244B9">
        <w:rPr>
          <w:sz w:val="22"/>
          <w:szCs w:val="22"/>
          <w:lang w:val="en-GB"/>
        </w:rPr>
        <w:t xml:space="preserve"> </w:t>
      </w:r>
      <w:r w:rsidR="00B94CFB">
        <w:rPr>
          <w:sz w:val="22"/>
          <w:szCs w:val="22"/>
          <w:lang w:val="en-GB"/>
        </w:rPr>
        <w:t>for each home country</w:t>
      </w:r>
      <w:r w:rsidRPr="00C244B9">
        <w:rPr>
          <w:sz w:val="22"/>
          <w:szCs w:val="22"/>
          <w:lang w:val="en-GB"/>
        </w:rPr>
        <w:t xml:space="preserve"> is much smaller.</w:t>
      </w:r>
      <w:r w:rsidR="00992C02" w:rsidRPr="00C244B9">
        <w:rPr>
          <w:sz w:val="22"/>
          <w:szCs w:val="22"/>
          <w:lang w:val="en-GB"/>
        </w:rPr>
        <w:t xml:space="preserve"> </w:t>
      </w:r>
    </w:p>
    <w:p w14:paraId="0F97625C" w14:textId="77777777" w:rsidR="00D11FB6" w:rsidRPr="00C244B9" w:rsidRDefault="00D11FB6" w:rsidP="0018025D">
      <w:pPr>
        <w:spacing w:line="480" w:lineRule="auto"/>
        <w:outlineLvl w:val="0"/>
        <w:rPr>
          <w:b/>
          <w:sz w:val="22"/>
          <w:szCs w:val="22"/>
          <w:lang w:val="en-GB"/>
        </w:rPr>
      </w:pPr>
      <w:r w:rsidRPr="00C244B9">
        <w:rPr>
          <w:b/>
          <w:sz w:val="22"/>
          <w:szCs w:val="22"/>
          <w:lang w:val="en-GB"/>
        </w:rPr>
        <w:t xml:space="preserve">Measurements </w:t>
      </w:r>
    </w:p>
    <w:p w14:paraId="0EF32643" w14:textId="577A786D" w:rsidR="009601B8" w:rsidRPr="00C244B9" w:rsidRDefault="00D11FB6" w:rsidP="006F158A">
      <w:pPr>
        <w:spacing w:line="480" w:lineRule="auto"/>
        <w:jc w:val="both"/>
        <w:rPr>
          <w:sz w:val="22"/>
          <w:szCs w:val="22"/>
        </w:rPr>
      </w:pPr>
      <w:r w:rsidRPr="00C244B9">
        <w:rPr>
          <w:sz w:val="22"/>
          <w:szCs w:val="22"/>
        </w:rPr>
        <w:t xml:space="preserve">Our dependent variable </w:t>
      </w:r>
      <w:r w:rsidR="00B10E62" w:rsidRPr="00C244B9">
        <w:rPr>
          <w:sz w:val="22"/>
          <w:szCs w:val="22"/>
        </w:rPr>
        <w:t xml:space="preserve">captures the </w:t>
      </w:r>
      <w:r w:rsidR="00AE3471" w:rsidRPr="00C244B9">
        <w:rPr>
          <w:sz w:val="22"/>
          <w:szCs w:val="22"/>
        </w:rPr>
        <w:t xml:space="preserve">probability </w:t>
      </w:r>
      <w:r w:rsidRPr="00C244B9">
        <w:rPr>
          <w:sz w:val="22"/>
          <w:szCs w:val="22"/>
        </w:rPr>
        <w:t>that</w:t>
      </w:r>
      <w:r w:rsidR="000E6669" w:rsidRPr="00C244B9">
        <w:rPr>
          <w:sz w:val="22"/>
          <w:szCs w:val="22"/>
        </w:rPr>
        <w:t xml:space="preserve"> </w:t>
      </w:r>
      <w:r w:rsidR="00474C26" w:rsidRPr="00C244B9">
        <w:rPr>
          <w:sz w:val="22"/>
          <w:szCs w:val="22"/>
        </w:rPr>
        <w:t xml:space="preserve">a </w:t>
      </w:r>
      <w:r w:rsidR="00AE3471" w:rsidRPr="00C244B9">
        <w:rPr>
          <w:sz w:val="22"/>
          <w:szCs w:val="22"/>
        </w:rPr>
        <w:t xml:space="preserve">given </w:t>
      </w:r>
      <w:r w:rsidR="00474C26" w:rsidRPr="00C244B9">
        <w:rPr>
          <w:sz w:val="22"/>
          <w:szCs w:val="22"/>
        </w:rPr>
        <w:t>firm</w:t>
      </w:r>
      <w:r w:rsidR="006F1D76" w:rsidRPr="00C244B9">
        <w:rPr>
          <w:sz w:val="22"/>
          <w:szCs w:val="22"/>
        </w:rPr>
        <w:t xml:space="preserve"> </w:t>
      </w:r>
      <w:r w:rsidRPr="00C244B9">
        <w:rPr>
          <w:sz w:val="22"/>
          <w:szCs w:val="22"/>
        </w:rPr>
        <w:t xml:space="preserve">chooses </w:t>
      </w:r>
      <w:r w:rsidR="006F1D76" w:rsidRPr="00C244B9">
        <w:rPr>
          <w:sz w:val="22"/>
          <w:szCs w:val="22"/>
        </w:rPr>
        <w:t xml:space="preserve">a </w:t>
      </w:r>
      <w:r w:rsidR="000E6669" w:rsidRPr="00C244B9">
        <w:rPr>
          <w:sz w:val="22"/>
          <w:szCs w:val="22"/>
        </w:rPr>
        <w:t>particular</w:t>
      </w:r>
      <w:r w:rsidRPr="00C244B9">
        <w:rPr>
          <w:sz w:val="22"/>
          <w:szCs w:val="22"/>
        </w:rPr>
        <w:t xml:space="preserve"> host country</w:t>
      </w:r>
      <w:r w:rsidR="00AB324F" w:rsidRPr="00C244B9">
        <w:rPr>
          <w:sz w:val="22"/>
          <w:szCs w:val="22"/>
        </w:rPr>
        <w:t xml:space="preserve"> </w:t>
      </w:r>
      <w:r w:rsidRPr="00C244B9">
        <w:rPr>
          <w:sz w:val="22"/>
          <w:szCs w:val="22"/>
        </w:rPr>
        <w:t>from the available set of count</w:t>
      </w:r>
      <w:r w:rsidR="000E6669" w:rsidRPr="00C244B9">
        <w:rPr>
          <w:sz w:val="22"/>
          <w:szCs w:val="22"/>
        </w:rPr>
        <w:t>r</w:t>
      </w:r>
      <w:r w:rsidRPr="00C244B9">
        <w:rPr>
          <w:sz w:val="22"/>
          <w:szCs w:val="22"/>
        </w:rPr>
        <w:t>ies as the location for a subsidiary.</w:t>
      </w:r>
      <w:r w:rsidR="00AB660D" w:rsidRPr="00C244B9">
        <w:rPr>
          <w:sz w:val="22"/>
          <w:szCs w:val="22"/>
        </w:rPr>
        <w:t xml:space="preserve"> Thus</w:t>
      </w:r>
      <w:r w:rsidR="00BA1132" w:rsidRPr="00C244B9">
        <w:rPr>
          <w:sz w:val="22"/>
          <w:szCs w:val="22"/>
        </w:rPr>
        <w:t>,</w:t>
      </w:r>
      <w:r w:rsidR="00AB660D" w:rsidRPr="00C244B9">
        <w:rPr>
          <w:sz w:val="22"/>
          <w:szCs w:val="22"/>
        </w:rPr>
        <w:t xml:space="preserve"> for every possible </w:t>
      </w:r>
      <w:r w:rsidR="00A57282" w:rsidRPr="00C244B9">
        <w:rPr>
          <w:sz w:val="22"/>
          <w:szCs w:val="22"/>
        </w:rPr>
        <w:t>firm</w:t>
      </w:r>
      <w:r w:rsidR="00AB660D" w:rsidRPr="00C244B9">
        <w:rPr>
          <w:sz w:val="22"/>
          <w:szCs w:val="22"/>
        </w:rPr>
        <w:t xml:space="preserve">-host country </w:t>
      </w:r>
      <w:r w:rsidR="005F6770" w:rsidRPr="00C244B9">
        <w:rPr>
          <w:sz w:val="22"/>
          <w:szCs w:val="22"/>
        </w:rPr>
        <w:t>dyad</w:t>
      </w:r>
      <w:r w:rsidR="00AB660D" w:rsidRPr="00C244B9">
        <w:rPr>
          <w:sz w:val="22"/>
          <w:szCs w:val="22"/>
        </w:rPr>
        <w:t>, the dependent variable of investment location choice takes the value of</w:t>
      </w:r>
      <w:r w:rsidR="009601B8" w:rsidRPr="00C244B9">
        <w:rPr>
          <w:sz w:val="22"/>
          <w:szCs w:val="22"/>
        </w:rPr>
        <w:t xml:space="preserve"> </w:t>
      </w:r>
      <w:r w:rsidR="0047205D" w:rsidRPr="00C244B9">
        <w:rPr>
          <w:sz w:val="22"/>
          <w:szCs w:val="22"/>
        </w:rPr>
        <w:t>1 if the pertinent country is chosen</w:t>
      </w:r>
      <w:r w:rsidR="005F6770" w:rsidRPr="00C244B9">
        <w:rPr>
          <w:sz w:val="22"/>
          <w:szCs w:val="22"/>
        </w:rPr>
        <w:t xml:space="preserve"> by the firm</w:t>
      </w:r>
      <w:r w:rsidR="0047205D" w:rsidRPr="00C244B9">
        <w:rPr>
          <w:sz w:val="22"/>
          <w:szCs w:val="22"/>
        </w:rPr>
        <w:t>, and zero for all other countries</w:t>
      </w:r>
      <w:r w:rsidR="00346F0E" w:rsidRPr="00C244B9">
        <w:rPr>
          <w:sz w:val="22"/>
          <w:szCs w:val="22"/>
        </w:rPr>
        <w:t xml:space="preserve">. </w:t>
      </w:r>
      <w:r w:rsidR="00BA1132" w:rsidRPr="00C244B9">
        <w:rPr>
          <w:sz w:val="22"/>
          <w:szCs w:val="22"/>
        </w:rPr>
        <w:t xml:space="preserve">Table 2 </w:t>
      </w:r>
      <w:r w:rsidR="00AB660D" w:rsidRPr="00C244B9">
        <w:rPr>
          <w:sz w:val="22"/>
          <w:szCs w:val="22"/>
        </w:rPr>
        <w:t>provide</w:t>
      </w:r>
      <w:r w:rsidR="00BA1132" w:rsidRPr="00C244B9">
        <w:rPr>
          <w:sz w:val="22"/>
          <w:szCs w:val="22"/>
        </w:rPr>
        <w:t>s</w:t>
      </w:r>
      <w:r w:rsidR="00AB660D" w:rsidRPr="00C244B9">
        <w:rPr>
          <w:sz w:val="22"/>
          <w:szCs w:val="22"/>
        </w:rPr>
        <w:t xml:space="preserve"> a description of the pattern of FDI flows</w:t>
      </w:r>
      <w:r w:rsidR="00BA1132" w:rsidRPr="00C244B9">
        <w:rPr>
          <w:sz w:val="22"/>
          <w:szCs w:val="22"/>
        </w:rPr>
        <w:t xml:space="preserve"> in our sample</w:t>
      </w:r>
      <w:r w:rsidR="00B9111A" w:rsidRPr="00C244B9">
        <w:rPr>
          <w:sz w:val="22"/>
          <w:szCs w:val="22"/>
        </w:rPr>
        <w:t>.</w:t>
      </w:r>
      <w:r w:rsidR="003A3BCD" w:rsidRPr="00C244B9">
        <w:rPr>
          <w:sz w:val="22"/>
          <w:szCs w:val="22"/>
        </w:rPr>
        <w:t xml:space="preserve"> </w:t>
      </w:r>
      <w:r w:rsidR="00DD77E6" w:rsidRPr="00C244B9">
        <w:rPr>
          <w:sz w:val="22"/>
          <w:szCs w:val="22"/>
        </w:rPr>
        <w:t>F</w:t>
      </w:r>
      <w:r w:rsidR="003A3BCD" w:rsidRPr="00C244B9">
        <w:rPr>
          <w:sz w:val="22"/>
          <w:szCs w:val="22"/>
        </w:rPr>
        <w:t>or example, based on the number of subsidiaries, Chin</w:t>
      </w:r>
      <w:r w:rsidR="00A57282" w:rsidRPr="00C244B9">
        <w:rPr>
          <w:sz w:val="22"/>
          <w:szCs w:val="22"/>
        </w:rPr>
        <w:t>ese MNEs</w:t>
      </w:r>
      <w:r w:rsidR="003A3BCD" w:rsidRPr="00C244B9">
        <w:rPr>
          <w:sz w:val="22"/>
          <w:szCs w:val="22"/>
        </w:rPr>
        <w:t xml:space="preserve"> invest most into Germany followed by </w:t>
      </w:r>
      <w:r w:rsidR="003A3BCD" w:rsidRPr="00C244B9">
        <w:rPr>
          <w:sz w:val="22"/>
          <w:szCs w:val="22"/>
        </w:rPr>
        <w:lastRenderedPageBreak/>
        <w:t xml:space="preserve">Australia </w:t>
      </w:r>
      <w:r w:rsidR="00050DA9" w:rsidRPr="00C244B9">
        <w:rPr>
          <w:sz w:val="22"/>
          <w:szCs w:val="22"/>
        </w:rPr>
        <w:t>and</w:t>
      </w:r>
      <w:r w:rsidR="003A3BCD" w:rsidRPr="00C244B9">
        <w:rPr>
          <w:sz w:val="22"/>
          <w:szCs w:val="22"/>
        </w:rPr>
        <w:t xml:space="preserve"> Italy. India</w:t>
      </w:r>
      <w:r w:rsidR="00A57282" w:rsidRPr="00C244B9">
        <w:rPr>
          <w:sz w:val="22"/>
          <w:szCs w:val="22"/>
        </w:rPr>
        <w:t>n MNEs</w:t>
      </w:r>
      <w:r w:rsidR="003A3BCD" w:rsidRPr="00C244B9">
        <w:rPr>
          <w:sz w:val="22"/>
          <w:szCs w:val="22"/>
        </w:rPr>
        <w:t xml:space="preserve"> ha</w:t>
      </w:r>
      <w:r w:rsidR="00A57282" w:rsidRPr="00C244B9">
        <w:rPr>
          <w:sz w:val="22"/>
          <w:szCs w:val="22"/>
        </w:rPr>
        <w:t>ve</w:t>
      </w:r>
      <w:r w:rsidR="003A3BCD" w:rsidRPr="00C244B9">
        <w:rPr>
          <w:sz w:val="22"/>
          <w:szCs w:val="22"/>
        </w:rPr>
        <w:t xml:space="preserve"> the largest number of subsidiaries in Great Britain followed by </w:t>
      </w:r>
      <w:r w:rsidR="002C045D" w:rsidRPr="00C244B9">
        <w:rPr>
          <w:sz w:val="22"/>
          <w:szCs w:val="22"/>
        </w:rPr>
        <w:t xml:space="preserve">Germany </w:t>
      </w:r>
      <w:r w:rsidR="00050DA9" w:rsidRPr="00C244B9">
        <w:rPr>
          <w:sz w:val="22"/>
          <w:szCs w:val="22"/>
        </w:rPr>
        <w:t>and</w:t>
      </w:r>
      <w:r w:rsidR="002C045D" w:rsidRPr="00C244B9">
        <w:rPr>
          <w:sz w:val="22"/>
          <w:szCs w:val="22"/>
        </w:rPr>
        <w:t xml:space="preserve"> the United States.</w:t>
      </w:r>
      <w:r w:rsidR="002C045D" w:rsidRPr="00C244B9">
        <w:rPr>
          <w:rStyle w:val="FootnoteReference"/>
          <w:sz w:val="22"/>
          <w:szCs w:val="22"/>
        </w:rPr>
        <w:footnoteReference w:id="8"/>
      </w:r>
    </w:p>
    <w:p w14:paraId="5D35C508" w14:textId="3F61D0C8" w:rsidR="004D32CC" w:rsidRPr="00C244B9" w:rsidRDefault="004D32CC" w:rsidP="005A3198">
      <w:pPr>
        <w:spacing w:line="480" w:lineRule="auto"/>
        <w:ind w:left="2160" w:firstLine="720"/>
        <w:jc w:val="both"/>
        <w:rPr>
          <w:i/>
          <w:sz w:val="22"/>
          <w:szCs w:val="22"/>
        </w:rPr>
      </w:pPr>
      <w:r w:rsidRPr="00C244B9">
        <w:rPr>
          <w:i/>
          <w:sz w:val="22"/>
          <w:szCs w:val="22"/>
        </w:rPr>
        <w:t>Table 2 about here</w:t>
      </w:r>
    </w:p>
    <w:p w14:paraId="62EA319B" w14:textId="3655D1A9" w:rsidR="00AB660D" w:rsidRPr="00C244B9" w:rsidRDefault="002C045D" w:rsidP="00C46F54">
      <w:pPr>
        <w:spacing w:line="480" w:lineRule="auto"/>
        <w:ind w:firstLine="284"/>
        <w:jc w:val="both"/>
        <w:rPr>
          <w:sz w:val="22"/>
          <w:szCs w:val="22"/>
          <w:lang w:val="en-GB"/>
        </w:rPr>
      </w:pPr>
      <w:r w:rsidRPr="00C244B9">
        <w:rPr>
          <w:sz w:val="22"/>
          <w:szCs w:val="22"/>
        </w:rPr>
        <w:t xml:space="preserve">Turning to </w:t>
      </w:r>
      <w:r w:rsidR="00493CDF" w:rsidRPr="00C244B9">
        <w:rPr>
          <w:sz w:val="22"/>
          <w:szCs w:val="22"/>
        </w:rPr>
        <w:t>the independent variables about which we hypothesi</w:t>
      </w:r>
      <w:r w:rsidR="009B2C1A" w:rsidRPr="00C244B9">
        <w:rPr>
          <w:sz w:val="22"/>
          <w:szCs w:val="22"/>
        </w:rPr>
        <w:t>z</w:t>
      </w:r>
      <w:r w:rsidR="00493CDF" w:rsidRPr="00C244B9">
        <w:rPr>
          <w:sz w:val="22"/>
          <w:szCs w:val="22"/>
        </w:rPr>
        <w:t>e</w:t>
      </w:r>
      <w:r w:rsidR="00DC1C30" w:rsidRPr="00C244B9">
        <w:rPr>
          <w:sz w:val="22"/>
          <w:szCs w:val="22"/>
        </w:rPr>
        <w:t>,</w:t>
      </w:r>
      <w:r w:rsidR="007454BB" w:rsidRPr="00C244B9">
        <w:rPr>
          <w:sz w:val="22"/>
          <w:szCs w:val="22"/>
        </w:rPr>
        <w:t xml:space="preserve"> </w:t>
      </w:r>
      <w:r w:rsidRPr="00C244B9">
        <w:rPr>
          <w:sz w:val="22"/>
          <w:szCs w:val="22"/>
        </w:rPr>
        <w:t xml:space="preserve">for </w:t>
      </w:r>
      <w:r w:rsidRPr="00C244B9">
        <w:rPr>
          <w:i/>
          <w:sz w:val="22"/>
          <w:szCs w:val="22"/>
          <w:lang w:val="en-GB"/>
        </w:rPr>
        <w:t>Intellectual Property Rights Protection</w:t>
      </w:r>
      <w:r w:rsidRPr="00C244B9">
        <w:rPr>
          <w:sz w:val="22"/>
          <w:szCs w:val="22"/>
          <w:lang w:val="en-GB"/>
        </w:rPr>
        <w:t xml:space="preserve"> (H1) we use</w:t>
      </w:r>
      <w:r w:rsidRPr="00C244B9">
        <w:rPr>
          <w:sz w:val="22"/>
          <w:szCs w:val="22"/>
        </w:rPr>
        <w:t xml:space="preserve"> the measure of intellectual property rights protection from the Heritage Foundation, 2007. </w:t>
      </w:r>
      <w:r w:rsidRPr="00C244B9">
        <w:rPr>
          <w:sz w:val="22"/>
          <w:szCs w:val="22"/>
          <w:lang w:val="en-GB"/>
        </w:rPr>
        <w:t xml:space="preserve">H2 concerns </w:t>
      </w:r>
      <w:r w:rsidRPr="00C244B9">
        <w:rPr>
          <w:i/>
          <w:sz w:val="22"/>
          <w:szCs w:val="22"/>
          <w:lang w:val="en-GB"/>
        </w:rPr>
        <w:t>distance</w:t>
      </w:r>
      <w:r w:rsidRPr="00C244B9">
        <w:rPr>
          <w:sz w:val="22"/>
          <w:szCs w:val="22"/>
          <w:lang w:val="en-GB"/>
        </w:rPr>
        <w:t xml:space="preserve">, and </w:t>
      </w:r>
      <w:r w:rsidR="00323490">
        <w:rPr>
          <w:sz w:val="22"/>
          <w:szCs w:val="22"/>
          <w:lang w:val="en-GB"/>
        </w:rPr>
        <w:t xml:space="preserve">in </w:t>
      </w:r>
      <w:r w:rsidR="00DB4A89">
        <w:rPr>
          <w:sz w:val="22"/>
          <w:szCs w:val="22"/>
          <w:lang w:val="en-GB"/>
        </w:rPr>
        <w:t>our main analysis we</w:t>
      </w:r>
      <w:r w:rsidRPr="00C244B9">
        <w:rPr>
          <w:sz w:val="22"/>
          <w:szCs w:val="22"/>
          <w:lang w:val="en-GB"/>
        </w:rPr>
        <w:t xml:space="preserve"> use geographic distance between </w:t>
      </w:r>
      <w:r w:rsidR="00637C62" w:rsidRPr="00C244B9">
        <w:rPr>
          <w:sz w:val="22"/>
          <w:szCs w:val="22"/>
          <w:lang w:val="en-GB"/>
        </w:rPr>
        <w:t>the</w:t>
      </w:r>
      <w:r w:rsidR="00637C62" w:rsidRPr="00C244B9">
        <w:rPr>
          <w:sz w:val="22"/>
          <w:szCs w:val="22"/>
        </w:rPr>
        <w:t xml:space="preserve"> most populated cities in kilometers (thousands), sourced from the </w:t>
      </w:r>
      <w:r w:rsidR="00637C62" w:rsidRPr="00C244B9">
        <w:rPr>
          <w:i/>
          <w:sz w:val="22"/>
          <w:szCs w:val="22"/>
        </w:rPr>
        <w:t>GeoDist</w:t>
      </w:r>
      <w:r w:rsidR="00637C62" w:rsidRPr="00C244B9">
        <w:rPr>
          <w:sz w:val="22"/>
          <w:szCs w:val="22"/>
        </w:rPr>
        <w:t xml:space="preserve"> database made available by Mayer and Zignano (2011)</w:t>
      </w:r>
      <w:r w:rsidR="00637C62" w:rsidRPr="00C244B9">
        <w:rPr>
          <w:sz w:val="22"/>
          <w:szCs w:val="22"/>
          <w:lang w:val="en-GB"/>
        </w:rPr>
        <w:t xml:space="preserve">. </w:t>
      </w:r>
      <w:r w:rsidR="00DB4A89">
        <w:rPr>
          <w:sz w:val="22"/>
          <w:szCs w:val="22"/>
          <w:lang w:val="en-GB"/>
        </w:rPr>
        <w:t xml:space="preserve">These data are widely used in international trade and migration research (e.g. Bernard &amp; Redding, 2011; Chaney, 2014; Abel &amp; Sander, 2014). </w:t>
      </w:r>
      <w:r w:rsidRPr="00C244B9">
        <w:rPr>
          <w:sz w:val="22"/>
          <w:szCs w:val="22"/>
          <w:lang w:val="en-GB"/>
        </w:rPr>
        <w:t xml:space="preserve">H3 concerns </w:t>
      </w:r>
      <w:r w:rsidR="00323490">
        <w:rPr>
          <w:sz w:val="22"/>
          <w:szCs w:val="22"/>
          <w:lang w:val="en-GB"/>
        </w:rPr>
        <w:t xml:space="preserve">the impact of migrant </w:t>
      </w:r>
      <w:r w:rsidRPr="00C244B9">
        <w:rPr>
          <w:sz w:val="22"/>
          <w:szCs w:val="22"/>
          <w:lang w:val="en-GB"/>
        </w:rPr>
        <w:t>diaspora</w:t>
      </w:r>
      <w:r w:rsidR="00323490">
        <w:rPr>
          <w:sz w:val="22"/>
          <w:szCs w:val="22"/>
          <w:lang w:val="en-GB"/>
        </w:rPr>
        <w:t xml:space="preserve">, which we proxy by </w:t>
      </w:r>
      <w:r w:rsidRPr="00C244B9">
        <w:rPr>
          <w:sz w:val="22"/>
          <w:szCs w:val="22"/>
          <w:lang w:val="en-GB"/>
        </w:rPr>
        <w:t xml:space="preserve">the </w:t>
      </w:r>
      <w:r w:rsidRPr="00C244B9">
        <w:rPr>
          <w:i/>
          <w:sz w:val="22"/>
          <w:szCs w:val="22"/>
          <w:lang w:val="en-GB"/>
        </w:rPr>
        <w:t xml:space="preserve">foreign </w:t>
      </w:r>
      <w:r w:rsidRPr="00407A32">
        <w:rPr>
          <w:i/>
          <w:sz w:val="22"/>
          <w:szCs w:val="22"/>
          <w:u w:val="single"/>
          <w:lang w:val="en-GB"/>
        </w:rPr>
        <w:t>born population</w:t>
      </w:r>
      <w:r w:rsidR="00407A32" w:rsidRPr="00407A32">
        <w:rPr>
          <w:sz w:val="22"/>
          <w:szCs w:val="22"/>
          <w:lang w:val="en-GB"/>
        </w:rPr>
        <w:t>, as a percentage of the host country population, i</w:t>
      </w:r>
      <w:r w:rsidRPr="00C244B9">
        <w:rPr>
          <w:sz w:val="22"/>
          <w:szCs w:val="22"/>
          <w:lang w:val="en-GB"/>
        </w:rPr>
        <w:t>n each host economy from each home economy in 2001 from OECD. Finally</w:t>
      </w:r>
      <w:r w:rsidR="00622063">
        <w:rPr>
          <w:sz w:val="22"/>
          <w:szCs w:val="22"/>
          <w:lang w:val="en-GB"/>
        </w:rPr>
        <w:t>,</w:t>
      </w:r>
      <w:r w:rsidRPr="00C244B9">
        <w:rPr>
          <w:sz w:val="22"/>
          <w:szCs w:val="22"/>
          <w:lang w:val="en-GB"/>
        </w:rPr>
        <w:t xml:space="preserve"> </w:t>
      </w:r>
      <w:r w:rsidRPr="00622063">
        <w:rPr>
          <w:sz w:val="22"/>
          <w:szCs w:val="22"/>
          <w:lang w:val="en-GB"/>
        </w:rPr>
        <w:t>market attraction</w:t>
      </w:r>
      <w:r w:rsidR="00370290" w:rsidRPr="00C244B9">
        <w:rPr>
          <w:sz w:val="22"/>
          <w:szCs w:val="22"/>
          <w:lang w:val="en-GB"/>
        </w:rPr>
        <w:t xml:space="preserve"> (H4)</w:t>
      </w:r>
      <w:r w:rsidRPr="00C244B9">
        <w:rPr>
          <w:sz w:val="22"/>
          <w:szCs w:val="22"/>
          <w:lang w:val="en-GB"/>
        </w:rPr>
        <w:t xml:space="preserve"> </w:t>
      </w:r>
      <w:r w:rsidR="00622063">
        <w:rPr>
          <w:sz w:val="22"/>
          <w:szCs w:val="22"/>
          <w:lang w:val="en-GB"/>
        </w:rPr>
        <w:t xml:space="preserve">is measured by the </w:t>
      </w:r>
      <w:r w:rsidR="00622063" w:rsidRPr="00622063">
        <w:rPr>
          <w:i/>
          <w:sz w:val="22"/>
          <w:szCs w:val="22"/>
          <w:lang w:val="en-GB"/>
        </w:rPr>
        <w:t>Population</w:t>
      </w:r>
      <w:r w:rsidR="00622063">
        <w:rPr>
          <w:sz w:val="22"/>
          <w:szCs w:val="22"/>
          <w:lang w:val="en-GB"/>
        </w:rPr>
        <w:t xml:space="preserve"> of</w:t>
      </w:r>
      <w:r w:rsidR="00370290" w:rsidRPr="00C244B9">
        <w:rPr>
          <w:sz w:val="22"/>
          <w:szCs w:val="22"/>
          <w:lang w:val="en-GB"/>
        </w:rPr>
        <w:t xml:space="preserve"> the host country (Loree &amp; Guisinger, 1995)</w:t>
      </w:r>
      <w:r w:rsidR="00622063">
        <w:rPr>
          <w:sz w:val="22"/>
          <w:szCs w:val="22"/>
          <w:lang w:val="en-GB"/>
        </w:rPr>
        <w:t xml:space="preserve"> </w:t>
      </w:r>
      <w:r w:rsidR="00370290" w:rsidRPr="00C244B9">
        <w:rPr>
          <w:sz w:val="22"/>
          <w:szCs w:val="22"/>
          <w:lang w:val="en-GB"/>
        </w:rPr>
        <w:t xml:space="preserve">in 2007 </w:t>
      </w:r>
      <w:r w:rsidR="00622063">
        <w:rPr>
          <w:sz w:val="22"/>
          <w:szCs w:val="22"/>
          <w:lang w:val="en-GB"/>
        </w:rPr>
        <w:t xml:space="preserve">which we obtained </w:t>
      </w:r>
      <w:r w:rsidR="00370290" w:rsidRPr="00C244B9">
        <w:rPr>
          <w:sz w:val="22"/>
          <w:szCs w:val="22"/>
          <w:lang w:val="en-GB"/>
        </w:rPr>
        <w:t>from the World Bank</w:t>
      </w:r>
      <w:r w:rsidR="00622063">
        <w:rPr>
          <w:sz w:val="22"/>
          <w:szCs w:val="22"/>
          <w:lang w:val="en-GB"/>
        </w:rPr>
        <w:t xml:space="preserve">’s </w:t>
      </w:r>
      <w:r w:rsidR="00370290" w:rsidRPr="00C244B9">
        <w:rPr>
          <w:sz w:val="22"/>
          <w:szCs w:val="22"/>
          <w:lang w:val="en-GB"/>
        </w:rPr>
        <w:t>World Development Indicators and introduced in 100,000s and logarithms to ensure normality.</w:t>
      </w:r>
      <w:r w:rsidR="00370290" w:rsidRPr="00C244B9">
        <w:rPr>
          <w:sz w:val="22"/>
          <w:szCs w:val="22"/>
          <w:vertAlign w:val="superscript"/>
          <w:lang w:val="en-GB"/>
        </w:rPr>
        <w:footnoteReference w:id="9"/>
      </w:r>
    </w:p>
    <w:p w14:paraId="30C0E33E" w14:textId="355FE0D4" w:rsidR="006F1D76" w:rsidRPr="00C244B9" w:rsidRDefault="002237AB" w:rsidP="00C46F54">
      <w:pPr>
        <w:spacing w:line="480" w:lineRule="auto"/>
        <w:ind w:firstLine="284"/>
        <w:jc w:val="both"/>
        <w:rPr>
          <w:sz w:val="22"/>
          <w:szCs w:val="22"/>
          <w:lang w:val="en-GB"/>
        </w:rPr>
      </w:pPr>
      <w:r w:rsidRPr="00C244B9">
        <w:rPr>
          <w:sz w:val="22"/>
          <w:szCs w:val="22"/>
        </w:rPr>
        <w:t xml:space="preserve">As noted above we use two methods to test </w:t>
      </w:r>
      <w:r w:rsidR="00B94CFB">
        <w:rPr>
          <w:sz w:val="22"/>
          <w:szCs w:val="22"/>
        </w:rPr>
        <w:t>our</w:t>
      </w:r>
      <w:r w:rsidR="00B94CFB" w:rsidRPr="00C244B9">
        <w:rPr>
          <w:sz w:val="22"/>
          <w:szCs w:val="22"/>
        </w:rPr>
        <w:t xml:space="preserve"> </w:t>
      </w:r>
      <w:r w:rsidR="002143B1" w:rsidRPr="00C244B9">
        <w:rPr>
          <w:sz w:val="22"/>
          <w:szCs w:val="22"/>
        </w:rPr>
        <w:t>hypotheses</w:t>
      </w:r>
      <w:r w:rsidRPr="00C244B9">
        <w:rPr>
          <w:sz w:val="22"/>
          <w:szCs w:val="22"/>
        </w:rPr>
        <w:t>. First</w:t>
      </w:r>
      <w:r w:rsidR="00A57282" w:rsidRPr="00C244B9">
        <w:rPr>
          <w:sz w:val="22"/>
          <w:szCs w:val="22"/>
        </w:rPr>
        <w:t>,</w:t>
      </w:r>
      <w:r w:rsidRPr="00C244B9">
        <w:rPr>
          <w:sz w:val="22"/>
          <w:szCs w:val="22"/>
        </w:rPr>
        <w:t xml:space="preserve"> we</w:t>
      </w:r>
      <w:r w:rsidR="00370290" w:rsidRPr="00C244B9">
        <w:rPr>
          <w:sz w:val="22"/>
          <w:szCs w:val="22"/>
        </w:rPr>
        <w:t xml:space="preserve"> compare the coefficients on </w:t>
      </w:r>
      <w:r w:rsidR="00AB660D" w:rsidRPr="00C244B9">
        <w:rPr>
          <w:sz w:val="22"/>
          <w:szCs w:val="22"/>
        </w:rPr>
        <w:t xml:space="preserve">each of </w:t>
      </w:r>
      <w:r w:rsidR="00370290" w:rsidRPr="00C244B9">
        <w:rPr>
          <w:sz w:val="22"/>
          <w:szCs w:val="22"/>
        </w:rPr>
        <w:t>the variables of interest in sub-samples of EEs and AEs respectively</w:t>
      </w:r>
      <w:r w:rsidRPr="00C244B9">
        <w:rPr>
          <w:sz w:val="22"/>
          <w:szCs w:val="22"/>
        </w:rPr>
        <w:t xml:space="preserve">; if for example the prediction in Table 1 is that EEs will be more strongly attracted by an independent variable, then we expect a positive significant difference between the relevant estimated coefficient in the EE and AE sub-samples. Second, using </w:t>
      </w:r>
      <w:r w:rsidR="00370290" w:rsidRPr="00C244B9">
        <w:rPr>
          <w:sz w:val="22"/>
          <w:szCs w:val="22"/>
        </w:rPr>
        <w:t>the whole sample</w:t>
      </w:r>
      <w:r w:rsidRPr="00C244B9">
        <w:rPr>
          <w:sz w:val="22"/>
          <w:szCs w:val="22"/>
        </w:rPr>
        <w:t>, we</w:t>
      </w:r>
      <w:r w:rsidR="00370290" w:rsidRPr="00C244B9">
        <w:rPr>
          <w:sz w:val="22"/>
          <w:szCs w:val="22"/>
        </w:rPr>
        <w:t xml:space="preserve"> </w:t>
      </w:r>
      <w:r w:rsidRPr="00C244B9">
        <w:rPr>
          <w:sz w:val="22"/>
          <w:szCs w:val="22"/>
        </w:rPr>
        <w:t xml:space="preserve">create five interactive variables, one for each of the hypothesis independent variables multiplied by an </w:t>
      </w:r>
      <w:r w:rsidRPr="00C244B9">
        <w:rPr>
          <w:i/>
          <w:sz w:val="22"/>
          <w:szCs w:val="22"/>
        </w:rPr>
        <w:t>EE</w:t>
      </w:r>
      <w:r w:rsidRPr="00C244B9">
        <w:rPr>
          <w:sz w:val="22"/>
          <w:szCs w:val="22"/>
        </w:rPr>
        <w:t xml:space="preserve"> dummy, </w:t>
      </w:r>
      <w:r w:rsidR="002A3711" w:rsidRPr="00C244B9">
        <w:rPr>
          <w:sz w:val="22"/>
          <w:szCs w:val="22"/>
        </w:rPr>
        <w:t>which equals 1 if the firm</w:t>
      </w:r>
      <w:r w:rsidR="00446959" w:rsidRPr="00C244B9">
        <w:rPr>
          <w:sz w:val="22"/>
          <w:szCs w:val="22"/>
        </w:rPr>
        <w:t>’s</w:t>
      </w:r>
      <w:r w:rsidR="002A3711" w:rsidRPr="00C244B9">
        <w:rPr>
          <w:sz w:val="22"/>
          <w:szCs w:val="22"/>
        </w:rPr>
        <w:t xml:space="preserve"> </w:t>
      </w:r>
      <w:r w:rsidR="002143B1" w:rsidRPr="00C244B9">
        <w:rPr>
          <w:sz w:val="22"/>
          <w:szCs w:val="22"/>
        </w:rPr>
        <w:t>ultimate</w:t>
      </w:r>
      <w:r w:rsidR="00446959" w:rsidRPr="00C244B9">
        <w:rPr>
          <w:sz w:val="22"/>
          <w:szCs w:val="22"/>
        </w:rPr>
        <w:t xml:space="preserve"> </w:t>
      </w:r>
      <w:r w:rsidR="00182DA9" w:rsidRPr="00C244B9">
        <w:rPr>
          <w:sz w:val="22"/>
          <w:szCs w:val="22"/>
        </w:rPr>
        <w:t xml:space="preserve">owner </w:t>
      </w:r>
      <w:r w:rsidR="00446959" w:rsidRPr="00C244B9">
        <w:rPr>
          <w:sz w:val="22"/>
          <w:szCs w:val="22"/>
        </w:rPr>
        <w:t>parent</w:t>
      </w:r>
      <w:r w:rsidR="002143B1" w:rsidRPr="00C244B9">
        <w:rPr>
          <w:sz w:val="22"/>
          <w:szCs w:val="22"/>
        </w:rPr>
        <w:t xml:space="preserve"> is </w:t>
      </w:r>
      <w:r w:rsidR="00AC59A5" w:rsidRPr="00C244B9">
        <w:rPr>
          <w:sz w:val="22"/>
          <w:szCs w:val="22"/>
        </w:rPr>
        <w:t>located in</w:t>
      </w:r>
      <w:r w:rsidR="002143B1" w:rsidRPr="00C244B9">
        <w:rPr>
          <w:sz w:val="22"/>
          <w:szCs w:val="22"/>
        </w:rPr>
        <w:t xml:space="preserve"> one of the </w:t>
      </w:r>
      <w:r w:rsidR="00DD4D5F" w:rsidRPr="00C244B9">
        <w:rPr>
          <w:sz w:val="22"/>
          <w:szCs w:val="22"/>
        </w:rPr>
        <w:t>EEs</w:t>
      </w:r>
      <w:r w:rsidR="002143B1" w:rsidRPr="00C244B9">
        <w:rPr>
          <w:sz w:val="22"/>
          <w:szCs w:val="22"/>
        </w:rPr>
        <w:t xml:space="preserve"> listed above</w:t>
      </w:r>
      <w:r w:rsidR="002A3711" w:rsidRPr="00C244B9">
        <w:rPr>
          <w:sz w:val="22"/>
          <w:szCs w:val="22"/>
        </w:rPr>
        <w:t xml:space="preserve">. </w:t>
      </w:r>
      <w:r w:rsidR="00DD77E6" w:rsidRPr="00C244B9">
        <w:rPr>
          <w:sz w:val="22"/>
          <w:szCs w:val="22"/>
        </w:rPr>
        <w:t>A</w:t>
      </w:r>
      <w:r w:rsidRPr="00C244B9">
        <w:rPr>
          <w:sz w:val="22"/>
          <w:szCs w:val="22"/>
        </w:rPr>
        <w:t xml:space="preserve"> prediction that EEs are more deterred than AEs by a host </w:t>
      </w:r>
      <w:r w:rsidRPr="00C244B9">
        <w:rPr>
          <w:sz w:val="22"/>
          <w:szCs w:val="22"/>
        </w:rPr>
        <w:lastRenderedPageBreak/>
        <w:t xml:space="preserve">economy characteristic, </w:t>
      </w:r>
      <w:r w:rsidR="00DD77E6" w:rsidRPr="00C244B9">
        <w:rPr>
          <w:sz w:val="22"/>
          <w:szCs w:val="22"/>
        </w:rPr>
        <w:t xml:space="preserve">would be </w:t>
      </w:r>
      <w:r w:rsidRPr="00C244B9">
        <w:rPr>
          <w:sz w:val="22"/>
          <w:szCs w:val="22"/>
        </w:rPr>
        <w:t>supported if the coefficient on the interactive EE*independent variable term is negative and statistically significant.</w:t>
      </w:r>
    </w:p>
    <w:p w14:paraId="1B20615F" w14:textId="155906E8" w:rsidR="00091B2C" w:rsidRPr="00C244B9" w:rsidRDefault="002237AB" w:rsidP="00091B2C">
      <w:pPr>
        <w:autoSpaceDE w:val="0"/>
        <w:autoSpaceDN w:val="0"/>
        <w:adjustRightInd w:val="0"/>
        <w:spacing w:line="480" w:lineRule="auto"/>
        <w:ind w:firstLine="284"/>
        <w:rPr>
          <w:sz w:val="22"/>
          <w:szCs w:val="22"/>
          <w:lang w:val="en-GB"/>
        </w:rPr>
      </w:pPr>
      <w:r w:rsidRPr="00C244B9">
        <w:rPr>
          <w:sz w:val="22"/>
          <w:szCs w:val="22"/>
          <w:lang w:val="en-GB"/>
        </w:rPr>
        <w:t>To ensure we are not falsely attributing effects to our independent variables caused by other phenomena, w</w:t>
      </w:r>
      <w:r w:rsidR="00593DF0" w:rsidRPr="00C244B9">
        <w:rPr>
          <w:sz w:val="22"/>
          <w:szCs w:val="22"/>
          <w:lang w:val="en-GB"/>
        </w:rPr>
        <w:t>e</w:t>
      </w:r>
      <w:r w:rsidR="006F1D76" w:rsidRPr="00C244B9">
        <w:rPr>
          <w:sz w:val="22"/>
          <w:szCs w:val="22"/>
          <w:lang w:val="en-GB"/>
        </w:rPr>
        <w:t xml:space="preserve"> </w:t>
      </w:r>
      <w:r w:rsidR="00593DF0" w:rsidRPr="00C244B9">
        <w:rPr>
          <w:sz w:val="22"/>
          <w:szCs w:val="22"/>
          <w:lang w:val="en-GB"/>
        </w:rPr>
        <w:t>include</w:t>
      </w:r>
      <w:r w:rsidR="006F1D76" w:rsidRPr="00C244B9">
        <w:rPr>
          <w:sz w:val="22"/>
          <w:szCs w:val="22"/>
          <w:lang w:val="en-GB"/>
        </w:rPr>
        <w:t xml:space="preserve"> a </w:t>
      </w:r>
      <w:r w:rsidRPr="00C244B9">
        <w:rPr>
          <w:sz w:val="22"/>
          <w:szCs w:val="22"/>
          <w:lang w:val="en-GB"/>
        </w:rPr>
        <w:t xml:space="preserve">large </w:t>
      </w:r>
      <w:r w:rsidR="006F1D76" w:rsidRPr="00C244B9">
        <w:rPr>
          <w:sz w:val="22"/>
          <w:szCs w:val="22"/>
          <w:lang w:val="en-GB"/>
        </w:rPr>
        <w:t>number of control variables</w:t>
      </w:r>
      <w:r w:rsidR="009058D9" w:rsidRPr="00C244B9">
        <w:rPr>
          <w:sz w:val="22"/>
          <w:szCs w:val="22"/>
          <w:lang w:val="en-GB"/>
        </w:rPr>
        <w:t xml:space="preserve"> in our regressions</w:t>
      </w:r>
      <w:r w:rsidR="00D11E58">
        <w:rPr>
          <w:sz w:val="22"/>
          <w:szCs w:val="22"/>
          <w:lang w:val="en-GB"/>
        </w:rPr>
        <w:t>.</w:t>
      </w:r>
      <w:r w:rsidR="00267959">
        <w:rPr>
          <w:rStyle w:val="FootnoteReference"/>
          <w:sz w:val="22"/>
          <w:szCs w:val="22"/>
          <w:lang w:val="en-GB"/>
        </w:rPr>
        <w:footnoteReference w:id="10"/>
      </w:r>
      <w:r w:rsidR="00593DF0" w:rsidRPr="00C244B9">
        <w:rPr>
          <w:sz w:val="22"/>
          <w:szCs w:val="22"/>
          <w:lang w:val="en-GB"/>
        </w:rPr>
        <w:t xml:space="preserve"> </w:t>
      </w:r>
      <w:r w:rsidR="00550E5A" w:rsidRPr="00C244B9">
        <w:rPr>
          <w:sz w:val="22"/>
          <w:szCs w:val="22"/>
          <w:lang w:val="en-GB"/>
        </w:rPr>
        <w:t xml:space="preserve"> </w:t>
      </w:r>
      <w:r w:rsidR="001C6218" w:rsidRPr="00C244B9">
        <w:rPr>
          <w:sz w:val="22"/>
          <w:szCs w:val="22"/>
          <w:lang w:val="en-GB"/>
        </w:rPr>
        <w:t>First</w:t>
      </w:r>
      <w:r w:rsidR="0055243B" w:rsidRPr="00C244B9">
        <w:rPr>
          <w:sz w:val="22"/>
          <w:szCs w:val="22"/>
          <w:lang w:val="en-GB"/>
        </w:rPr>
        <w:t>,</w:t>
      </w:r>
      <w:r w:rsidR="00995280" w:rsidRPr="00C244B9">
        <w:rPr>
          <w:sz w:val="22"/>
          <w:szCs w:val="22"/>
          <w:lang w:val="en-GB"/>
        </w:rPr>
        <w:t xml:space="preserve"> we introduce </w:t>
      </w:r>
      <w:r w:rsidR="00091B2C" w:rsidRPr="00C244B9">
        <w:rPr>
          <w:i/>
          <w:sz w:val="22"/>
          <w:szCs w:val="22"/>
          <w:lang w:val="en-GB"/>
        </w:rPr>
        <w:t>GDP growth</w:t>
      </w:r>
      <w:r w:rsidR="00091B2C" w:rsidRPr="00C244B9">
        <w:rPr>
          <w:sz w:val="22"/>
          <w:szCs w:val="22"/>
          <w:lang w:val="en-GB"/>
        </w:rPr>
        <w:t xml:space="preserve"> for the period 2007 to 2010, from the World Development Indicators as </w:t>
      </w:r>
      <w:r w:rsidR="00091B2C" w:rsidRPr="00C244B9">
        <w:rPr>
          <w:bCs/>
          <w:sz w:val="22"/>
          <w:szCs w:val="22"/>
          <w:lang w:val="en-GB"/>
        </w:rPr>
        <w:t>the growth potential of an economy is an important attractor of FDI (Navaretti &amp; Venables, 2006; Bevan &amp; Estrin, 2004)</w:t>
      </w:r>
      <w:r w:rsidR="00091B2C" w:rsidRPr="00C244B9">
        <w:rPr>
          <w:sz w:val="22"/>
          <w:szCs w:val="22"/>
          <w:lang w:val="en-GB"/>
        </w:rPr>
        <w:t xml:space="preserve">. We follow earlier studies such as Fisch and Zschoche (2012) and Holburn and Zelner (2010) who use the multi-year average of GDP growth in each host economy, in our case over the years 2007 to 2010.  </w:t>
      </w:r>
    </w:p>
    <w:p w14:paraId="4928F203" w14:textId="226A9C77" w:rsidR="00DD77E6" w:rsidRPr="00C244B9" w:rsidRDefault="00091B2C" w:rsidP="00C46F54">
      <w:pPr>
        <w:autoSpaceDE w:val="0"/>
        <w:autoSpaceDN w:val="0"/>
        <w:adjustRightInd w:val="0"/>
        <w:spacing w:line="480" w:lineRule="auto"/>
        <w:ind w:firstLine="284"/>
        <w:rPr>
          <w:sz w:val="22"/>
          <w:szCs w:val="22"/>
          <w:lang w:val="en-GB"/>
        </w:rPr>
      </w:pPr>
      <w:r w:rsidRPr="00C244B9">
        <w:rPr>
          <w:sz w:val="22"/>
          <w:szCs w:val="22"/>
          <w:lang w:val="en-GB"/>
        </w:rPr>
        <w:t xml:space="preserve">We also introduce </w:t>
      </w:r>
      <w:r w:rsidR="00995280" w:rsidRPr="00C244B9">
        <w:rPr>
          <w:sz w:val="22"/>
          <w:szCs w:val="22"/>
          <w:lang w:val="en-GB"/>
        </w:rPr>
        <w:t xml:space="preserve">the </w:t>
      </w:r>
      <w:r w:rsidR="00995280" w:rsidRPr="00C244B9">
        <w:rPr>
          <w:i/>
          <w:sz w:val="22"/>
          <w:szCs w:val="22"/>
          <w:lang w:val="en-GB"/>
        </w:rPr>
        <w:t>GDP per capita</w:t>
      </w:r>
      <w:r w:rsidR="00995280" w:rsidRPr="00C244B9">
        <w:rPr>
          <w:sz w:val="22"/>
          <w:szCs w:val="22"/>
          <w:lang w:val="en-GB"/>
        </w:rPr>
        <w:t xml:space="preserve"> of the host economy in 2007 (World Economic Outlook, IMF) to capture levels of development and host economy labor costs; ceteris paribus a given level of labor force skill will be less attractive in countries with higher income per capita.  We capture </w:t>
      </w:r>
      <w:r w:rsidR="00995280" w:rsidRPr="00B979EE">
        <w:rPr>
          <w:i/>
          <w:sz w:val="22"/>
          <w:szCs w:val="22"/>
          <w:lang w:val="en-GB"/>
        </w:rPr>
        <w:t>agglomeration</w:t>
      </w:r>
      <w:r w:rsidR="00995280" w:rsidRPr="00C244B9">
        <w:rPr>
          <w:sz w:val="22"/>
          <w:szCs w:val="22"/>
          <w:lang w:val="en-GB"/>
        </w:rPr>
        <w:t xml:space="preserve"> effects</w:t>
      </w:r>
      <w:r w:rsidR="008859B2" w:rsidRPr="00C244B9">
        <w:rPr>
          <w:sz w:val="22"/>
          <w:szCs w:val="22"/>
          <w:lang w:val="en-GB"/>
        </w:rPr>
        <w:t xml:space="preserve"> (</w:t>
      </w:r>
      <w:r w:rsidR="002E7886" w:rsidRPr="00C244B9">
        <w:rPr>
          <w:sz w:val="22"/>
          <w:szCs w:val="22"/>
          <w:lang w:val="en-GB"/>
        </w:rPr>
        <w:t>Alcacer &amp; Chung, 2014; Tan &amp; Meyer, 2011</w:t>
      </w:r>
      <w:r w:rsidR="008859B2" w:rsidRPr="00C244B9">
        <w:rPr>
          <w:sz w:val="22"/>
          <w:szCs w:val="22"/>
          <w:lang w:val="en-GB"/>
        </w:rPr>
        <w:t>)</w:t>
      </w:r>
      <w:r w:rsidR="00995280" w:rsidRPr="00C244B9">
        <w:rPr>
          <w:sz w:val="22"/>
          <w:szCs w:val="22"/>
          <w:lang w:val="en-GB"/>
        </w:rPr>
        <w:t xml:space="preserve"> by including </w:t>
      </w:r>
      <w:r w:rsidR="00995280" w:rsidRPr="00C244B9">
        <w:rPr>
          <w:sz w:val="22"/>
          <w:szCs w:val="22"/>
        </w:rPr>
        <w:t xml:space="preserve">the bilateral (between the relevant home and host economy) stock of FDI in 2004, in logs to address the non-normality of this distribution. We also control for </w:t>
      </w:r>
      <w:r w:rsidR="00995280" w:rsidRPr="00C244B9">
        <w:rPr>
          <w:i/>
          <w:sz w:val="22"/>
          <w:szCs w:val="22"/>
        </w:rPr>
        <w:t>trade openness</w:t>
      </w:r>
      <w:r w:rsidR="00995280" w:rsidRPr="00C244B9">
        <w:rPr>
          <w:sz w:val="22"/>
          <w:szCs w:val="22"/>
        </w:rPr>
        <w:t xml:space="preserve"> </w:t>
      </w:r>
      <w:r w:rsidR="00A57282" w:rsidRPr="00C244B9">
        <w:rPr>
          <w:sz w:val="22"/>
          <w:szCs w:val="22"/>
        </w:rPr>
        <w:t xml:space="preserve">using </w:t>
      </w:r>
      <w:r w:rsidR="00995280" w:rsidRPr="00C244B9">
        <w:rPr>
          <w:sz w:val="22"/>
          <w:szCs w:val="22"/>
        </w:rPr>
        <w:t xml:space="preserve">trade as </w:t>
      </w:r>
      <w:r w:rsidR="00A57282" w:rsidRPr="00C244B9">
        <w:rPr>
          <w:sz w:val="22"/>
          <w:szCs w:val="22"/>
        </w:rPr>
        <w:t xml:space="preserve">percentage of </w:t>
      </w:r>
      <w:r w:rsidR="00995280" w:rsidRPr="00C244B9">
        <w:rPr>
          <w:sz w:val="22"/>
          <w:szCs w:val="22"/>
        </w:rPr>
        <w:t>GDP</w:t>
      </w:r>
      <w:r w:rsidR="00A57282" w:rsidRPr="00C244B9">
        <w:rPr>
          <w:sz w:val="22"/>
          <w:szCs w:val="22"/>
        </w:rPr>
        <w:t xml:space="preserve"> in</w:t>
      </w:r>
      <w:r w:rsidR="00995280" w:rsidRPr="00C244B9">
        <w:rPr>
          <w:sz w:val="22"/>
          <w:szCs w:val="22"/>
        </w:rPr>
        <w:t xml:space="preserve"> 2007 from World Development Indicators. </w:t>
      </w:r>
      <w:r w:rsidR="00995280" w:rsidRPr="00C244B9">
        <w:rPr>
          <w:sz w:val="22"/>
          <w:szCs w:val="22"/>
          <w:lang w:val="en-GB"/>
        </w:rPr>
        <w:t xml:space="preserve">Furthermore, </w:t>
      </w:r>
      <w:r w:rsidR="0055243B" w:rsidRPr="00C244B9">
        <w:rPr>
          <w:sz w:val="22"/>
          <w:szCs w:val="22"/>
          <w:lang w:val="en-GB"/>
        </w:rPr>
        <w:t xml:space="preserve">as suggested by </w:t>
      </w:r>
      <w:r w:rsidR="002143B1" w:rsidRPr="00C244B9">
        <w:rPr>
          <w:sz w:val="22"/>
          <w:szCs w:val="22"/>
          <w:lang w:val="en-GB"/>
        </w:rPr>
        <w:t xml:space="preserve">the Varieties of Capitalism </w:t>
      </w:r>
      <w:r w:rsidR="00FC5BAB" w:rsidRPr="00C244B9">
        <w:rPr>
          <w:sz w:val="22"/>
          <w:szCs w:val="22"/>
          <w:lang w:val="en-GB"/>
        </w:rPr>
        <w:t xml:space="preserve">(VOC) </w:t>
      </w:r>
      <w:r w:rsidR="002143B1" w:rsidRPr="00C244B9">
        <w:rPr>
          <w:sz w:val="22"/>
          <w:szCs w:val="22"/>
          <w:lang w:val="en-GB"/>
        </w:rPr>
        <w:t>framework (</w:t>
      </w:r>
      <w:r w:rsidR="0055243B" w:rsidRPr="00C244B9">
        <w:rPr>
          <w:sz w:val="22"/>
          <w:szCs w:val="22"/>
          <w:lang w:val="en-GB"/>
        </w:rPr>
        <w:t xml:space="preserve">Hall </w:t>
      </w:r>
      <w:r w:rsidR="006B05DF" w:rsidRPr="00C244B9">
        <w:rPr>
          <w:sz w:val="22"/>
          <w:szCs w:val="22"/>
          <w:lang w:val="en-GB"/>
        </w:rPr>
        <w:t xml:space="preserve">&amp; </w:t>
      </w:r>
      <w:r w:rsidR="0055243B" w:rsidRPr="00C244B9">
        <w:rPr>
          <w:sz w:val="22"/>
          <w:szCs w:val="22"/>
          <w:lang w:val="en-GB"/>
        </w:rPr>
        <w:t>Soskice</w:t>
      </w:r>
      <w:r w:rsidR="002143B1" w:rsidRPr="00C244B9">
        <w:rPr>
          <w:sz w:val="22"/>
          <w:szCs w:val="22"/>
          <w:lang w:val="en-GB"/>
        </w:rPr>
        <w:t>,</w:t>
      </w:r>
      <w:r w:rsidR="006B05DF" w:rsidRPr="00C244B9">
        <w:rPr>
          <w:sz w:val="22"/>
          <w:szCs w:val="22"/>
          <w:lang w:val="en-GB"/>
        </w:rPr>
        <w:t xml:space="preserve"> </w:t>
      </w:r>
      <w:r w:rsidR="0055243B" w:rsidRPr="00C244B9">
        <w:rPr>
          <w:sz w:val="22"/>
          <w:szCs w:val="22"/>
          <w:lang w:val="en-GB"/>
        </w:rPr>
        <w:t xml:space="preserve">2001), the extent of manufacturing activity </w:t>
      </w:r>
      <w:r w:rsidR="002143B1" w:rsidRPr="00C244B9">
        <w:rPr>
          <w:sz w:val="22"/>
          <w:szCs w:val="22"/>
          <w:lang w:val="en-GB"/>
        </w:rPr>
        <w:t xml:space="preserve">may be </w:t>
      </w:r>
      <w:r w:rsidR="0055243B" w:rsidRPr="00C244B9">
        <w:rPr>
          <w:sz w:val="22"/>
          <w:szCs w:val="22"/>
          <w:lang w:val="en-GB"/>
        </w:rPr>
        <w:t xml:space="preserve">an important indicator of the institutional structures and level of </w:t>
      </w:r>
      <w:r w:rsidR="006F1D76" w:rsidRPr="00C244B9">
        <w:rPr>
          <w:sz w:val="22"/>
          <w:szCs w:val="22"/>
          <w:lang w:val="en-GB"/>
        </w:rPr>
        <w:t xml:space="preserve">skill </w:t>
      </w:r>
      <w:r w:rsidR="0055243B" w:rsidRPr="00C244B9">
        <w:rPr>
          <w:sz w:val="22"/>
          <w:szCs w:val="22"/>
          <w:lang w:val="en-GB"/>
        </w:rPr>
        <w:t xml:space="preserve">development amongst AEs. Hence we control for the </w:t>
      </w:r>
      <w:r w:rsidR="002143B1" w:rsidRPr="00C244B9">
        <w:rPr>
          <w:sz w:val="22"/>
          <w:szCs w:val="22"/>
          <w:lang w:val="en-GB"/>
        </w:rPr>
        <w:t xml:space="preserve">extent of </w:t>
      </w:r>
      <w:r w:rsidR="009B2C1A" w:rsidRPr="00B979EE">
        <w:rPr>
          <w:i/>
          <w:sz w:val="22"/>
          <w:szCs w:val="22"/>
          <w:lang w:val="en-GB"/>
        </w:rPr>
        <w:t>manufacturing</w:t>
      </w:r>
      <w:r w:rsidR="002143B1" w:rsidRPr="00C244B9">
        <w:rPr>
          <w:sz w:val="22"/>
          <w:szCs w:val="22"/>
          <w:lang w:val="en-GB"/>
        </w:rPr>
        <w:t xml:space="preserve"> </w:t>
      </w:r>
      <w:r w:rsidR="00585110" w:rsidRPr="00C244B9">
        <w:rPr>
          <w:sz w:val="22"/>
          <w:szCs w:val="22"/>
          <w:lang w:val="en-GB"/>
        </w:rPr>
        <w:t>activity in</w:t>
      </w:r>
      <w:r w:rsidR="0055243B" w:rsidRPr="00C244B9">
        <w:rPr>
          <w:sz w:val="22"/>
          <w:szCs w:val="22"/>
          <w:lang w:val="en-GB"/>
        </w:rPr>
        <w:t xml:space="preserve"> </w:t>
      </w:r>
      <w:r w:rsidR="002143B1" w:rsidRPr="00C244B9">
        <w:rPr>
          <w:sz w:val="22"/>
          <w:szCs w:val="22"/>
          <w:lang w:val="en-GB"/>
        </w:rPr>
        <w:t xml:space="preserve">the </w:t>
      </w:r>
      <w:r w:rsidR="0055243B" w:rsidRPr="00C244B9">
        <w:rPr>
          <w:sz w:val="22"/>
          <w:szCs w:val="22"/>
          <w:lang w:val="en-GB"/>
        </w:rPr>
        <w:t>host economy</w:t>
      </w:r>
      <w:r w:rsidR="009B2C1A" w:rsidRPr="00C244B9">
        <w:rPr>
          <w:i/>
          <w:sz w:val="22"/>
          <w:szCs w:val="22"/>
          <w:lang w:val="en-GB"/>
        </w:rPr>
        <w:t xml:space="preserve">, </w:t>
      </w:r>
      <w:r w:rsidR="0055243B" w:rsidRPr="00C244B9">
        <w:rPr>
          <w:sz w:val="22"/>
          <w:szCs w:val="22"/>
          <w:lang w:val="en-GB"/>
        </w:rPr>
        <w:t xml:space="preserve">measured as the share </w:t>
      </w:r>
      <w:r w:rsidR="00E64112" w:rsidRPr="00C244B9">
        <w:rPr>
          <w:sz w:val="22"/>
          <w:szCs w:val="22"/>
          <w:lang w:val="en-GB"/>
        </w:rPr>
        <w:t xml:space="preserve">of </w:t>
      </w:r>
      <w:r w:rsidR="009B2C1A" w:rsidRPr="00C244B9">
        <w:rPr>
          <w:sz w:val="22"/>
          <w:szCs w:val="22"/>
          <w:lang w:val="en-GB"/>
        </w:rPr>
        <w:t xml:space="preserve">manufacturing </w:t>
      </w:r>
      <w:r w:rsidR="0055243B" w:rsidRPr="00C244B9">
        <w:rPr>
          <w:sz w:val="22"/>
          <w:szCs w:val="22"/>
          <w:lang w:val="en-GB"/>
        </w:rPr>
        <w:t>output in GDP</w:t>
      </w:r>
      <w:r w:rsidR="002143B1" w:rsidRPr="00C244B9">
        <w:rPr>
          <w:sz w:val="22"/>
          <w:szCs w:val="22"/>
          <w:lang w:val="en-GB"/>
        </w:rPr>
        <w:t xml:space="preserve"> and</w:t>
      </w:r>
      <w:r w:rsidR="0055243B" w:rsidRPr="00C244B9">
        <w:rPr>
          <w:sz w:val="22"/>
          <w:szCs w:val="22"/>
          <w:lang w:val="en-GB"/>
        </w:rPr>
        <w:t xml:space="preserve"> derived from the IMF World Economic Outlook.</w:t>
      </w:r>
      <w:r w:rsidR="001C6218" w:rsidRPr="00C244B9">
        <w:rPr>
          <w:sz w:val="22"/>
          <w:szCs w:val="22"/>
          <w:lang w:val="en-GB"/>
        </w:rPr>
        <w:t xml:space="preserve"> </w:t>
      </w:r>
      <w:r w:rsidR="00B94CFB">
        <w:rPr>
          <w:sz w:val="22"/>
          <w:szCs w:val="22"/>
          <w:lang w:val="en-GB"/>
        </w:rPr>
        <w:t>Given the importance of language patterns in shaping trade and investment (</w:t>
      </w:r>
      <w:r w:rsidR="004D32CC" w:rsidRPr="00C244B9">
        <w:rPr>
          <w:sz w:val="22"/>
          <w:szCs w:val="22"/>
          <w:lang w:val="en-GB"/>
        </w:rPr>
        <w:t xml:space="preserve">Clougherty </w:t>
      </w:r>
      <w:r w:rsidR="00B94CFB">
        <w:rPr>
          <w:sz w:val="22"/>
          <w:szCs w:val="22"/>
          <w:lang w:val="en-GB"/>
        </w:rPr>
        <w:t>&amp;</w:t>
      </w:r>
      <w:r w:rsidR="00B94CFB" w:rsidRPr="00C244B9">
        <w:rPr>
          <w:sz w:val="22"/>
          <w:szCs w:val="22"/>
          <w:lang w:val="en-GB"/>
        </w:rPr>
        <w:t xml:space="preserve"> </w:t>
      </w:r>
      <w:r w:rsidR="004D32CC" w:rsidRPr="00C244B9">
        <w:rPr>
          <w:sz w:val="22"/>
          <w:szCs w:val="22"/>
          <w:lang w:val="en-GB"/>
        </w:rPr>
        <w:t>Grajek</w:t>
      </w:r>
      <w:r w:rsidR="00B94CFB">
        <w:rPr>
          <w:sz w:val="22"/>
          <w:szCs w:val="22"/>
          <w:lang w:val="en-GB"/>
        </w:rPr>
        <w:t xml:space="preserve">, </w:t>
      </w:r>
      <w:r w:rsidR="004D32CC" w:rsidRPr="00C244B9">
        <w:rPr>
          <w:sz w:val="22"/>
          <w:szCs w:val="22"/>
          <w:lang w:val="en-GB"/>
        </w:rPr>
        <w:t>2008</w:t>
      </w:r>
      <w:r w:rsidR="00B94CFB">
        <w:rPr>
          <w:sz w:val="22"/>
          <w:szCs w:val="22"/>
          <w:lang w:val="en-GB"/>
        </w:rPr>
        <w:t xml:space="preserve">; </w:t>
      </w:r>
      <w:r w:rsidR="00B94CFB" w:rsidRPr="00B94CFB">
        <w:rPr>
          <w:sz w:val="22"/>
          <w:szCs w:val="22"/>
          <w:lang w:val="en-GB"/>
        </w:rPr>
        <w:t>Selmier</w:t>
      </w:r>
      <w:r w:rsidR="00B94CFB">
        <w:rPr>
          <w:sz w:val="22"/>
          <w:szCs w:val="22"/>
          <w:lang w:val="en-GB"/>
        </w:rPr>
        <w:t xml:space="preserve"> &amp; </w:t>
      </w:r>
      <w:r w:rsidR="00B94CFB" w:rsidRPr="00B94CFB">
        <w:rPr>
          <w:sz w:val="22"/>
          <w:szCs w:val="22"/>
          <w:lang w:val="en-GB"/>
        </w:rPr>
        <w:t>Oh, 2013</w:t>
      </w:r>
      <w:r w:rsidR="004D32CC" w:rsidRPr="00C244B9">
        <w:rPr>
          <w:sz w:val="22"/>
          <w:szCs w:val="22"/>
          <w:lang w:val="en-GB"/>
        </w:rPr>
        <w:t xml:space="preserve">), we control for </w:t>
      </w:r>
      <w:r w:rsidR="004D32CC" w:rsidRPr="00C244B9">
        <w:rPr>
          <w:i/>
          <w:sz w:val="22"/>
          <w:szCs w:val="22"/>
          <w:lang w:val="en-GB"/>
        </w:rPr>
        <w:t xml:space="preserve">common </w:t>
      </w:r>
      <w:r w:rsidR="004D32CC" w:rsidRPr="00C244B9">
        <w:rPr>
          <w:i/>
          <w:sz w:val="22"/>
          <w:szCs w:val="22"/>
          <w:lang w:val="en-GB"/>
        </w:rPr>
        <w:lastRenderedPageBreak/>
        <w:t xml:space="preserve">language, </w:t>
      </w:r>
      <w:r w:rsidR="004D32CC" w:rsidRPr="00C244B9">
        <w:rPr>
          <w:sz w:val="22"/>
          <w:szCs w:val="22"/>
          <w:lang w:val="en-GB"/>
        </w:rPr>
        <w:t xml:space="preserve">a dummy variable which takes the value of 1 if home and host countries have the same official language and 0 otherwise, </w:t>
      </w:r>
      <w:r w:rsidR="00DD77E6" w:rsidRPr="00C244B9">
        <w:rPr>
          <w:sz w:val="22"/>
          <w:szCs w:val="22"/>
          <w:lang w:val="en-GB"/>
        </w:rPr>
        <w:t xml:space="preserve">using </w:t>
      </w:r>
      <w:r w:rsidR="004D32CC" w:rsidRPr="00C244B9">
        <w:rPr>
          <w:sz w:val="22"/>
          <w:szCs w:val="22"/>
          <w:lang w:val="en-GB"/>
        </w:rPr>
        <w:t xml:space="preserve">data from CEPII. </w:t>
      </w:r>
      <w:r w:rsidR="007D6DE6" w:rsidRPr="00C244B9">
        <w:rPr>
          <w:sz w:val="22"/>
          <w:szCs w:val="22"/>
          <w:lang w:val="en-GB"/>
        </w:rPr>
        <w:t xml:space="preserve"> </w:t>
      </w:r>
    </w:p>
    <w:p w14:paraId="42EECAE3" w14:textId="58B33D7B" w:rsidR="00D11FB6" w:rsidRPr="00C244B9" w:rsidRDefault="00A15EBD" w:rsidP="00032263">
      <w:pPr>
        <w:autoSpaceDE w:val="0"/>
        <w:autoSpaceDN w:val="0"/>
        <w:adjustRightInd w:val="0"/>
        <w:spacing w:line="480" w:lineRule="auto"/>
        <w:ind w:firstLine="284"/>
        <w:rPr>
          <w:sz w:val="22"/>
          <w:szCs w:val="22"/>
          <w:lang w:val="en-GB"/>
        </w:rPr>
      </w:pPr>
      <w:r w:rsidRPr="00C244B9">
        <w:rPr>
          <w:sz w:val="22"/>
          <w:szCs w:val="22"/>
          <w:lang w:val="en-GB"/>
        </w:rPr>
        <w:t>We cluster the standard errors at the firm (subsidiary</w:t>
      </w:r>
      <w:r w:rsidR="00585110" w:rsidRPr="00C244B9">
        <w:rPr>
          <w:sz w:val="22"/>
          <w:szCs w:val="22"/>
          <w:lang w:val="en-GB"/>
        </w:rPr>
        <w:t>)</w:t>
      </w:r>
      <w:r w:rsidRPr="00C244B9">
        <w:rPr>
          <w:sz w:val="22"/>
          <w:szCs w:val="22"/>
          <w:lang w:val="en-GB"/>
        </w:rPr>
        <w:t xml:space="preserve"> level</w:t>
      </w:r>
      <w:r w:rsidR="000C2DDA" w:rsidRPr="00C244B9">
        <w:rPr>
          <w:sz w:val="22"/>
          <w:szCs w:val="22"/>
          <w:lang w:val="en-GB"/>
        </w:rPr>
        <w:t xml:space="preserve"> to correct for the presence of within cluster correlation. </w:t>
      </w:r>
      <w:r w:rsidR="00D11FB6" w:rsidRPr="00C244B9">
        <w:rPr>
          <w:sz w:val="22"/>
          <w:szCs w:val="22"/>
          <w:lang w:val="en-GB"/>
        </w:rPr>
        <w:t>The descriptive statistics</w:t>
      </w:r>
      <w:r w:rsidR="00AB660D" w:rsidRPr="00C244B9">
        <w:rPr>
          <w:sz w:val="22"/>
          <w:szCs w:val="22"/>
          <w:lang w:val="en-GB"/>
        </w:rPr>
        <w:t xml:space="preserve"> of the independent variables </w:t>
      </w:r>
      <w:r w:rsidR="00D11FB6" w:rsidRPr="00C244B9">
        <w:rPr>
          <w:sz w:val="22"/>
          <w:szCs w:val="22"/>
          <w:lang w:val="en-GB"/>
        </w:rPr>
        <w:t>for the</w:t>
      </w:r>
      <w:r w:rsidR="00A950A4" w:rsidRPr="00C244B9">
        <w:rPr>
          <w:sz w:val="22"/>
          <w:szCs w:val="22"/>
          <w:lang w:val="en-GB"/>
        </w:rPr>
        <w:t xml:space="preserve"> sample of host</w:t>
      </w:r>
      <w:r w:rsidR="00D11FB6" w:rsidRPr="00C244B9">
        <w:rPr>
          <w:sz w:val="22"/>
          <w:szCs w:val="22"/>
          <w:lang w:val="en-GB"/>
        </w:rPr>
        <w:t xml:space="preserve"> economies are reported in Table </w:t>
      </w:r>
      <w:r w:rsidR="00FC5BAB" w:rsidRPr="00C244B9">
        <w:rPr>
          <w:sz w:val="22"/>
          <w:szCs w:val="22"/>
          <w:lang w:val="en-GB"/>
        </w:rPr>
        <w:t>3</w:t>
      </w:r>
      <w:r w:rsidR="001B438A">
        <w:rPr>
          <w:sz w:val="22"/>
          <w:szCs w:val="22"/>
          <w:lang w:val="en-GB"/>
        </w:rPr>
        <w:t>.</w:t>
      </w:r>
    </w:p>
    <w:p w14:paraId="5DEA2BEC" w14:textId="1FB10E80" w:rsidR="00E02C07" w:rsidRPr="00C244B9" w:rsidRDefault="00550E5A" w:rsidP="0018025D">
      <w:pPr>
        <w:spacing w:line="480" w:lineRule="auto"/>
        <w:jc w:val="center"/>
        <w:rPr>
          <w:i/>
          <w:color w:val="000000"/>
          <w:sz w:val="22"/>
          <w:szCs w:val="22"/>
        </w:rPr>
      </w:pPr>
      <w:r w:rsidRPr="00C244B9">
        <w:rPr>
          <w:i/>
          <w:color w:val="000000"/>
          <w:sz w:val="22"/>
          <w:szCs w:val="22"/>
        </w:rPr>
        <w:t xml:space="preserve"> Table </w:t>
      </w:r>
      <w:r w:rsidR="00FC5BAB" w:rsidRPr="00C244B9">
        <w:rPr>
          <w:i/>
          <w:color w:val="000000"/>
          <w:sz w:val="22"/>
          <w:szCs w:val="22"/>
        </w:rPr>
        <w:t>3</w:t>
      </w:r>
      <w:r w:rsidR="004D32CC" w:rsidRPr="00C244B9">
        <w:rPr>
          <w:i/>
          <w:color w:val="000000"/>
          <w:sz w:val="22"/>
          <w:szCs w:val="22"/>
        </w:rPr>
        <w:t xml:space="preserve"> </w:t>
      </w:r>
      <w:r w:rsidRPr="00C244B9">
        <w:rPr>
          <w:i/>
          <w:color w:val="000000"/>
          <w:sz w:val="22"/>
          <w:szCs w:val="22"/>
        </w:rPr>
        <w:t xml:space="preserve">about here </w:t>
      </w:r>
    </w:p>
    <w:p w14:paraId="7BA3E52E" w14:textId="66861126" w:rsidR="002C2B93" w:rsidRPr="00C244B9" w:rsidRDefault="00DD77E6" w:rsidP="009D4DBC">
      <w:pPr>
        <w:spacing w:line="480" w:lineRule="auto"/>
        <w:ind w:firstLine="284"/>
        <w:rPr>
          <w:sz w:val="22"/>
          <w:szCs w:val="22"/>
          <w:lang w:val="en-GB"/>
        </w:rPr>
      </w:pPr>
      <w:r w:rsidRPr="00C244B9">
        <w:rPr>
          <w:sz w:val="22"/>
          <w:szCs w:val="22"/>
          <w:lang w:val="en-GB"/>
        </w:rPr>
        <w:t>T</w:t>
      </w:r>
      <w:r w:rsidR="00D11FB6" w:rsidRPr="00C244B9">
        <w:rPr>
          <w:sz w:val="22"/>
          <w:szCs w:val="22"/>
          <w:lang w:val="en-GB"/>
        </w:rPr>
        <w:t>he correlation matrix for the independent variable</w:t>
      </w:r>
      <w:r w:rsidR="007A76CD" w:rsidRPr="00C244B9">
        <w:rPr>
          <w:sz w:val="22"/>
          <w:szCs w:val="22"/>
          <w:lang w:val="en-GB"/>
        </w:rPr>
        <w:t>s</w:t>
      </w:r>
      <w:r w:rsidR="00177830" w:rsidRPr="00C244B9">
        <w:rPr>
          <w:sz w:val="22"/>
          <w:szCs w:val="22"/>
          <w:lang w:val="en-GB"/>
        </w:rPr>
        <w:t xml:space="preserve"> on the full sample</w:t>
      </w:r>
      <w:r w:rsidRPr="00C244B9">
        <w:rPr>
          <w:sz w:val="22"/>
          <w:szCs w:val="22"/>
          <w:lang w:val="en-GB"/>
        </w:rPr>
        <w:t xml:space="preserve"> </w:t>
      </w:r>
      <w:r w:rsidR="00585110" w:rsidRPr="00C244B9">
        <w:rPr>
          <w:sz w:val="22"/>
          <w:szCs w:val="22"/>
          <w:lang w:val="en-GB"/>
        </w:rPr>
        <w:t>allows us to consider potential collinearit</w:t>
      </w:r>
      <w:r w:rsidRPr="00C244B9">
        <w:rPr>
          <w:sz w:val="22"/>
          <w:szCs w:val="22"/>
          <w:lang w:val="en-GB"/>
        </w:rPr>
        <w:t>ies (Table 4)</w:t>
      </w:r>
      <w:r w:rsidR="00585110" w:rsidRPr="00C244B9">
        <w:rPr>
          <w:sz w:val="22"/>
          <w:szCs w:val="22"/>
          <w:lang w:val="en-GB"/>
        </w:rPr>
        <w:t xml:space="preserve">. </w:t>
      </w:r>
      <w:r w:rsidR="00A950A4" w:rsidRPr="00C244B9">
        <w:rPr>
          <w:sz w:val="22"/>
          <w:szCs w:val="22"/>
          <w:lang w:val="en-GB"/>
        </w:rPr>
        <w:t>For the most part, the correlation coeff</w:t>
      </w:r>
      <w:r w:rsidR="005B6F1D" w:rsidRPr="00C244B9">
        <w:rPr>
          <w:sz w:val="22"/>
          <w:szCs w:val="22"/>
          <w:lang w:val="en-GB"/>
        </w:rPr>
        <w:t xml:space="preserve">icients are low, less than 0.3, </w:t>
      </w:r>
      <w:r w:rsidR="009D4DBC" w:rsidRPr="00C244B9">
        <w:rPr>
          <w:sz w:val="22"/>
          <w:szCs w:val="22"/>
          <w:lang w:val="en-GB"/>
        </w:rPr>
        <w:t>which indicate that there is no serious multicollinearity issue in our estimating sample.</w:t>
      </w:r>
      <w:r w:rsidR="009D4DBC" w:rsidRPr="00C244B9">
        <w:rPr>
          <w:rStyle w:val="FootnoteReference"/>
          <w:sz w:val="22"/>
          <w:szCs w:val="22"/>
          <w:lang w:val="en-GB"/>
        </w:rPr>
        <w:footnoteReference w:id="11"/>
      </w:r>
      <w:r w:rsidR="0062570E" w:rsidRPr="00C244B9">
        <w:rPr>
          <w:sz w:val="22"/>
          <w:szCs w:val="22"/>
          <w:lang w:val="en-GB"/>
        </w:rPr>
        <w:t xml:space="preserve"> </w:t>
      </w:r>
    </w:p>
    <w:p w14:paraId="599C1DDB" w14:textId="5F08CD6D" w:rsidR="002C2B93" w:rsidRPr="00C244B9" w:rsidRDefault="002C2B93" w:rsidP="0018025D">
      <w:pPr>
        <w:spacing w:line="480" w:lineRule="auto"/>
        <w:jc w:val="center"/>
        <w:rPr>
          <w:sz w:val="22"/>
          <w:szCs w:val="22"/>
          <w:lang w:val="en-GB"/>
        </w:rPr>
      </w:pPr>
      <w:r w:rsidRPr="00C244B9">
        <w:rPr>
          <w:i/>
          <w:sz w:val="22"/>
          <w:szCs w:val="22"/>
        </w:rPr>
        <w:t xml:space="preserve"> Table 4 about here  </w:t>
      </w:r>
    </w:p>
    <w:p w14:paraId="02503BE3" w14:textId="6FBDA79C" w:rsidR="00D11FB6" w:rsidRPr="00C244B9" w:rsidRDefault="000B54A6" w:rsidP="00032263">
      <w:pPr>
        <w:tabs>
          <w:tab w:val="center" w:pos="4063"/>
          <w:tab w:val="left" w:pos="5340"/>
        </w:tabs>
        <w:spacing w:line="480" w:lineRule="auto"/>
        <w:rPr>
          <w:b/>
          <w:bCs/>
          <w:sz w:val="22"/>
          <w:szCs w:val="22"/>
          <w:lang w:val="en-GB"/>
        </w:rPr>
      </w:pPr>
      <w:r w:rsidRPr="00C244B9">
        <w:rPr>
          <w:b/>
          <w:bCs/>
          <w:sz w:val="22"/>
          <w:szCs w:val="22"/>
          <w:lang w:val="en-GB"/>
        </w:rPr>
        <w:tab/>
      </w:r>
      <w:r w:rsidR="00D11FB6" w:rsidRPr="00C244B9">
        <w:rPr>
          <w:b/>
          <w:bCs/>
          <w:sz w:val="22"/>
          <w:szCs w:val="22"/>
          <w:lang w:val="en-GB"/>
        </w:rPr>
        <w:t>R</w:t>
      </w:r>
      <w:r w:rsidR="00D11E58">
        <w:rPr>
          <w:b/>
          <w:bCs/>
          <w:sz w:val="22"/>
          <w:szCs w:val="22"/>
          <w:lang w:val="en-GB"/>
        </w:rPr>
        <w:t>esults</w:t>
      </w:r>
      <w:r w:rsidRPr="00C244B9">
        <w:rPr>
          <w:b/>
          <w:bCs/>
          <w:sz w:val="22"/>
          <w:szCs w:val="22"/>
          <w:lang w:val="en-GB"/>
        </w:rPr>
        <w:tab/>
      </w:r>
    </w:p>
    <w:p w14:paraId="79B8D60D" w14:textId="478A8C2E" w:rsidR="005C270A" w:rsidRPr="00C244B9" w:rsidRDefault="00324CD3">
      <w:pPr>
        <w:spacing w:line="480" w:lineRule="auto"/>
        <w:rPr>
          <w:b/>
          <w:sz w:val="22"/>
          <w:szCs w:val="22"/>
          <w:lang w:val="en-GB"/>
        </w:rPr>
      </w:pPr>
      <w:r w:rsidRPr="00C244B9">
        <w:rPr>
          <w:sz w:val="22"/>
          <w:szCs w:val="22"/>
          <w:lang w:val="en-GB"/>
        </w:rPr>
        <w:t xml:space="preserve">We report our </w:t>
      </w:r>
      <w:r w:rsidR="00E8540E" w:rsidRPr="00C244B9">
        <w:rPr>
          <w:sz w:val="22"/>
          <w:szCs w:val="22"/>
          <w:lang w:val="en-GB"/>
        </w:rPr>
        <w:t xml:space="preserve">main </w:t>
      </w:r>
      <w:r w:rsidRPr="00C244B9">
        <w:rPr>
          <w:sz w:val="22"/>
          <w:szCs w:val="22"/>
          <w:lang w:val="en-GB"/>
        </w:rPr>
        <w:t>results in Table 5</w:t>
      </w:r>
      <w:r w:rsidR="006A5A24" w:rsidRPr="00C244B9">
        <w:rPr>
          <w:sz w:val="22"/>
          <w:szCs w:val="22"/>
          <w:lang w:val="en-GB"/>
        </w:rPr>
        <w:t xml:space="preserve">, with </w:t>
      </w:r>
      <w:r w:rsidR="00D06B69" w:rsidRPr="00C244B9">
        <w:rPr>
          <w:sz w:val="22"/>
          <w:szCs w:val="22"/>
          <w:lang w:val="en-GB"/>
        </w:rPr>
        <w:t xml:space="preserve">coefficient </w:t>
      </w:r>
      <w:r w:rsidR="006A5A24" w:rsidRPr="00C244B9">
        <w:rPr>
          <w:sz w:val="22"/>
          <w:szCs w:val="22"/>
          <w:lang w:val="en-GB"/>
        </w:rPr>
        <w:t>estimat</w:t>
      </w:r>
      <w:r w:rsidR="00D06B69" w:rsidRPr="00C244B9">
        <w:rPr>
          <w:sz w:val="22"/>
          <w:szCs w:val="22"/>
          <w:lang w:val="en-GB"/>
        </w:rPr>
        <w:t>es</w:t>
      </w:r>
      <w:r w:rsidR="006A5A24" w:rsidRPr="00C244B9">
        <w:rPr>
          <w:sz w:val="22"/>
          <w:szCs w:val="22"/>
          <w:lang w:val="en-GB"/>
        </w:rPr>
        <w:t xml:space="preserve"> of </w:t>
      </w:r>
      <w:r w:rsidR="00585110" w:rsidRPr="00C244B9">
        <w:rPr>
          <w:sz w:val="22"/>
          <w:szCs w:val="22"/>
          <w:lang w:val="en-GB"/>
        </w:rPr>
        <w:t>the</w:t>
      </w:r>
      <w:r w:rsidR="006A5A24" w:rsidRPr="00C244B9">
        <w:rPr>
          <w:sz w:val="22"/>
          <w:szCs w:val="22"/>
          <w:lang w:val="en-GB"/>
        </w:rPr>
        <w:t xml:space="preserve"> </w:t>
      </w:r>
      <w:r w:rsidR="006B05DF" w:rsidRPr="00C244B9">
        <w:rPr>
          <w:sz w:val="22"/>
          <w:szCs w:val="22"/>
          <w:lang w:val="en-GB"/>
        </w:rPr>
        <w:t>C-</w:t>
      </w:r>
      <w:r w:rsidR="00A57282" w:rsidRPr="00C244B9">
        <w:rPr>
          <w:sz w:val="22"/>
          <w:szCs w:val="22"/>
          <w:lang w:val="en-GB"/>
        </w:rPr>
        <w:t>L</w:t>
      </w:r>
      <w:r w:rsidR="006A5A24" w:rsidRPr="00C244B9">
        <w:rPr>
          <w:sz w:val="22"/>
          <w:szCs w:val="22"/>
          <w:lang w:val="en-GB"/>
        </w:rPr>
        <w:t>ogi</w:t>
      </w:r>
      <w:r w:rsidR="00E8540E" w:rsidRPr="00C244B9">
        <w:rPr>
          <w:sz w:val="22"/>
          <w:szCs w:val="22"/>
          <w:lang w:val="en-GB"/>
        </w:rPr>
        <w:t xml:space="preserve">t </w:t>
      </w:r>
      <w:r w:rsidR="00585110" w:rsidRPr="00C244B9">
        <w:rPr>
          <w:sz w:val="22"/>
          <w:szCs w:val="22"/>
          <w:lang w:val="en-GB"/>
        </w:rPr>
        <w:t>model</w:t>
      </w:r>
      <w:r w:rsidR="00AB660D" w:rsidRPr="00C244B9">
        <w:rPr>
          <w:sz w:val="22"/>
          <w:szCs w:val="22"/>
          <w:lang w:val="en-GB"/>
        </w:rPr>
        <w:t xml:space="preserve">. We report the results of estimating our model for the EE and AE sub-samples respectively in the first two columns, </w:t>
      </w:r>
      <w:r w:rsidR="00CB5616" w:rsidRPr="00C244B9">
        <w:rPr>
          <w:sz w:val="22"/>
          <w:szCs w:val="22"/>
          <w:lang w:val="en-GB"/>
        </w:rPr>
        <w:t xml:space="preserve">along </w:t>
      </w:r>
      <w:r w:rsidR="00AB660D" w:rsidRPr="00C244B9">
        <w:rPr>
          <w:sz w:val="22"/>
          <w:szCs w:val="22"/>
          <w:lang w:val="en-GB"/>
        </w:rPr>
        <w:t xml:space="preserve">with the </w:t>
      </w:r>
      <w:r w:rsidR="00184B82">
        <w:rPr>
          <w:sz w:val="22"/>
          <w:szCs w:val="22"/>
          <w:lang w:val="en-GB"/>
        </w:rPr>
        <w:t>χ²-</w:t>
      </w:r>
      <w:r w:rsidR="00AB660D" w:rsidRPr="00C244B9">
        <w:rPr>
          <w:sz w:val="22"/>
          <w:szCs w:val="22"/>
          <w:lang w:val="en-GB"/>
        </w:rPr>
        <w:t xml:space="preserve">test of whether the coefficients </w:t>
      </w:r>
      <w:r w:rsidR="00CB5616" w:rsidRPr="00C244B9">
        <w:rPr>
          <w:sz w:val="22"/>
          <w:szCs w:val="22"/>
          <w:lang w:val="en-GB"/>
        </w:rPr>
        <w:t xml:space="preserve">of the hypothesized variables are significantly different. The final column reports the hypothesis test based on the full sample, with an interaction term between an emerging economy (EE) dummy and each of the hypothesized variables.  </w:t>
      </w:r>
    </w:p>
    <w:p w14:paraId="09878DED" w14:textId="2930A2CB" w:rsidR="00E30FF7" w:rsidRPr="00C244B9" w:rsidRDefault="00CB5616" w:rsidP="00E30FF7">
      <w:pPr>
        <w:spacing w:line="480" w:lineRule="auto"/>
        <w:ind w:firstLine="284"/>
        <w:rPr>
          <w:sz w:val="22"/>
          <w:szCs w:val="22"/>
          <w:lang w:val="en-GB"/>
        </w:rPr>
      </w:pPr>
      <w:r w:rsidRPr="00C244B9">
        <w:rPr>
          <w:sz w:val="22"/>
          <w:szCs w:val="22"/>
          <w:lang w:val="en-GB"/>
        </w:rPr>
        <w:t xml:space="preserve">Hypothesis 1 concerns the impact on inward investment of protection of intellectual property rights. As expected, we find in columns (1), (2) and (3) that stronger IPR protection increases the choice of a particular location by all MNEs. </w:t>
      </w:r>
      <w:r w:rsidR="002B1F05" w:rsidRPr="00C244B9">
        <w:rPr>
          <w:sz w:val="22"/>
          <w:szCs w:val="22"/>
          <w:lang w:val="en-GB"/>
        </w:rPr>
        <w:t>We are also able</w:t>
      </w:r>
      <w:r w:rsidRPr="00C244B9">
        <w:rPr>
          <w:sz w:val="22"/>
          <w:szCs w:val="22"/>
          <w:lang w:val="en-GB"/>
        </w:rPr>
        <w:t xml:space="preserve"> to confirm that the positive effects of stronger IPR are more marked on the location choice of firms from EE than AE. If we look at the AE as against the EE sub-samples in columns (1) against (2)</w:t>
      </w:r>
      <w:r w:rsidR="00A564C7" w:rsidRPr="00C244B9">
        <w:rPr>
          <w:sz w:val="22"/>
          <w:szCs w:val="22"/>
          <w:lang w:val="en-GB"/>
        </w:rPr>
        <w:t>, the</w:t>
      </w:r>
      <w:r w:rsidRPr="00C244B9">
        <w:rPr>
          <w:sz w:val="22"/>
          <w:szCs w:val="22"/>
          <w:lang w:val="en-GB"/>
        </w:rPr>
        <w:t xml:space="preserve"> coef</w:t>
      </w:r>
      <w:r w:rsidR="003F239C" w:rsidRPr="00C244B9">
        <w:rPr>
          <w:sz w:val="22"/>
          <w:szCs w:val="22"/>
          <w:lang w:val="en-GB"/>
        </w:rPr>
        <w:t>ficients are very similar (0.004 for EE compared with 0.008</w:t>
      </w:r>
      <w:r w:rsidRPr="00C244B9">
        <w:rPr>
          <w:sz w:val="22"/>
          <w:szCs w:val="22"/>
          <w:lang w:val="en-GB"/>
        </w:rPr>
        <w:t xml:space="preserve"> for AE) but </w:t>
      </w:r>
      <w:r w:rsidRPr="00C244B9">
        <w:rPr>
          <w:sz w:val="22"/>
          <w:szCs w:val="22"/>
          <w:lang w:val="en-GB"/>
        </w:rPr>
        <w:lastRenderedPageBreak/>
        <w:t>both are strongly significant</w:t>
      </w:r>
      <w:r w:rsidR="00463DD3" w:rsidRPr="00C244B9">
        <w:rPr>
          <w:sz w:val="22"/>
          <w:szCs w:val="22"/>
          <w:lang w:val="en-GB"/>
        </w:rPr>
        <w:t xml:space="preserve"> (with p-values </w:t>
      </w:r>
      <w:r w:rsidR="009C2120" w:rsidRPr="00C244B9">
        <w:rPr>
          <w:sz w:val="22"/>
          <w:szCs w:val="22"/>
          <w:lang w:val="en-GB"/>
        </w:rPr>
        <w:t>of 0.000)</w:t>
      </w:r>
      <w:r w:rsidRPr="00C244B9">
        <w:rPr>
          <w:sz w:val="22"/>
          <w:szCs w:val="22"/>
          <w:lang w:val="en-GB"/>
        </w:rPr>
        <w:t xml:space="preserve"> and in fact the </w:t>
      </w:r>
      <w:r w:rsidR="00184B82">
        <w:rPr>
          <w:sz w:val="22"/>
          <w:szCs w:val="22"/>
          <w:lang w:val="en-GB"/>
        </w:rPr>
        <w:t>χ²-</w:t>
      </w:r>
      <w:r w:rsidRPr="00C244B9">
        <w:rPr>
          <w:sz w:val="22"/>
          <w:szCs w:val="22"/>
          <w:lang w:val="en-GB"/>
        </w:rPr>
        <w:t xml:space="preserve">test indicates that stronger IPR protection is a slightly stronger attractor for AE than EE MNEs. </w:t>
      </w:r>
      <w:r w:rsidR="00E30FF7" w:rsidRPr="00C244B9">
        <w:rPr>
          <w:sz w:val="22"/>
          <w:szCs w:val="22"/>
        </w:rPr>
        <w:t>The odds-ratio help us to interpret the coefficient (see Table A.1 in the Appendix). A one-unit increase in the strength of IPR increase</w:t>
      </w:r>
      <w:r w:rsidR="00A57282" w:rsidRPr="00C244B9">
        <w:rPr>
          <w:sz w:val="22"/>
          <w:szCs w:val="22"/>
        </w:rPr>
        <w:t>s</w:t>
      </w:r>
      <w:r w:rsidR="00E30FF7" w:rsidRPr="00C244B9">
        <w:rPr>
          <w:sz w:val="22"/>
          <w:szCs w:val="22"/>
        </w:rPr>
        <w:t xml:space="preserve"> the odds of entry of an EE </w:t>
      </w:r>
      <w:r w:rsidR="00DD77E6" w:rsidRPr="00C244B9">
        <w:rPr>
          <w:sz w:val="22"/>
          <w:szCs w:val="22"/>
        </w:rPr>
        <w:t xml:space="preserve">MNEs </w:t>
      </w:r>
      <w:r w:rsidR="00E30FF7" w:rsidRPr="00C244B9">
        <w:rPr>
          <w:sz w:val="22"/>
          <w:szCs w:val="22"/>
        </w:rPr>
        <w:t xml:space="preserve">by </w:t>
      </w:r>
      <w:r w:rsidR="00E540D3" w:rsidRPr="00C244B9">
        <w:rPr>
          <w:sz w:val="22"/>
          <w:szCs w:val="22"/>
        </w:rPr>
        <w:t xml:space="preserve">0.4% </w:t>
      </w:r>
      <w:r w:rsidR="00DD77E6" w:rsidRPr="00C244B9">
        <w:rPr>
          <w:sz w:val="22"/>
          <w:szCs w:val="22"/>
        </w:rPr>
        <w:t>and of</w:t>
      </w:r>
      <w:r w:rsidR="00777610" w:rsidRPr="00C244B9">
        <w:rPr>
          <w:sz w:val="22"/>
          <w:szCs w:val="22"/>
        </w:rPr>
        <w:t xml:space="preserve"> an AE </w:t>
      </w:r>
      <w:r w:rsidR="00DD77E6" w:rsidRPr="00C244B9">
        <w:rPr>
          <w:sz w:val="22"/>
          <w:szCs w:val="22"/>
        </w:rPr>
        <w:t>MNE</w:t>
      </w:r>
      <w:r w:rsidR="000C6392" w:rsidRPr="00C244B9">
        <w:rPr>
          <w:sz w:val="22"/>
          <w:szCs w:val="22"/>
        </w:rPr>
        <w:t xml:space="preserve"> </w:t>
      </w:r>
      <w:r w:rsidR="00DD77E6" w:rsidRPr="00C244B9">
        <w:rPr>
          <w:sz w:val="22"/>
          <w:szCs w:val="22"/>
        </w:rPr>
        <w:t xml:space="preserve">by </w:t>
      </w:r>
      <w:r w:rsidR="00E540D3" w:rsidRPr="00C244B9">
        <w:rPr>
          <w:sz w:val="22"/>
          <w:szCs w:val="22"/>
        </w:rPr>
        <w:t>0.8%</w:t>
      </w:r>
      <w:r w:rsidR="00E30FF7" w:rsidRPr="00C244B9">
        <w:rPr>
          <w:sz w:val="22"/>
          <w:szCs w:val="22"/>
        </w:rPr>
        <w:t>.</w:t>
      </w:r>
    </w:p>
    <w:p w14:paraId="1584011D" w14:textId="6E36BCAE" w:rsidR="00CB5616" w:rsidRPr="00C244B9" w:rsidRDefault="00FC10F6" w:rsidP="00CB5616">
      <w:pPr>
        <w:spacing w:line="480" w:lineRule="auto"/>
        <w:ind w:firstLine="284"/>
        <w:rPr>
          <w:sz w:val="22"/>
          <w:szCs w:val="22"/>
          <w:lang w:val="en-GB"/>
        </w:rPr>
      </w:pPr>
      <w:r w:rsidRPr="00C244B9">
        <w:rPr>
          <w:sz w:val="22"/>
          <w:szCs w:val="22"/>
          <w:lang w:val="en-GB"/>
        </w:rPr>
        <w:t>W</w:t>
      </w:r>
      <w:r w:rsidR="002B1F05" w:rsidRPr="00C244B9">
        <w:rPr>
          <w:sz w:val="22"/>
          <w:szCs w:val="22"/>
          <w:lang w:val="en-GB"/>
        </w:rPr>
        <w:t xml:space="preserve">hen we use the full sample we find that the interaction term IPR*EE is significantly </w:t>
      </w:r>
      <w:r w:rsidRPr="00C244B9">
        <w:rPr>
          <w:sz w:val="22"/>
          <w:szCs w:val="22"/>
          <w:lang w:val="en-GB"/>
        </w:rPr>
        <w:t>negative</w:t>
      </w:r>
      <w:r w:rsidR="009C2120" w:rsidRPr="00C244B9">
        <w:rPr>
          <w:sz w:val="22"/>
          <w:szCs w:val="22"/>
          <w:lang w:val="en-GB"/>
        </w:rPr>
        <w:t xml:space="preserve"> (p</w:t>
      </w:r>
      <w:r w:rsidR="00184B82">
        <w:rPr>
          <w:sz w:val="22"/>
          <w:szCs w:val="22"/>
          <w:lang w:val="en-GB"/>
        </w:rPr>
        <w:t>=</w:t>
      </w:r>
      <w:r w:rsidR="00184B82" w:rsidRPr="00C244B9">
        <w:rPr>
          <w:sz w:val="22"/>
          <w:szCs w:val="22"/>
          <w:lang w:val="en-GB"/>
        </w:rPr>
        <w:t xml:space="preserve"> </w:t>
      </w:r>
      <w:r w:rsidR="009C2120" w:rsidRPr="00C244B9">
        <w:rPr>
          <w:sz w:val="22"/>
          <w:szCs w:val="22"/>
          <w:lang w:val="en-GB"/>
        </w:rPr>
        <w:t>0.000)</w:t>
      </w:r>
      <w:r w:rsidR="00DD5905">
        <w:rPr>
          <w:sz w:val="22"/>
          <w:szCs w:val="22"/>
          <w:lang w:val="en-GB"/>
        </w:rPr>
        <w:t xml:space="preserve"> </w:t>
      </w:r>
      <w:r w:rsidR="002B1F05" w:rsidRPr="00C244B9">
        <w:rPr>
          <w:sz w:val="22"/>
          <w:szCs w:val="22"/>
          <w:lang w:val="en-GB"/>
        </w:rPr>
        <w:t xml:space="preserve">indicating that, all else equal, IPR protection matters </w:t>
      </w:r>
      <w:r w:rsidRPr="00C244B9">
        <w:rPr>
          <w:sz w:val="22"/>
          <w:szCs w:val="22"/>
          <w:lang w:val="en-GB"/>
        </w:rPr>
        <w:t xml:space="preserve">less </w:t>
      </w:r>
      <w:r w:rsidR="002B1F05" w:rsidRPr="00C244B9">
        <w:rPr>
          <w:sz w:val="22"/>
          <w:szCs w:val="22"/>
          <w:lang w:val="en-GB"/>
        </w:rPr>
        <w:t xml:space="preserve">for EE firms than for AE firms. </w:t>
      </w:r>
      <w:r w:rsidR="00CB5616" w:rsidRPr="00C244B9">
        <w:rPr>
          <w:sz w:val="22"/>
          <w:szCs w:val="22"/>
          <w:lang w:val="en-GB"/>
        </w:rPr>
        <w:t xml:space="preserve">Thus our data </w:t>
      </w:r>
      <w:r w:rsidR="002B1F05" w:rsidRPr="00C244B9">
        <w:rPr>
          <w:sz w:val="22"/>
          <w:szCs w:val="22"/>
          <w:lang w:val="en-GB"/>
        </w:rPr>
        <w:t>provides</w:t>
      </w:r>
      <w:r w:rsidR="00CB5616" w:rsidRPr="00C244B9">
        <w:rPr>
          <w:sz w:val="22"/>
          <w:szCs w:val="22"/>
          <w:lang w:val="en-GB"/>
        </w:rPr>
        <w:t xml:space="preserve"> </w:t>
      </w:r>
      <w:r w:rsidR="00E33FDC" w:rsidRPr="00C244B9">
        <w:rPr>
          <w:sz w:val="22"/>
          <w:szCs w:val="22"/>
          <w:lang w:val="en-GB"/>
        </w:rPr>
        <w:t xml:space="preserve">at best </w:t>
      </w:r>
      <w:r w:rsidR="00A2641F" w:rsidRPr="00C244B9">
        <w:rPr>
          <w:sz w:val="22"/>
          <w:szCs w:val="22"/>
          <w:lang w:val="en-GB"/>
        </w:rPr>
        <w:t xml:space="preserve">mixed </w:t>
      </w:r>
      <w:r w:rsidR="00CB5616" w:rsidRPr="00C244B9">
        <w:rPr>
          <w:sz w:val="22"/>
          <w:szCs w:val="22"/>
          <w:lang w:val="en-GB"/>
        </w:rPr>
        <w:t>support for Hypothesis 1</w:t>
      </w:r>
      <w:r w:rsidR="00E96FD2" w:rsidRPr="00C244B9">
        <w:rPr>
          <w:sz w:val="22"/>
          <w:szCs w:val="22"/>
          <w:lang w:val="en-GB"/>
        </w:rPr>
        <w:t xml:space="preserve">: strong IPR attracts investors, but </w:t>
      </w:r>
      <w:r w:rsidR="00E33FDC" w:rsidRPr="00C244B9">
        <w:rPr>
          <w:sz w:val="22"/>
          <w:szCs w:val="22"/>
          <w:lang w:val="en-GB"/>
        </w:rPr>
        <w:t xml:space="preserve">in the specification using the full dataset, </w:t>
      </w:r>
      <w:r w:rsidR="00E96FD2" w:rsidRPr="00C244B9">
        <w:rPr>
          <w:sz w:val="22"/>
          <w:szCs w:val="22"/>
          <w:lang w:val="en-GB"/>
        </w:rPr>
        <w:t xml:space="preserve">it attracts AE firms relatively more than EE </w:t>
      </w:r>
      <w:r w:rsidR="00E33FDC" w:rsidRPr="00C244B9">
        <w:rPr>
          <w:sz w:val="22"/>
          <w:szCs w:val="22"/>
          <w:lang w:val="en-GB"/>
        </w:rPr>
        <w:t>firms</w:t>
      </w:r>
      <w:r w:rsidR="00E96FD2" w:rsidRPr="00C244B9">
        <w:rPr>
          <w:sz w:val="22"/>
          <w:szCs w:val="22"/>
          <w:lang w:val="en-GB"/>
        </w:rPr>
        <w:t>.</w:t>
      </w:r>
      <w:r w:rsidR="00CB5616" w:rsidRPr="00C244B9">
        <w:rPr>
          <w:sz w:val="22"/>
          <w:szCs w:val="22"/>
          <w:lang w:val="en-GB"/>
        </w:rPr>
        <w:t xml:space="preserve"> </w:t>
      </w:r>
    </w:p>
    <w:p w14:paraId="74A069E3" w14:textId="0F57F8EF" w:rsidR="00DC6C94" w:rsidRPr="00C244B9" w:rsidRDefault="00DC6C94" w:rsidP="00DC6C94">
      <w:pPr>
        <w:spacing w:line="480" w:lineRule="auto"/>
        <w:ind w:firstLine="284"/>
        <w:rPr>
          <w:sz w:val="22"/>
          <w:szCs w:val="22"/>
          <w:lang w:val="en-GB"/>
        </w:rPr>
      </w:pPr>
      <w:r w:rsidRPr="00C244B9">
        <w:rPr>
          <w:sz w:val="22"/>
          <w:szCs w:val="22"/>
          <w:lang w:val="en-GB"/>
        </w:rPr>
        <w:t>Turning to Hypothesis 2, as predicted we find that greater (geographic) distance deters all MNEs, whether from AEs or EEs</w:t>
      </w:r>
      <w:r w:rsidR="00346F0E" w:rsidRPr="00C244B9">
        <w:rPr>
          <w:sz w:val="22"/>
          <w:szCs w:val="22"/>
          <w:lang w:val="en-GB"/>
        </w:rPr>
        <w:t xml:space="preserve"> or using the full sample in column (3)</w:t>
      </w:r>
      <w:r w:rsidRPr="00C244B9">
        <w:rPr>
          <w:sz w:val="22"/>
          <w:szCs w:val="22"/>
          <w:lang w:val="en-GB"/>
        </w:rPr>
        <w:t xml:space="preserve">. </w:t>
      </w:r>
      <w:r w:rsidR="00177830" w:rsidRPr="00C244B9">
        <w:rPr>
          <w:sz w:val="22"/>
          <w:szCs w:val="22"/>
          <w:lang w:val="en-GB"/>
        </w:rPr>
        <w:t>Moreover,</w:t>
      </w:r>
      <w:r w:rsidR="00346F0E" w:rsidRPr="00C244B9">
        <w:rPr>
          <w:sz w:val="22"/>
          <w:szCs w:val="22"/>
          <w:lang w:val="en-GB"/>
        </w:rPr>
        <w:t xml:space="preserve"> </w:t>
      </w:r>
      <w:r w:rsidRPr="00C244B9">
        <w:rPr>
          <w:sz w:val="22"/>
          <w:szCs w:val="22"/>
          <w:lang w:val="en-GB"/>
        </w:rPr>
        <w:t xml:space="preserve">a comparison of columns (1) and (2) of Table 5 reveals that the deterrence </w:t>
      </w:r>
      <w:r w:rsidR="00177830" w:rsidRPr="00C244B9">
        <w:rPr>
          <w:sz w:val="22"/>
          <w:szCs w:val="22"/>
          <w:lang w:val="en-GB"/>
        </w:rPr>
        <w:t>effect is more marked for EEs (</w:t>
      </w:r>
      <w:r w:rsidRPr="00C244B9">
        <w:rPr>
          <w:sz w:val="22"/>
          <w:szCs w:val="22"/>
          <w:lang w:val="en-GB"/>
        </w:rPr>
        <w:t>-0.5</w:t>
      </w:r>
      <w:r w:rsidR="003F239C" w:rsidRPr="00C244B9">
        <w:rPr>
          <w:sz w:val="22"/>
          <w:szCs w:val="22"/>
          <w:lang w:val="en-GB"/>
        </w:rPr>
        <w:t xml:space="preserve">23 </w:t>
      </w:r>
      <w:r w:rsidRPr="00C244B9">
        <w:rPr>
          <w:sz w:val="22"/>
          <w:szCs w:val="22"/>
          <w:lang w:val="en-GB"/>
        </w:rPr>
        <w:t>as against -0.</w:t>
      </w:r>
      <w:r w:rsidR="003F239C" w:rsidRPr="00C244B9">
        <w:rPr>
          <w:sz w:val="22"/>
          <w:szCs w:val="22"/>
          <w:lang w:val="en-GB"/>
        </w:rPr>
        <w:t>303</w:t>
      </w:r>
      <w:r w:rsidRPr="00C244B9">
        <w:rPr>
          <w:sz w:val="22"/>
          <w:szCs w:val="22"/>
          <w:lang w:val="en-GB"/>
        </w:rPr>
        <w:t xml:space="preserve">) and the </w:t>
      </w:r>
      <w:r w:rsidR="00184B82">
        <w:rPr>
          <w:sz w:val="22"/>
          <w:szCs w:val="22"/>
          <w:lang w:val="en-GB"/>
        </w:rPr>
        <w:t>χ²-</w:t>
      </w:r>
      <w:r w:rsidRPr="00C244B9">
        <w:rPr>
          <w:sz w:val="22"/>
          <w:szCs w:val="22"/>
          <w:lang w:val="en-GB"/>
        </w:rPr>
        <w:t>test confirms that these differences in coefficients are statistically significan</w:t>
      </w:r>
      <w:r w:rsidR="003F239C" w:rsidRPr="00C244B9">
        <w:rPr>
          <w:sz w:val="22"/>
          <w:szCs w:val="22"/>
          <w:lang w:val="en-GB"/>
        </w:rPr>
        <w:t>t at the 1</w:t>
      </w:r>
      <w:r w:rsidR="00346F0E" w:rsidRPr="00C244B9">
        <w:rPr>
          <w:sz w:val="22"/>
          <w:szCs w:val="22"/>
          <w:lang w:val="en-GB"/>
        </w:rPr>
        <w:t>% level</w:t>
      </w:r>
      <w:r w:rsidR="00976E08" w:rsidRPr="00C244B9">
        <w:rPr>
          <w:sz w:val="22"/>
          <w:szCs w:val="22"/>
          <w:lang w:val="en-GB"/>
        </w:rPr>
        <w:t xml:space="preserve"> (Prob &gt; </w:t>
      </w:r>
      <w:r w:rsidR="00184B82">
        <w:rPr>
          <w:sz w:val="22"/>
          <w:szCs w:val="22"/>
          <w:lang w:val="en-GB"/>
        </w:rPr>
        <w:t>χ²</w:t>
      </w:r>
      <w:r w:rsidR="00976E08" w:rsidRPr="00C244B9">
        <w:rPr>
          <w:sz w:val="22"/>
          <w:szCs w:val="22"/>
          <w:lang w:val="en-GB"/>
        </w:rPr>
        <w:t>=0.000)</w:t>
      </w:r>
      <w:r w:rsidR="00346F0E" w:rsidRPr="00C244B9">
        <w:rPr>
          <w:sz w:val="22"/>
          <w:szCs w:val="22"/>
          <w:lang w:val="en-GB"/>
        </w:rPr>
        <w:t xml:space="preserve">. </w:t>
      </w:r>
      <w:r w:rsidR="00A57282" w:rsidRPr="00C244B9">
        <w:rPr>
          <w:sz w:val="22"/>
          <w:szCs w:val="22"/>
          <w:lang w:val="en-GB"/>
        </w:rPr>
        <w:t>The odds ratio is 0.593 for EE MNEs and 0.739 for AE MNEs</w:t>
      </w:r>
      <w:r w:rsidR="004F67CA" w:rsidRPr="00C244B9">
        <w:rPr>
          <w:sz w:val="22"/>
          <w:szCs w:val="22"/>
          <w:lang w:val="en-GB"/>
        </w:rPr>
        <w:t>, meaning that the probability is reduced by 40.7% in the case of EE MNEs but only by 26.1% in the case of AE MNEs</w:t>
      </w:r>
      <w:r w:rsidR="00A57282" w:rsidRPr="00C244B9">
        <w:rPr>
          <w:sz w:val="22"/>
          <w:szCs w:val="22"/>
          <w:lang w:val="en-GB"/>
        </w:rPr>
        <w:t xml:space="preserve">. </w:t>
      </w:r>
      <w:r w:rsidR="00346F0E" w:rsidRPr="00C244B9">
        <w:rPr>
          <w:sz w:val="22"/>
          <w:szCs w:val="22"/>
          <w:lang w:val="en-GB"/>
        </w:rPr>
        <w:t xml:space="preserve">Hypothesis 2 can also be tested by considering the sign and significance of the coefficient on the </w:t>
      </w:r>
      <w:r w:rsidR="00FC10F6" w:rsidRPr="00C244B9">
        <w:rPr>
          <w:sz w:val="22"/>
          <w:szCs w:val="22"/>
          <w:lang w:val="en-GB"/>
        </w:rPr>
        <w:t>distance * EE</w:t>
      </w:r>
      <w:r w:rsidR="00346F0E" w:rsidRPr="00C244B9">
        <w:rPr>
          <w:sz w:val="22"/>
          <w:szCs w:val="22"/>
          <w:lang w:val="en-GB"/>
        </w:rPr>
        <w:t xml:space="preserve"> </w:t>
      </w:r>
      <w:r w:rsidR="00A57282" w:rsidRPr="00C244B9">
        <w:rPr>
          <w:sz w:val="22"/>
          <w:szCs w:val="22"/>
          <w:lang w:val="en-GB"/>
        </w:rPr>
        <w:t xml:space="preserve">interaction </w:t>
      </w:r>
      <w:r w:rsidR="00346F0E" w:rsidRPr="00C244B9">
        <w:rPr>
          <w:sz w:val="22"/>
          <w:szCs w:val="22"/>
          <w:lang w:val="en-GB"/>
        </w:rPr>
        <w:t>in the full sample estimates in column (3). It can be seen that as predicted the coefficient is ne</w:t>
      </w:r>
      <w:r w:rsidR="003F239C" w:rsidRPr="00C244B9">
        <w:rPr>
          <w:sz w:val="22"/>
          <w:szCs w:val="22"/>
          <w:lang w:val="en-GB"/>
        </w:rPr>
        <w:t>gative and significant at the 1</w:t>
      </w:r>
      <w:r w:rsidR="00177830" w:rsidRPr="00C244B9">
        <w:rPr>
          <w:sz w:val="22"/>
          <w:szCs w:val="22"/>
          <w:lang w:val="en-GB"/>
        </w:rPr>
        <w:t>% level</w:t>
      </w:r>
      <w:r w:rsidR="009C2120" w:rsidRPr="00C244B9">
        <w:rPr>
          <w:sz w:val="22"/>
          <w:szCs w:val="22"/>
          <w:lang w:val="en-GB"/>
        </w:rPr>
        <w:t xml:space="preserve"> (p </w:t>
      </w:r>
      <w:r w:rsidR="00184B82">
        <w:rPr>
          <w:sz w:val="22"/>
          <w:szCs w:val="22"/>
          <w:lang w:val="en-GB"/>
        </w:rPr>
        <w:t>=</w:t>
      </w:r>
      <w:r w:rsidR="00184B82" w:rsidRPr="00C244B9">
        <w:rPr>
          <w:sz w:val="22"/>
          <w:szCs w:val="22"/>
          <w:lang w:val="en-GB"/>
        </w:rPr>
        <w:t xml:space="preserve"> </w:t>
      </w:r>
      <w:r w:rsidR="009C2120" w:rsidRPr="00C244B9">
        <w:rPr>
          <w:sz w:val="22"/>
          <w:szCs w:val="22"/>
          <w:lang w:val="en-GB"/>
        </w:rPr>
        <w:t>0.000)</w:t>
      </w:r>
      <w:r w:rsidR="00177830" w:rsidRPr="00C244B9">
        <w:rPr>
          <w:sz w:val="22"/>
          <w:szCs w:val="22"/>
          <w:lang w:val="en-GB"/>
        </w:rPr>
        <w:t>, indicating th</w:t>
      </w:r>
      <w:r w:rsidR="00346F0E" w:rsidRPr="00C244B9">
        <w:rPr>
          <w:sz w:val="22"/>
          <w:szCs w:val="22"/>
          <w:lang w:val="en-GB"/>
        </w:rPr>
        <w:t>a</w:t>
      </w:r>
      <w:r w:rsidR="00177830" w:rsidRPr="00C244B9">
        <w:rPr>
          <w:sz w:val="22"/>
          <w:szCs w:val="22"/>
          <w:lang w:val="en-GB"/>
        </w:rPr>
        <w:t>t</w:t>
      </w:r>
      <w:r w:rsidR="00346F0E" w:rsidRPr="00C244B9">
        <w:rPr>
          <w:sz w:val="22"/>
          <w:szCs w:val="22"/>
          <w:lang w:val="en-GB"/>
        </w:rPr>
        <w:t xml:space="preserve"> the distance coefficient is significantly smaller in the EE sub-sample. This </w:t>
      </w:r>
      <w:r w:rsidR="00D27564" w:rsidRPr="00C244B9">
        <w:rPr>
          <w:sz w:val="22"/>
          <w:szCs w:val="22"/>
          <w:lang w:val="en-GB"/>
        </w:rPr>
        <w:t>provides further</w:t>
      </w:r>
      <w:r w:rsidR="00346F0E" w:rsidRPr="00C244B9">
        <w:rPr>
          <w:sz w:val="22"/>
          <w:szCs w:val="22"/>
          <w:lang w:val="en-GB"/>
        </w:rPr>
        <w:t xml:space="preserve"> support for </w:t>
      </w:r>
      <w:r w:rsidR="00A57282" w:rsidRPr="00C244B9">
        <w:rPr>
          <w:sz w:val="22"/>
          <w:szCs w:val="22"/>
          <w:lang w:val="en-GB"/>
        </w:rPr>
        <w:t>H</w:t>
      </w:r>
      <w:r w:rsidR="00346F0E" w:rsidRPr="00C244B9">
        <w:rPr>
          <w:sz w:val="22"/>
          <w:szCs w:val="22"/>
          <w:lang w:val="en-GB"/>
        </w:rPr>
        <w:t xml:space="preserve">ypothesis 2. </w:t>
      </w:r>
      <w:r w:rsidRPr="00C244B9">
        <w:rPr>
          <w:sz w:val="22"/>
          <w:szCs w:val="22"/>
          <w:lang w:val="en-GB"/>
        </w:rPr>
        <w:t xml:space="preserve"> </w:t>
      </w:r>
    </w:p>
    <w:p w14:paraId="4DB8D8E2" w14:textId="6FFA04AE" w:rsidR="00E30FF7" w:rsidRPr="00C244B9" w:rsidRDefault="00D27564" w:rsidP="00032263">
      <w:pPr>
        <w:spacing w:line="480" w:lineRule="auto"/>
        <w:ind w:firstLine="284"/>
        <w:rPr>
          <w:sz w:val="22"/>
          <w:szCs w:val="22"/>
        </w:rPr>
      </w:pPr>
      <w:r w:rsidRPr="00C244B9">
        <w:rPr>
          <w:sz w:val="22"/>
          <w:szCs w:val="22"/>
          <w:lang w:val="en-GB"/>
        </w:rPr>
        <w:t xml:space="preserve">Our third hypothesis concerns the impact of </w:t>
      </w:r>
      <w:r w:rsidR="0012353B" w:rsidRPr="00C244B9">
        <w:rPr>
          <w:sz w:val="22"/>
          <w:szCs w:val="22"/>
          <w:lang w:val="en-GB"/>
        </w:rPr>
        <w:t xml:space="preserve">the </w:t>
      </w:r>
      <w:r w:rsidRPr="00C244B9">
        <w:rPr>
          <w:sz w:val="22"/>
          <w:szCs w:val="22"/>
          <w:lang w:val="en-GB"/>
        </w:rPr>
        <w:t xml:space="preserve">migrant diaspora on FDI location. As predicted, </w:t>
      </w:r>
      <w:r w:rsidR="0012353B" w:rsidRPr="00C244B9">
        <w:rPr>
          <w:sz w:val="22"/>
          <w:szCs w:val="22"/>
          <w:lang w:val="en-GB"/>
        </w:rPr>
        <w:t>the proportion of the population in a host economy born in a home economy increases the likelihood that MNEs choose that location for their investment. Thus</w:t>
      </w:r>
      <w:r w:rsidR="00A57282" w:rsidRPr="00C244B9">
        <w:rPr>
          <w:sz w:val="22"/>
          <w:szCs w:val="22"/>
          <w:lang w:val="en-GB"/>
        </w:rPr>
        <w:t>,</w:t>
      </w:r>
      <w:r w:rsidR="0012353B" w:rsidRPr="00C244B9">
        <w:rPr>
          <w:sz w:val="22"/>
          <w:szCs w:val="22"/>
          <w:lang w:val="en-GB"/>
        </w:rPr>
        <w:t xml:space="preserve"> the coefficient on foreign born populations is positive and significant in columns (1), (2), and </w:t>
      </w:r>
      <w:r w:rsidR="0012353B" w:rsidRPr="00C244B9">
        <w:rPr>
          <w:sz w:val="22"/>
          <w:szCs w:val="22"/>
          <w:lang w:val="en-GB"/>
        </w:rPr>
        <w:lastRenderedPageBreak/>
        <w:t>(3)</w:t>
      </w:r>
      <w:r w:rsidR="009C2120" w:rsidRPr="00C244B9">
        <w:rPr>
          <w:sz w:val="22"/>
          <w:szCs w:val="22"/>
          <w:lang w:val="en-GB"/>
        </w:rPr>
        <w:t xml:space="preserve"> (p</w:t>
      </w:r>
      <w:r w:rsidR="00184B82">
        <w:rPr>
          <w:sz w:val="22"/>
          <w:szCs w:val="22"/>
          <w:lang w:val="en-GB"/>
        </w:rPr>
        <w:t>=</w:t>
      </w:r>
      <w:r w:rsidR="009C2120" w:rsidRPr="00C244B9">
        <w:rPr>
          <w:sz w:val="22"/>
          <w:szCs w:val="22"/>
          <w:lang w:val="en-GB"/>
        </w:rPr>
        <w:t>0.000)</w:t>
      </w:r>
      <w:r w:rsidR="0012353B" w:rsidRPr="00C244B9">
        <w:rPr>
          <w:sz w:val="22"/>
          <w:szCs w:val="22"/>
          <w:lang w:val="en-GB"/>
        </w:rPr>
        <w:t>. However, the attraction of a migrant diaspora is more marked for EE than AE MNEs; the coefficients in columns (1</w:t>
      </w:r>
      <w:r w:rsidR="003F239C" w:rsidRPr="00C244B9">
        <w:rPr>
          <w:sz w:val="22"/>
          <w:szCs w:val="22"/>
          <w:lang w:val="en-GB"/>
        </w:rPr>
        <w:t>) and (2) respectively are 0.680 against 0.139</w:t>
      </w:r>
      <w:r w:rsidR="0012353B" w:rsidRPr="00C244B9">
        <w:rPr>
          <w:sz w:val="22"/>
          <w:szCs w:val="22"/>
          <w:lang w:val="en-GB"/>
        </w:rPr>
        <w:t xml:space="preserve"> and the difference is sta</w:t>
      </w:r>
      <w:r w:rsidR="003F239C" w:rsidRPr="00C244B9">
        <w:rPr>
          <w:sz w:val="22"/>
          <w:szCs w:val="22"/>
          <w:lang w:val="en-GB"/>
        </w:rPr>
        <w:t>tistically significant at the 1</w:t>
      </w:r>
      <w:r w:rsidR="0012353B" w:rsidRPr="00C244B9">
        <w:rPr>
          <w:sz w:val="22"/>
          <w:szCs w:val="22"/>
          <w:lang w:val="en-GB"/>
        </w:rPr>
        <w:t>% level</w:t>
      </w:r>
      <w:r w:rsidR="009C2120" w:rsidRPr="00C244B9">
        <w:rPr>
          <w:sz w:val="22"/>
          <w:szCs w:val="22"/>
          <w:lang w:val="en-GB"/>
        </w:rPr>
        <w:t xml:space="preserve"> </w:t>
      </w:r>
      <w:r w:rsidR="00976E08" w:rsidRPr="00C244B9">
        <w:rPr>
          <w:sz w:val="22"/>
          <w:szCs w:val="22"/>
          <w:lang w:val="en-GB"/>
        </w:rPr>
        <w:t xml:space="preserve">(Prob &gt; </w:t>
      </w:r>
      <w:r w:rsidR="00184B82">
        <w:rPr>
          <w:sz w:val="22"/>
          <w:szCs w:val="22"/>
          <w:lang w:val="en-GB"/>
        </w:rPr>
        <w:t>χ²</w:t>
      </w:r>
      <w:r w:rsidR="00976E08" w:rsidRPr="00C244B9">
        <w:rPr>
          <w:sz w:val="22"/>
          <w:szCs w:val="22"/>
          <w:lang w:val="en-GB"/>
        </w:rPr>
        <w:t>=0.000</w:t>
      </w:r>
      <w:r w:rsidR="009C2120" w:rsidRPr="00C244B9">
        <w:rPr>
          <w:sz w:val="22"/>
          <w:szCs w:val="22"/>
          <w:lang w:val="en-GB"/>
        </w:rPr>
        <w:t>)</w:t>
      </w:r>
      <w:r w:rsidR="0012353B" w:rsidRPr="00C244B9">
        <w:rPr>
          <w:sz w:val="22"/>
          <w:szCs w:val="22"/>
          <w:lang w:val="en-GB"/>
        </w:rPr>
        <w:t xml:space="preserve">. </w:t>
      </w:r>
      <w:r w:rsidR="004F67CA" w:rsidRPr="00C244B9">
        <w:rPr>
          <w:sz w:val="22"/>
          <w:szCs w:val="22"/>
          <w:lang w:val="en-GB"/>
        </w:rPr>
        <w:t>The odds ratios (Table A1) moreover tell us that a</w:t>
      </w:r>
      <w:r w:rsidR="00E30FF7" w:rsidRPr="00C244B9">
        <w:rPr>
          <w:sz w:val="22"/>
          <w:szCs w:val="22"/>
        </w:rPr>
        <w:t xml:space="preserve"> one percentage point increase in the share of foreign-born population in a host country increase</w:t>
      </w:r>
      <w:r w:rsidR="004F67CA" w:rsidRPr="00C244B9">
        <w:rPr>
          <w:sz w:val="22"/>
          <w:szCs w:val="22"/>
        </w:rPr>
        <w:t>s</w:t>
      </w:r>
      <w:r w:rsidR="00E30FF7" w:rsidRPr="00C244B9">
        <w:rPr>
          <w:sz w:val="22"/>
          <w:szCs w:val="22"/>
        </w:rPr>
        <w:t xml:space="preserve"> the odds of entry of an EE </w:t>
      </w:r>
      <w:r w:rsidR="00A57282" w:rsidRPr="00C244B9">
        <w:rPr>
          <w:sz w:val="22"/>
          <w:szCs w:val="22"/>
        </w:rPr>
        <w:t xml:space="preserve">MNEs </w:t>
      </w:r>
      <w:r w:rsidR="00E30FF7" w:rsidRPr="00C244B9">
        <w:rPr>
          <w:sz w:val="22"/>
          <w:szCs w:val="22"/>
        </w:rPr>
        <w:t>by 98</w:t>
      </w:r>
      <w:r w:rsidR="004F67CA" w:rsidRPr="00C244B9">
        <w:rPr>
          <w:sz w:val="22"/>
          <w:szCs w:val="22"/>
        </w:rPr>
        <w:t>%</w:t>
      </w:r>
      <w:r w:rsidR="00E30FF7" w:rsidRPr="00C244B9">
        <w:rPr>
          <w:sz w:val="22"/>
          <w:szCs w:val="22"/>
        </w:rPr>
        <w:t>, against 15</w:t>
      </w:r>
      <w:r w:rsidR="004F67CA" w:rsidRPr="00C244B9">
        <w:rPr>
          <w:sz w:val="22"/>
          <w:szCs w:val="22"/>
        </w:rPr>
        <w:t>%</w:t>
      </w:r>
      <w:r w:rsidR="00E30FF7" w:rsidRPr="00C244B9">
        <w:rPr>
          <w:sz w:val="22"/>
          <w:szCs w:val="22"/>
        </w:rPr>
        <w:t xml:space="preserve"> for AE </w:t>
      </w:r>
      <w:r w:rsidR="00A57282" w:rsidRPr="00C244B9">
        <w:rPr>
          <w:sz w:val="22"/>
          <w:szCs w:val="22"/>
        </w:rPr>
        <w:t>MNEs</w:t>
      </w:r>
      <w:r w:rsidR="004F67CA" w:rsidRPr="00C244B9">
        <w:rPr>
          <w:sz w:val="22"/>
          <w:szCs w:val="22"/>
        </w:rPr>
        <w:t xml:space="preserve"> – a huge difference</w:t>
      </w:r>
      <w:r w:rsidR="00E30FF7" w:rsidRPr="00C244B9">
        <w:rPr>
          <w:sz w:val="22"/>
          <w:szCs w:val="22"/>
        </w:rPr>
        <w:t>.</w:t>
      </w:r>
    </w:p>
    <w:p w14:paraId="21228B75" w14:textId="3F42779F" w:rsidR="0012353B" w:rsidRPr="00C244B9" w:rsidRDefault="0012353B" w:rsidP="00DC6C94">
      <w:pPr>
        <w:spacing w:line="480" w:lineRule="auto"/>
        <w:ind w:firstLine="284"/>
        <w:rPr>
          <w:sz w:val="22"/>
          <w:szCs w:val="22"/>
          <w:lang w:val="en-GB"/>
        </w:rPr>
      </w:pPr>
      <w:r w:rsidRPr="00C244B9">
        <w:rPr>
          <w:sz w:val="22"/>
          <w:szCs w:val="22"/>
          <w:lang w:val="en-GB"/>
        </w:rPr>
        <w:t>Turning to the test on the full sample in column (</w:t>
      </w:r>
      <w:r w:rsidR="00FF48EF" w:rsidRPr="00C244B9">
        <w:rPr>
          <w:sz w:val="22"/>
          <w:szCs w:val="22"/>
          <w:lang w:val="en-GB"/>
        </w:rPr>
        <w:t>4</w:t>
      </w:r>
      <w:r w:rsidRPr="00C244B9">
        <w:rPr>
          <w:sz w:val="22"/>
          <w:szCs w:val="22"/>
          <w:lang w:val="en-GB"/>
        </w:rPr>
        <w:t xml:space="preserve">), the coefficient on the </w:t>
      </w:r>
      <w:r w:rsidR="00FC10F6" w:rsidRPr="00C244B9">
        <w:rPr>
          <w:sz w:val="22"/>
          <w:szCs w:val="22"/>
          <w:lang w:val="en-GB"/>
        </w:rPr>
        <w:t>foreign-born pop * EE</w:t>
      </w:r>
      <w:r w:rsidRPr="00C244B9">
        <w:rPr>
          <w:sz w:val="22"/>
          <w:szCs w:val="22"/>
          <w:lang w:val="en-GB"/>
        </w:rPr>
        <w:t xml:space="preserve"> term is positive and</w:t>
      </w:r>
      <w:r w:rsidR="003F239C" w:rsidRPr="00C244B9">
        <w:rPr>
          <w:sz w:val="22"/>
          <w:szCs w:val="22"/>
          <w:lang w:val="en-GB"/>
        </w:rPr>
        <w:t xml:space="preserve"> statistically significant at the 1</w:t>
      </w:r>
      <w:r w:rsidRPr="00C244B9">
        <w:rPr>
          <w:sz w:val="22"/>
          <w:szCs w:val="22"/>
          <w:lang w:val="en-GB"/>
        </w:rPr>
        <w:t>% level</w:t>
      </w:r>
      <w:r w:rsidR="009C2120" w:rsidRPr="00C244B9">
        <w:rPr>
          <w:sz w:val="22"/>
          <w:szCs w:val="22"/>
          <w:lang w:val="en-GB"/>
        </w:rPr>
        <w:t xml:space="preserve"> (p</w:t>
      </w:r>
      <w:r w:rsidR="00184B82">
        <w:rPr>
          <w:sz w:val="22"/>
          <w:szCs w:val="22"/>
          <w:lang w:val="en-GB"/>
        </w:rPr>
        <w:t>=</w:t>
      </w:r>
      <w:r w:rsidR="009C2120" w:rsidRPr="00C244B9">
        <w:rPr>
          <w:sz w:val="22"/>
          <w:szCs w:val="22"/>
          <w:lang w:val="en-GB"/>
        </w:rPr>
        <w:t>0.000)</w:t>
      </w:r>
      <w:r w:rsidRPr="00C244B9">
        <w:rPr>
          <w:sz w:val="22"/>
          <w:szCs w:val="22"/>
          <w:lang w:val="en-GB"/>
        </w:rPr>
        <w:t xml:space="preserve">. Hence we find strong support for </w:t>
      </w:r>
      <w:r w:rsidR="00A57282" w:rsidRPr="00C244B9">
        <w:rPr>
          <w:sz w:val="22"/>
          <w:szCs w:val="22"/>
          <w:lang w:val="en-GB"/>
        </w:rPr>
        <w:t>H</w:t>
      </w:r>
      <w:r w:rsidRPr="00C244B9">
        <w:rPr>
          <w:sz w:val="22"/>
          <w:szCs w:val="22"/>
          <w:lang w:val="en-GB"/>
        </w:rPr>
        <w:t xml:space="preserve">ypothesis 3. </w:t>
      </w:r>
    </w:p>
    <w:p w14:paraId="1801A87E" w14:textId="490428AF" w:rsidR="00E30FF7" w:rsidRPr="00C244B9" w:rsidRDefault="0012353B" w:rsidP="00032263">
      <w:pPr>
        <w:spacing w:line="480" w:lineRule="auto"/>
        <w:ind w:firstLine="284"/>
        <w:contextualSpacing/>
        <w:rPr>
          <w:sz w:val="22"/>
          <w:szCs w:val="22"/>
        </w:rPr>
      </w:pPr>
      <w:r w:rsidRPr="00C244B9">
        <w:rPr>
          <w:sz w:val="22"/>
          <w:szCs w:val="22"/>
        </w:rPr>
        <w:t xml:space="preserve">Finally </w:t>
      </w:r>
      <w:r w:rsidR="004F67CA" w:rsidRPr="00C244B9">
        <w:rPr>
          <w:sz w:val="22"/>
          <w:szCs w:val="22"/>
        </w:rPr>
        <w:t>H</w:t>
      </w:r>
      <w:r w:rsidRPr="00C244B9">
        <w:rPr>
          <w:sz w:val="22"/>
          <w:szCs w:val="22"/>
        </w:rPr>
        <w:t xml:space="preserve">ypothesis 4 concerns the attractiveness of markets, measured by market size.  As predicted, all MNEs are attracted by large markets; the coefficient </w:t>
      </w:r>
      <w:r w:rsidR="00FC10F6" w:rsidRPr="00C244B9">
        <w:rPr>
          <w:sz w:val="22"/>
          <w:szCs w:val="22"/>
        </w:rPr>
        <w:t>is</w:t>
      </w:r>
      <w:r w:rsidRPr="00C244B9">
        <w:rPr>
          <w:sz w:val="22"/>
          <w:szCs w:val="22"/>
        </w:rPr>
        <w:t xml:space="preserve"> positive and significant</w:t>
      </w:r>
      <w:r w:rsidR="003F3C6E" w:rsidRPr="00C244B9">
        <w:rPr>
          <w:sz w:val="22"/>
          <w:szCs w:val="22"/>
        </w:rPr>
        <w:t xml:space="preserve"> </w:t>
      </w:r>
      <w:r w:rsidR="003F3C6E" w:rsidRPr="00C244B9">
        <w:rPr>
          <w:sz w:val="22"/>
          <w:szCs w:val="22"/>
          <w:lang w:val="en-GB"/>
        </w:rPr>
        <w:t>(with a p-value of 0.000)</w:t>
      </w:r>
      <w:r w:rsidRPr="00C244B9">
        <w:rPr>
          <w:sz w:val="22"/>
          <w:szCs w:val="22"/>
        </w:rPr>
        <w:t xml:space="preserve"> both in the sub-samples (columns (1) and (2) and in the full sample (column (3)). The positive effects are more marked for EE MNEs than AE MNEs. Thus</w:t>
      </w:r>
      <w:r w:rsidR="00A57282" w:rsidRPr="00C244B9">
        <w:rPr>
          <w:sz w:val="22"/>
          <w:szCs w:val="22"/>
        </w:rPr>
        <w:t>,</w:t>
      </w:r>
      <w:r w:rsidRPr="00C244B9">
        <w:rPr>
          <w:sz w:val="22"/>
          <w:szCs w:val="22"/>
        </w:rPr>
        <w:t xml:space="preserve"> the coefficient on population is 0.</w:t>
      </w:r>
      <w:r w:rsidR="003F239C" w:rsidRPr="00C244B9">
        <w:rPr>
          <w:sz w:val="22"/>
          <w:szCs w:val="22"/>
        </w:rPr>
        <w:t>633</w:t>
      </w:r>
      <w:r w:rsidRPr="00C244B9">
        <w:rPr>
          <w:sz w:val="22"/>
          <w:szCs w:val="22"/>
        </w:rPr>
        <w:t xml:space="preserve"> for AEs as against 0.8</w:t>
      </w:r>
      <w:r w:rsidR="003F239C" w:rsidRPr="00C244B9">
        <w:rPr>
          <w:sz w:val="22"/>
          <w:szCs w:val="22"/>
        </w:rPr>
        <w:t>84</w:t>
      </w:r>
      <w:r w:rsidRPr="00C244B9">
        <w:rPr>
          <w:sz w:val="22"/>
          <w:szCs w:val="22"/>
        </w:rPr>
        <w:t xml:space="preserve"> f</w:t>
      </w:r>
      <w:r w:rsidR="002C1A1B" w:rsidRPr="00C244B9">
        <w:rPr>
          <w:sz w:val="22"/>
          <w:szCs w:val="22"/>
        </w:rPr>
        <w:t>o</w:t>
      </w:r>
      <w:r w:rsidRPr="00C244B9">
        <w:rPr>
          <w:sz w:val="22"/>
          <w:szCs w:val="22"/>
        </w:rPr>
        <w:t>r EEs, with the difference in the coefficients being statistically significant a</w:t>
      </w:r>
      <w:r w:rsidR="003F239C" w:rsidRPr="00C244B9">
        <w:rPr>
          <w:sz w:val="22"/>
          <w:szCs w:val="22"/>
        </w:rPr>
        <w:t>t the 1</w:t>
      </w:r>
      <w:r w:rsidRPr="00C244B9">
        <w:rPr>
          <w:sz w:val="22"/>
          <w:szCs w:val="22"/>
        </w:rPr>
        <w:t>% level</w:t>
      </w:r>
      <w:r w:rsidR="00976E08" w:rsidRPr="00C244B9">
        <w:rPr>
          <w:sz w:val="22"/>
          <w:szCs w:val="22"/>
        </w:rPr>
        <w:t xml:space="preserve"> </w:t>
      </w:r>
      <w:r w:rsidR="00976E08" w:rsidRPr="00C244B9">
        <w:rPr>
          <w:sz w:val="22"/>
          <w:szCs w:val="22"/>
          <w:lang w:val="en-GB"/>
        </w:rPr>
        <w:t>(Prob &gt; chi2=0.000).</w:t>
      </w:r>
      <w:r w:rsidR="00976E08" w:rsidRPr="00C244B9">
        <w:rPr>
          <w:sz w:val="22"/>
          <w:szCs w:val="22"/>
        </w:rPr>
        <w:t xml:space="preserve"> </w:t>
      </w:r>
      <w:r w:rsidR="004F67CA" w:rsidRPr="00C244B9">
        <w:rPr>
          <w:sz w:val="22"/>
          <w:szCs w:val="22"/>
        </w:rPr>
        <w:t xml:space="preserve">According to the odds ratio (Table A1), an increase of 1 unit of </w:t>
      </w:r>
      <w:r w:rsidR="000111F6" w:rsidRPr="00C244B9">
        <w:rPr>
          <w:sz w:val="22"/>
          <w:szCs w:val="22"/>
        </w:rPr>
        <w:t xml:space="preserve">the </w:t>
      </w:r>
      <w:r w:rsidR="004F67CA" w:rsidRPr="00C244B9">
        <w:rPr>
          <w:sz w:val="22"/>
          <w:szCs w:val="22"/>
        </w:rPr>
        <w:t xml:space="preserve">log </w:t>
      </w:r>
      <w:r w:rsidR="000111F6" w:rsidRPr="00C244B9">
        <w:rPr>
          <w:sz w:val="22"/>
          <w:szCs w:val="22"/>
        </w:rPr>
        <w:t xml:space="preserve">of </w:t>
      </w:r>
      <w:r w:rsidR="004F67CA" w:rsidRPr="00C244B9">
        <w:rPr>
          <w:sz w:val="22"/>
          <w:szCs w:val="22"/>
        </w:rPr>
        <w:t>population</w:t>
      </w:r>
      <w:r w:rsidR="000111F6" w:rsidRPr="00C244B9">
        <w:rPr>
          <w:sz w:val="22"/>
          <w:szCs w:val="22"/>
        </w:rPr>
        <w:t xml:space="preserve"> (i.e. </w:t>
      </w:r>
      <w:r w:rsidR="004F67CA" w:rsidRPr="00C244B9">
        <w:rPr>
          <w:sz w:val="22"/>
          <w:szCs w:val="22"/>
        </w:rPr>
        <w:t>a ten-fold increase</w:t>
      </w:r>
      <w:r w:rsidR="000111F6" w:rsidRPr="00C244B9">
        <w:rPr>
          <w:sz w:val="22"/>
          <w:szCs w:val="22"/>
        </w:rPr>
        <w:t xml:space="preserve"> e.g. from 1 million to 10 million)</w:t>
      </w:r>
      <w:r w:rsidR="004F67CA" w:rsidRPr="00C244B9">
        <w:rPr>
          <w:sz w:val="22"/>
          <w:szCs w:val="22"/>
        </w:rPr>
        <w:t xml:space="preserve">, more than doubles the </w:t>
      </w:r>
      <w:r w:rsidR="000111F6" w:rsidRPr="00C244B9">
        <w:rPr>
          <w:sz w:val="22"/>
          <w:szCs w:val="22"/>
        </w:rPr>
        <w:t xml:space="preserve">probability of entry in a host country in the case of EE MNEs (i.e. an increase of 142%) but less than doubles it in the case of AE MNEs (i.e. an increase of 88%. </w:t>
      </w:r>
      <w:r w:rsidR="004F67CA" w:rsidRPr="00C244B9">
        <w:rPr>
          <w:sz w:val="22"/>
          <w:szCs w:val="22"/>
        </w:rPr>
        <w:t xml:space="preserve"> </w:t>
      </w:r>
    </w:p>
    <w:p w14:paraId="1AB4A21A" w14:textId="6D8BF227" w:rsidR="00DC6C94" w:rsidRPr="00C244B9" w:rsidRDefault="002C1A1B" w:rsidP="00CB5616">
      <w:pPr>
        <w:spacing w:line="480" w:lineRule="auto"/>
        <w:ind w:firstLine="284"/>
        <w:rPr>
          <w:sz w:val="22"/>
          <w:szCs w:val="22"/>
          <w:lang w:val="en-GB"/>
        </w:rPr>
      </w:pPr>
      <w:r w:rsidRPr="00C244B9">
        <w:rPr>
          <w:sz w:val="22"/>
          <w:szCs w:val="22"/>
        </w:rPr>
        <w:t xml:space="preserve">The interactive term </w:t>
      </w:r>
      <w:r w:rsidR="00FC10F6" w:rsidRPr="00C244B9">
        <w:rPr>
          <w:sz w:val="22"/>
          <w:szCs w:val="22"/>
        </w:rPr>
        <w:t>population</w:t>
      </w:r>
      <w:r w:rsidRPr="00C244B9">
        <w:rPr>
          <w:sz w:val="22"/>
          <w:szCs w:val="22"/>
        </w:rPr>
        <w:t xml:space="preserve"> </w:t>
      </w:r>
      <w:r w:rsidR="00E96FD2" w:rsidRPr="00C244B9">
        <w:rPr>
          <w:sz w:val="22"/>
          <w:szCs w:val="22"/>
        </w:rPr>
        <w:t xml:space="preserve">* EE </w:t>
      </w:r>
      <w:r w:rsidR="00FC10F6" w:rsidRPr="00C244B9">
        <w:rPr>
          <w:sz w:val="22"/>
          <w:szCs w:val="22"/>
        </w:rPr>
        <w:t>is</w:t>
      </w:r>
      <w:r w:rsidR="00E96FD2" w:rsidRPr="00C244B9">
        <w:rPr>
          <w:sz w:val="22"/>
          <w:szCs w:val="22"/>
        </w:rPr>
        <w:t xml:space="preserve"> </w:t>
      </w:r>
      <w:r w:rsidRPr="00C244B9">
        <w:rPr>
          <w:sz w:val="22"/>
          <w:szCs w:val="22"/>
        </w:rPr>
        <w:t>both positive and sta</w:t>
      </w:r>
      <w:r w:rsidR="003F239C" w:rsidRPr="00C244B9">
        <w:rPr>
          <w:sz w:val="22"/>
          <w:szCs w:val="22"/>
        </w:rPr>
        <w:t>tistically significant at the 1</w:t>
      </w:r>
      <w:r w:rsidRPr="00C244B9">
        <w:rPr>
          <w:sz w:val="22"/>
          <w:szCs w:val="22"/>
        </w:rPr>
        <w:t>% level</w:t>
      </w:r>
      <w:r w:rsidR="003F3C6E" w:rsidRPr="00C244B9">
        <w:rPr>
          <w:sz w:val="22"/>
          <w:szCs w:val="22"/>
        </w:rPr>
        <w:t xml:space="preserve"> </w:t>
      </w:r>
      <w:r w:rsidR="003F3C6E" w:rsidRPr="00C244B9">
        <w:rPr>
          <w:sz w:val="22"/>
          <w:szCs w:val="22"/>
          <w:lang w:val="en-GB"/>
        </w:rPr>
        <w:t>(with a p-value of 0.000)</w:t>
      </w:r>
      <w:r w:rsidRPr="00C244B9">
        <w:rPr>
          <w:sz w:val="22"/>
          <w:szCs w:val="22"/>
        </w:rPr>
        <w:t xml:space="preserve">. Thus the data also provide strong support for </w:t>
      </w:r>
      <w:r w:rsidR="00A57282" w:rsidRPr="00C244B9">
        <w:rPr>
          <w:sz w:val="22"/>
          <w:szCs w:val="22"/>
        </w:rPr>
        <w:t>H</w:t>
      </w:r>
      <w:r w:rsidRPr="00C244B9">
        <w:rPr>
          <w:sz w:val="22"/>
          <w:szCs w:val="22"/>
        </w:rPr>
        <w:t>ypothesis 4.</w:t>
      </w:r>
    </w:p>
    <w:p w14:paraId="6B9B5184" w14:textId="5008F0C9" w:rsidR="0064069A" w:rsidRDefault="00C3736D" w:rsidP="00FC10F6">
      <w:pPr>
        <w:widowControl w:val="0"/>
        <w:autoSpaceDE w:val="0"/>
        <w:autoSpaceDN w:val="0"/>
        <w:adjustRightInd w:val="0"/>
        <w:spacing w:line="480" w:lineRule="auto"/>
        <w:ind w:firstLine="284"/>
        <w:jc w:val="both"/>
        <w:rPr>
          <w:sz w:val="22"/>
          <w:szCs w:val="22"/>
          <w:lang w:val="en-GB"/>
        </w:rPr>
      </w:pPr>
      <w:r w:rsidRPr="00C244B9">
        <w:rPr>
          <w:sz w:val="22"/>
          <w:szCs w:val="22"/>
          <w:lang w:val="en-GB"/>
        </w:rPr>
        <w:t xml:space="preserve">The results from the control </w:t>
      </w:r>
      <w:r w:rsidR="00F16B4B" w:rsidRPr="00C244B9">
        <w:rPr>
          <w:sz w:val="22"/>
          <w:szCs w:val="22"/>
          <w:lang w:val="en-GB"/>
        </w:rPr>
        <w:t>variables</w:t>
      </w:r>
      <w:r w:rsidRPr="00C244B9">
        <w:rPr>
          <w:sz w:val="22"/>
          <w:szCs w:val="22"/>
          <w:lang w:val="en-GB"/>
        </w:rPr>
        <w:t xml:space="preserve"> </w:t>
      </w:r>
      <w:r w:rsidR="00184B82">
        <w:rPr>
          <w:sz w:val="22"/>
          <w:szCs w:val="22"/>
          <w:lang w:val="en-GB"/>
        </w:rPr>
        <w:t xml:space="preserve">also </w:t>
      </w:r>
      <w:r w:rsidRPr="00C244B9">
        <w:rPr>
          <w:sz w:val="22"/>
          <w:szCs w:val="22"/>
          <w:lang w:val="en-GB"/>
        </w:rPr>
        <w:t xml:space="preserve">conform </w:t>
      </w:r>
      <w:r w:rsidR="00F16B4B" w:rsidRPr="00C244B9">
        <w:rPr>
          <w:sz w:val="22"/>
          <w:szCs w:val="22"/>
          <w:lang w:val="en-GB"/>
        </w:rPr>
        <w:t>to</w:t>
      </w:r>
      <w:r w:rsidRPr="00C244B9">
        <w:rPr>
          <w:sz w:val="22"/>
          <w:szCs w:val="22"/>
          <w:lang w:val="en-GB"/>
        </w:rPr>
        <w:t xml:space="preserve"> expectations. </w:t>
      </w:r>
      <w:r w:rsidR="003C1960" w:rsidRPr="00C244B9">
        <w:rPr>
          <w:sz w:val="22"/>
          <w:szCs w:val="22"/>
        </w:rPr>
        <w:t>Countries that have a higher share of manufacturing attract more FDI. The coefficient</w:t>
      </w:r>
      <w:r w:rsidR="000111F6" w:rsidRPr="00C244B9">
        <w:rPr>
          <w:sz w:val="22"/>
          <w:szCs w:val="22"/>
        </w:rPr>
        <w:t>s</w:t>
      </w:r>
      <w:r w:rsidR="003C1960" w:rsidRPr="00C244B9">
        <w:rPr>
          <w:sz w:val="22"/>
          <w:szCs w:val="22"/>
        </w:rPr>
        <w:t xml:space="preserve"> on </w:t>
      </w:r>
      <w:r w:rsidR="00FC10F6" w:rsidRPr="00C244B9">
        <w:rPr>
          <w:sz w:val="22"/>
          <w:szCs w:val="22"/>
        </w:rPr>
        <w:t xml:space="preserve">GDP growth and </w:t>
      </w:r>
      <w:r w:rsidR="003C1960" w:rsidRPr="00C244B9">
        <w:rPr>
          <w:sz w:val="22"/>
          <w:szCs w:val="22"/>
        </w:rPr>
        <w:t>GDP per capita</w:t>
      </w:r>
      <w:r w:rsidR="00F75AEC" w:rsidRPr="00C244B9">
        <w:rPr>
          <w:sz w:val="22"/>
          <w:szCs w:val="22"/>
        </w:rPr>
        <w:t xml:space="preserve"> </w:t>
      </w:r>
      <w:r w:rsidR="000111F6" w:rsidRPr="00C244B9">
        <w:rPr>
          <w:sz w:val="22"/>
          <w:szCs w:val="22"/>
        </w:rPr>
        <w:t xml:space="preserve">are </w:t>
      </w:r>
      <w:r w:rsidR="00637C62" w:rsidRPr="00C244B9">
        <w:rPr>
          <w:sz w:val="22"/>
          <w:szCs w:val="22"/>
        </w:rPr>
        <w:t>positive</w:t>
      </w:r>
      <w:r w:rsidR="00A10538" w:rsidRPr="00C244B9">
        <w:rPr>
          <w:sz w:val="22"/>
          <w:szCs w:val="22"/>
        </w:rPr>
        <w:t xml:space="preserve">. </w:t>
      </w:r>
      <w:r w:rsidR="003C1960" w:rsidRPr="00C244B9">
        <w:rPr>
          <w:sz w:val="22"/>
          <w:szCs w:val="22"/>
        </w:rPr>
        <w:t>The agglomeration effects are also significant</w:t>
      </w:r>
      <w:r w:rsidR="00A10538" w:rsidRPr="00C244B9">
        <w:rPr>
          <w:sz w:val="22"/>
          <w:szCs w:val="22"/>
        </w:rPr>
        <w:t xml:space="preserve"> and</w:t>
      </w:r>
      <w:r w:rsidR="003C1960" w:rsidRPr="00C244B9">
        <w:rPr>
          <w:sz w:val="22"/>
          <w:szCs w:val="22"/>
        </w:rPr>
        <w:t xml:space="preserve"> positive</w:t>
      </w:r>
      <w:r w:rsidR="00A10538" w:rsidRPr="00C244B9">
        <w:rPr>
          <w:sz w:val="22"/>
          <w:szCs w:val="22"/>
        </w:rPr>
        <w:t>;</w:t>
      </w:r>
      <w:r w:rsidR="003C1960" w:rsidRPr="00C244B9">
        <w:rPr>
          <w:sz w:val="22"/>
          <w:szCs w:val="22"/>
        </w:rPr>
        <w:t xml:space="preserve"> MNEs are more likely to locate in host countries where </w:t>
      </w:r>
      <w:r w:rsidR="00390C28" w:rsidRPr="00C244B9">
        <w:rPr>
          <w:sz w:val="22"/>
          <w:szCs w:val="22"/>
        </w:rPr>
        <w:t xml:space="preserve">there </w:t>
      </w:r>
      <w:r w:rsidR="003C1960" w:rsidRPr="00C244B9">
        <w:rPr>
          <w:sz w:val="22"/>
          <w:szCs w:val="22"/>
        </w:rPr>
        <w:t xml:space="preserve">has been already important FDI from their </w:t>
      </w:r>
      <w:r w:rsidR="003C1960" w:rsidRPr="00C244B9">
        <w:rPr>
          <w:sz w:val="22"/>
          <w:szCs w:val="22"/>
        </w:rPr>
        <w:lastRenderedPageBreak/>
        <w:t>home countries in the past.</w:t>
      </w:r>
      <w:r w:rsidR="00637C62" w:rsidRPr="00C244B9">
        <w:rPr>
          <w:sz w:val="22"/>
          <w:szCs w:val="22"/>
        </w:rPr>
        <w:t xml:space="preserve"> </w:t>
      </w:r>
      <w:r w:rsidR="00FC10F6" w:rsidRPr="00C244B9">
        <w:rPr>
          <w:sz w:val="22"/>
          <w:szCs w:val="22"/>
          <w:lang w:val="en-GB"/>
        </w:rPr>
        <w:t xml:space="preserve">Countries that are more open to trade also attract more FDI. </w:t>
      </w:r>
      <w:r w:rsidR="00637C62" w:rsidRPr="00C244B9">
        <w:rPr>
          <w:sz w:val="22"/>
          <w:szCs w:val="22"/>
        </w:rPr>
        <w:t xml:space="preserve">FDI is attracted relatively more to economies in which the share of manufacturing and trade are higher. </w:t>
      </w:r>
      <w:r w:rsidR="00BE1F08" w:rsidRPr="00C244B9">
        <w:rPr>
          <w:sz w:val="22"/>
          <w:szCs w:val="22"/>
          <w:lang w:val="en-GB"/>
        </w:rPr>
        <w:t>Finally,</w:t>
      </w:r>
      <w:r w:rsidR="00F16B4B" w:rsidRPr="00C244B9">
        <w:rPr>
          <w:sz w:val="22"/>
          <w:szCs w:val="22"/>
          <w:lang w:val="en-GB"/>
        </w:rPr>
        <w:t xml:space="preserve"> </w:t>
      </w:r>
      <w:r w:rsidR="00FC10F6" w:rsidRPr="00C244B9">
        <w:rPr>
          <w:sz w:val="22"/>
          <w:szCs w:val="22"/>
          <w:lang w:val="en-GB"/>
        </w:rPr>
        <w:t xml:space="preserve">the impact of a </w:t>
      </w:r>
      <w:r w:rsidR="00FC10F6" w:rsidRPr="00C244B9">
        <w:rPr>
          <w:i/>
          <w:sz w:val="22"/>
          <w:szCs w:val="22"/>
          <w:lang w:val="en-GB"/>
        </w:rPr>
        <w:t>common language</w:t>
      </w:r>
      <w:r w:rsidR="00FC10F6" w:rsidRPr="00C244B9">
        <w:rPr>
          <w:sz w:val="22"/>
          <w:szCs w:val="22"/>
          <w:lang w:val="en-GB"/>
        </w:rPr>
        <w:t xml:space="preserve"> between home and host economies is positive and significant for all firms. </w:t>
      </w:r>
    </w:p>
    <w:p w14:paraId="020A23C4" w14:textId="27A5ECFE" w:rsidR="00D11E58" w:rsidRPr="00B979EE" w:rsidRDefault="00D11E58" w:rsidP="00B979EE">
      <w:pPr>
        <w:widowControl w:val="0"/>
        <w:autoSpaceDE w:val="0"/>
        <w:autoSpaceDN w:val="0"/>
        <w:adjustRightInd w:val="0"/>
        <w:spacing w:line="480" w:lineRule="auto"/>
        <w:ind w:firstLine="284"/>
        <w:jc w:val="center"/>
        <w:rPr>
          <w:b/>
          <w:sz w:val="22"/>
          <w:szCs w:val="22"/>
          <w:lang w:val="en-GB"/>
        </w:rPr>
      </w:pPr>
      <w:r w:rsidRPr="00B979EE">
        <w:rPr>
          <w:b/>
          <w:sz w:val="22"/>
          <w:szCs w:val="22"/>
          <w:lang w:val="en-GB"/>
        </w:rPr>
        <w:t>Supplementary Analyses</w:t>
      </w:r>
    </w:p>
    <w:p w14:paraId="40932F03" w14:textId="3CC2897C" w:rsidR="0064069A" w:rsidRPr="00B979EE" w:rsidRDefault="0064069A" w:rsidP="00D11E58">
      <w:pPr>
        <w:widowControl w:val="0"/>
        <w:autoSpaceDE w:val="0"/>
        <w:autoSpaceDN w:val="0"/>
        <w:adjustRightInd w:val="0"/>
        <w:spacing w:line="480" w:lineRule="auto"/>
        <w:jc w:val="both"/>
        <w:rPr>
          <w:b/>
          <w:i/>
          <w:sz w:val="22"/>
          <w:szCs w:val="22"/>
          <w:lang w:val="en-GB"/>
        </w:rPr>
      </w:pPr>
      <w:r w:rsidRPr="00B979EE">
        <w:rPr>
          <w:b/>
          <w:i/>
          <w:sz w:val="22"/>
          <w:szCs w:val="22"/>
          <w:lang w:val="en-GB"/>
        </w:rPr>
        <w:t>Country-Specific Analyses</w:t>
      </w:r>
    </w:p>
    <w:p w14:paraId="55F4C61E" w14:textId="567231D3" w:rsidR="0064069A" w:rsidRPr="00C244B9" w:rsidRDefault="000111F6" w:rsidP="00D11E58">
      <w:pPr>
        <w:widowControl w:val="0"/>
        <w:autoSpaceDE w:val="0"/>
        <w:autoSpaceDN w:val="0"/>
        <w:adjustRightInd w:val="0"/>
        <w:spacing w:line="480" w:lineRule="auto"/>
        <w:jc w:val="both"/>
        <w:rPr>
          <w:i/>
          <w:sz w:val="22"/>
          <w:szCs w:val="22"/>
          <w:lang w:val="en-GB"/>
        </w:rPr>
      </w:pPr>
      <w:r w:rsidRPr="00C244B9">
        <w:rPr>
          <w:sz w:val="22"/>
          <w:szCs w:val="22"/>
          <w:lang w:val="en-GB"/>
        </w:rPr>
        <w:t xml:space="preserve">Our theoretical predictions were based on the typical features of EEs as home countries, but we are cognizant that each country may have idiosyncratic features. </w:t>
      </w:r>
      <w:r w:rsidR="00974392">
        <w:rPr>
          <w:sz w:val="22"/>
          <w:szCs w:val="22"/>
          <w:lang w:val="en-GB"/>
        </w:rPr>
        <w:t xml:space="preserve">Therefore, we have explored </w:t>
      </w:r>
      <w:r w:rsidR="00A44C6D">
        <w:rPr>
          <w:sz w:val="22"/>
          <w:szCs w:val="22"/>
          <w:lang w:val="en-GB"/>
        </w:rPr>
        <w:t xml:space="preserve">to what extent our </w:t>
      </w:r>
      <w:r w:rsidRPr="00C244B9">
        <w:rPr>
          <w:sz w:val="22"/>
          <w:szCs w:val="22"/>
          <w:lang w:val="en-GB"/>
        </w:rPr>
        <w:t>hypothesized effect</w:t>
      </w:r>
      <w:r w:rsidR="00045445" w:rsidRPr="00C244B9">
        <w:rPr>
          <w:sz w:val="22"/>
          <w:szCs w:val="22"/>
          <w:lang w:val="en-GB"/>
        </w:rPr>
        <w:t>s</w:t>
      </w:r>
      <w:r w:rsidRPr="00C244B9">
        <w:rPr>
          <w:sz w:val="22"/>
          <w:szCs w:val="22"/>
          <w:lang w:val="en-GB"/>
        </w:rPr>
        <w:t xml:space="preserve"> hold true </w:t>
      </w:r>
      <w:r w:rsidR="00974392">
        <w:rPr>
          <w:sz w:val="22"/>
          <w:szCs w:val="22"/>
          <w:lang w:val="en-GB"/>
        </w:rPr>
        <w:t xml:space="preserve">for MNEs from </w:t>
      </w:r>
      <w:r w:rsidR="00A44C6D">
        <w:rPr>
          <w:sz w:val="22"/>
          <w:szCs w:val="22"/>
          <w:lang w:val="en-GB"/>
        </w:rPr>
        <w:t xml:space="preserve">each </w:t>
      </w:r>
      <w:r w:rsidRPr="00C244B9">
        <w:rPr>
          <w:sz w:val="22"/>
          <w:szCs w:val="22"/>
          <w:lang w:val="en-GB"/>
        </w:rPr>
        <w:t>home countr</w:t>
      </w:r>
      <w:r w:rsidR="00974392">
        <w:rPr>
          <w:sz w:val="22"/>
          <w:szCs w:val="22"/>
          <w:lang w:val="en-GB"/>
        </w:rPr>
        <w:t>y</w:t>
      </w:r>
      <w:r w:rsidRPr="00C244B9">
        <w:rPr>
          <w:sz w:val="22"/>
          <w:szCs w:val="22"/>
          <w:lang w:val="en-GB"/>
        </w:rPr>
        <w:t xml:space="preserve"> when analys</w:t>
      </w:r>
      <w:r w:rsidR="00045445" w:rsidRPr="00C244B9">
        <w:rPr>
          <w:sz w:val="22"/>
          <w:szCs w:val="22"/>
          <w:lang w:val="en-GB"/>
        </w:rPr>
        <w:t>ed</w:t>
      </w:r>
      <w:r w:rsidRPr="00C244B9">
        <w:rPr>
          <w:sz w:val="22"/>
          <w:szCs w:val="22"/>
          <w:lang w:val="en-GB"/>
        </w:rPr>
        <w:t xml:space="preserve"> in isolation. </w:t>
      </w:r>
      <w:r w:rsidR="00974392">
        <w:rPr>
          <w:sz w:val="22"/>
          <w:szCs w:val="22"/>
          <w:lang w:val="en-GB"/>
        </w:rPr>
        <w:t>W</w:t>
      </w:r>
      <w:r w:rsidR="00A44C6D">
        <w:rPr>
          <w:sz w:val="22"/>
          <w:szCs w:val="22"/>
          <w:lang w:val="en-GB"/>
        </w:rPr>
        <w:t xml:space="preserve">e are aware that this </w:t>
      </w:r>
      <w:r w:rsidR="000B1FBC">
        <w:rPr>
          <w:sz w:val="22"/>
          <w:szCs w:val="22"/>
          <w:lang w:val="en-GB"/>
        </w:rPr>
        <w:t xml:space="preserve">approach is subject to substantial noise in the data. </w:t>
      </w:r>
      <w:r w:rsidR="00974392">
        <w:rPr>
          <w:sz w:val="22"/>
          <w:szCs w:val="22"/>
          <w:lang w:val="en-GB"/>
        </w:rPr>
        <w:t>Our theoretical analysis focuses on features that typically are ass</w:t>
      </w:r>
      <w:r w:rsidR="000B1FBC">
        <w:rPr>
          <w:sz w:val="22"/>
          <w:szCs w:val="22"/>
          <w:lang w:val="en-GB"/>
        </w:rPr>
        <w:t>ocia</w:t>
      </w:r>
      <w:r w:rsidR="00974392">
        <w:rPr>
          <w:sz w:val="22"/>
          <w:szCs w:val="22"/>
          <w:lang w:val="en-GB"/>
        </w:rPr>
        <w:t xml:space="preserve">ted with emerging economies, but that theory allows for country-specific effects that may deviate from the general patterns. Yet </w:t>
      </w:r>
      <w:r w:rsidR="00A44C6D">
        <w:rPr>
          <w:sz w:val="22"/>
          <w:szCs w:val="22"/>
          <w:lang w:val="en-GB"/>
        </w:rPr>
        <w:t xml:space="preserve">greater insights </w:t>
      </w:r>
      <w:r w:rsidR="00974392">
        <w:rPr>
          <w:sz w:val="22"/>
          <w:szCs w:val="22"/>
          <w:lang w:val="en-GB"/>
        </w:rPr>
        <w:t>can be gained from the more</w:t>
      </w:r>
      <w:r w:rsidR="00A44C6D">
        <w:rPr>
          <w:sz w:val="22"/>
          <w:szCs w:val="22"/>
          <w:lang w:val="en-GB"/>
        </w:rPr>
        <w:t xml:space="preserve"> fine grained analysis</w:t>
      </w:r>
      <w:r w:rsidR="000B1FBC">
        <w:rPr>
          <w:sz w:val="22"/>
          <w:szCs w:val="22"/>
          <w:lang w:val="en-GB"/>
        </w:rPr>
        <w:t xml:space="preserve">. Thus we re-estimate </w:t>
      </w:r>
      <w:r w:rsidR="00A44C6D">
        <w:rPr>
          <w:sz w:val="22"/>
          <w:szCs w:val="22"/>
          <w:lang w:val="en-GB"/>
        </w:rPr>
        <w:t xml:space="preserve">the regression equations </w:t>
      </w:r>
      <w:r w:rsidR="00A44C6D" w:rsidRPr="00A44C6D">
        <w:rPr>
          <w:sz w:val="22"/>
          <w:szCs w:val="22"/>
          <w:lang w:val="en-GB"/>
        </w:rPr>
        <w:t>of Table 5</w:t>
      </w:r>
      <w:r w:rsidR="00A44C6D">
        <w:rPr>
          <w:sz w:val="22"/>
          <w:szCs w:val="22"/>
          <w:lang w:val="en-GB"/>
        </w:rPr>
        <w:t xml:space="preserve"> </w:t>
      </w:r>
      <w:r w:rsidR="00A44C6D" w:rsidRPr="00A44C6D">
        <w:rPr>
          <w:sz w:val="22"/>
          <w:szCs w:val="22"/>
          <w:lang w:val="en-GB"/>
        </w:rPr>
        <w:t>for subsamples of MNEs from each</w:t>
      </w:r>
      <w:r w:rsidR="00A44C6D">
        <w:rPr>
          <w:sz w:val="22"/>
          <w:szCs w:val="22"/>
          <w:lang w:val="en-GB"/>
        </w:rPr>
        <w:t xml:space="preserve"> </w:t>
      </w:r>
      <w:r w:rsidR="00A44C6D" w:rsidRPr="00A44C6D">
        <w:rPr>
          <w:sz w:val="22"/>
          <w:szCs w:val="22"/>
          <w:lang w:val="en-GB"/>
        </w:rPr>
        <w:t>home country</w:t>
      </w:r>
      <w:r w:rsidR="00A44C6D">
        <w:rPr>
          <w:sz w:val="22"/>
          <w:szCs w:val="22"/>
          <w:lang w:val="en-GB"/>
        </w:rPr>
        <w:t xml:space="preserve">. </w:t>
      </w:r>
      <w:r w:rsidR="008F433E">
        <w:rPr>
          <w:sz w:val="22"/>
          <w:szCs w:val="22"/>
          <w:lang w:val="en-GB"/>
        </w:rPr>
        <w:t>Naturally</w:t>
      </w:r>
      <w:r w:rsidR="00A44C6D">
        <w:rPr>
          <w:sz w:val="22"/>
          <w:szCs w:val="22"/>
          <w:lang w:val="en-GB"/>
        </w:rPr>
        <w:t xml:space="preserve">, the sample sizes are much reduced, </w:t>
      </w:r>
      <w:r w:rsidR="00974392">
        <w:rPr>
          <w:sz w:val="22"/>
          <w:szCs w:val="22"/>
          <w:lang w:val="en-GB"/>
        </w:rPr>
        <w:t xml:space="preserve">such that </w:t>
      </w:r>
      <w:r w:rsidR="00A44C6D">
        <w:rPr>
          <w:sz w:val="22"/>
          <w:szCs w:val="22"/>
          <w:lang w:val="en-GB"/>
        </w:rPr>
        <w:t xml:space="preserve">standard errors </w:t>
      </w:r>
      <w:r w:rsidR="002C76DB">
        <w:rPr>
          <w:sz w:val="22"/>
          <w:szCs w:val="22"/>
          <w:lang w:val="en-GB"/>
        </w:rPr>
        <w:t>may rise</w:t>
      </w:r>
      <w:r w:rsidR="00974392">
        <w:rPr>
          <w:sz w:val="22"/>
          <w:szCs w:val="22"/>
          <w:lang w:val="en-GB"/>
        </w:rPr>
        <w:t xml:space="preserve"> </w:t>
      </w:r>
      <w:r w:rsidR="00A44C6D">
        <w:rPr>
          <w:sz w:val="22"/>
          <w:szCs w:val="22"/>
          <w:lang w:val="en-GB"/>
        </w:rPr>
        <w:t xml:space="preserve">sharply in some cases and particular coefficient estimates may be unduly influenced by outliers. This makes some of the results hard to interpret. </w:t>
      </w:r>
      <w:r w:rsidR="008F433E">
        <w:rPr>
          <w:sz w:val="22"/>
          <w:szCs w:val="22"/>
          <w:lang w:val="en-GB"/>
        </w:rPr>
        <w:t>However, i</w:t>
      </w:r>
      <w:r w:rsidR="000213D6">
        <w:rPr>
          <w:sz w:val="22"/>
          <w:szCs w:val="22"/>
          <w:lang w:val="en-GB"/>
        </w:rPr>
        <w:t>n the spirit of full disclosure, which is called for in view of claims that social sciences selectively report confirmatory evidence (</w:t>
      </w:r>
      <w:r w:rsidR="00490304">
        <w:rPr>
          <w:sz w:val="22"/>
          <w:szCs w:val="22"/>
          <w:lang w:val="en-GB"/>
        </w:rPr>
        <w:t xml:space="preserve">Bettis et al., 2016; </w:t>
      </w:r>
      <w:r w:rsidR="000213D6">
        <w:rPr>
          <w:sz w:val="22"/>
          <w:szCs w:val="22"/>
          <w:lang w:val="en-GB"/>
        </w:rPr>
        <w:t>Hah</w:t>
      </w:r>
      <w:r w:rsidR="00490304">
        <w:rPr>
          <w:sz w:val="22"/>
          <w:szCs w:val="22"/>
          <w:lang w:val="en-GB"/>
        </w:rPr>
        <w:t>n</w:t>
      </w:r>
      <w:r w:rsidR="000213D6">
        <w:rPr>
          <w:sz w:val="22"/>
          <w:szCs w:val="22"/>
          <w:lang w:val="en-GB"/>
        </w:rPr>
        <w:t xml:space="preserve"> &amp; Ang, 2017; Meyer et al., 2017), we report in Tables 6a and 6b the full results for MNEs from each home country. </w:t>
      </w:r>
    </w:p>
    <w:p w14:paraId="1E8D2669" w14:textId="50124E46" w:rsidR="00B10125" w:rsidRPr="00C244B9" w:rsidRDefault="00B10125" w:rsidP="001B438A">
      <w:pPr>
        <w:widowControl w:val="0"/>
        <w:autoSpaceDE w:val="0"/>
        <w:autoSpaceDN w:val="0"/>
        <w:adjustRightInd w:val="0"/>
        <w:spacing w:line="480" w:lineRule="auto"/>
        <w:jc w:val="center"/>
        <w:rPr>
          <w:i/>
          <w:sz w:val="22"/>
          <w:szCs w:val="22"/>
          <w:lang w:val="en-GB"/>
        </w:rPr>
      </w:pPr>
      <w:r w:rsidRPr="00C244B9">
        <w:rPr>
          <w:i/>
          <w:sz w:val="22"/>
          <w:szCs w:val="22"/>
          <w:lang w:val="en-GB"/>
        </w:rPr>
        <w:t>Table 6a and Table 6b about here</w:t>
      </w:r>
    </w:p>
    <w:p w14:paraId="2A613EA6" w14:textId="695DA04D" w:rsidR="0064069A" w:rsidRPr="00C244B9" w:rsidRDefault="0064069A">
      <w:pPr>
        <w:widowControl w:val="0"/>
        <w:autoSpaceDE w:val="0"/>
        <w:autoSpaceDN w:val="0"/>
        <w:adjustRightInd w:val="0"/>
        <w:spacing w:line="480" w:lineRule="auto"/>
        <w:ind w:firstLine="284"/>
        <w:jc w:val="both"/>
        <w:rPr>
          <w:sz w:val="22"/>
          <w:szCs w:val="22"/>
          <w:lang w:val="en-GB"/>
        </w:rPr>
      </w:pPr>
      <w:r w:rsidRPr="00C244B9">
        <w:rPr>
          <w:sz w:val="22"/>
          <w:szCs w:val="22"/>
          <w:lang w:val="en-GB"/>
        </w:rPr>
        <w:t xml:space="preserve">Commencing with Hypothesis 1 on the effect of IPR, we find that as expected for AE MNEs the coefficients </w:t>
      </w:r>
      <w:r w:rsidR="00DC6AA7" w:rsidRPr="00C244B9">
        <w:rPr>
          <w:sz w:val="22"/>
          <w:szCs w:val="22"/>
          <w:lang w:val="en-GB"/>
        </w:rPr>
        <w:t xml:space="preserve">are </w:t>
      </w:r>
      <w:r w:rsidR="002B1F05" w:rsidRPr="00C244B9">
        <w:rPr>
          <w:sz w:val="22"/>
          <w:szCs w:val="22"/>
          <w:lang w:val="en-GB"/>
        </w:rPr>
        <w:t>mostly</w:t>
      </w:r>
      <w:r w:rsidRPr="00C244B9">
        <w:rPr>
          <w:sz w:val="22"/>
          <w:szCs w:val="22"/>
          <w:lang w:val="en-GB"/>
        </w:rPr>
        <w:t xml:space="preserve"> positive and significant</w:t>
      </w:r>
      <w:r w:rsidR="002B1F05" w:rsidRPr="00C244B9">
        <w:rPr>
          <w:sz w:val="22"/>
          <w:szCs w:val="22"/>
          <w:lang w:val="en-GB"/>
        </w:rPr>
        <w:t xml:space="preserve"> with the exception of German</w:t>
      </w:r>
      <w:r w:rsidR="00986790">
        <w:rPr>
          <w:sz w:val="22"/>
          <w:szCs w:val="22"/>
          <w:lang w:val="en-GB"/>
        </w:rPr>
        <w:t xml:space="preserve"> MNEs</w:t>
      </w:r>
      <w:r w:rsidR="002B1F05" w:rsidRPr="00C244B9">
        <w:rPr>
          <w:sz w:val="22"/>
          <w:szCs w:val="22"/>
          <w:lang w:val="en-GB"/>
        </w:rPr>
        <w:t xml:space="preserve">, where it is significantly negative. In addition, it is negative, but insignificant </w:t>
      </w:r>
      <w:r w:rsidR="00986790">
        <w:rPr>
          <w:sz w:val="22"/>
          <w:szCs w:val="22"/>
          <w:lang w:val="en-GB"/>
        </w:rPr>
        <w:t>for</w:t>
      </w:r>
      <w:r w:rsidR="00986790" w:rsidRPr="00C244B9">
        <w:rPr>
          <w:sz w:val="22"/>
          <w:szCs w:val="22"/>
          <w:lang w:val="en-GB"/>
        </w:rPr>
        <w:t xml:space="preserve"> </w:t>
      </w:r>
      <w:r w:rsidR="002B1F05" w:rsidRPr="00C244B9">
        <w:rPr>
          <w:sz w:val="22"/>
          <w:szCs w:val="22"/>
          <w:lang w:val="en-GB"/>
        </w:rPr>
        <w:t>Spa</w:t>
      </w:r>
      <w:r w:rsidR="00986790">
        <w:rPr>
          <w:sz w:val="22"/>
          <w:szCs w:val="22"/>
          <w:lang w:val="en-GB"/>
        </w:rPr>
        <w:t>nish and French MNEs</w:t>
      </w:r>
      <w:r w:rsidRPr="00C244B9">
        <w:rPr>
          <w:sz w:val="22"/>
          <w:szCs w:val="22"/>
          <w:lang w:val="en-GB"/>
        </w:rPr>
        <w:t xml:space="preserve">. </w:t>
      </w:r>
      <w:r w:rsidR="002B1F05" w:rsidRPr="00C244B9">
        <w:rPr>
          <w:sz w:val="22"/>
          <w:szCs w:val="22"/>
          <w:lang w:val="en-GB"/>
        </w:rPr>
        <w:t>Concerning</w:t>
      </w:r>
      <w:r w:rsidRPr="00C244B9">
        <w:rPr>
          <w:sz w:val="22"/>
          <w:szCs w:val="22"/>
          <w:lang w:val="en-GB"/>
        </w:rPr>
        <w:t xml:space="preserve"> EE MNEs, while the coefficients are mostly </w:t>
      </w:r>
      <w:r w:rsidRPr="00C244B9">
        <w:rPr>
          <w:i/>
          <w:sz w:val="22"/>
          <w:szCs w:val="22"/>
          <w:lang w:val="en-GB"/>
        </w:rPr>
        <w:t>positive</w:t>
      </w:r>
      <w:r w:rsidRPr="00C244B9">
        <w:rPr>
          <w:sz w:val="22"/>
          <w:szCs w:val="22"/>
          <w:lang w:val="en-GB"/>
        </w:rPr>
        <w:t xml:space="preserve"> and significant (Brazil, India, South Africa and </w:t>
      </w:r>
      <w:r w:rsidR="002B1F05" w:rsidRPr="00C244B9">
        <w:rPr>
          <w:sz w:val="22"/>
          <w:szCs w:val="22"/>
          <w:lang w:val="en-GB"/>
        </w:rPr>
        <w:t>China</w:t>
      </w:r>
      <w:r w:rsidRPr="00C244B9">
        <w:rPr>
          <w:sz w:val="22"/>
          <w:szCs w:val="22"/>
          <w:lang w:val="en-GB"/>
        </w:rPr>
        <w:t xml:space="preserve">), IPR protection </w:t>
      </w:r>
      <w:r w:rsidR="00184B82">
        <w:rPr>
          <w:sz w:val="22"/>
          <w:szCs w:val="22"/>
          <w:lang w:val="en-GB"/>
        </w:rPr>
        <w:t xml:space="preserve">is </w:t>
      </w:r>
      <w:r w:rsidRPr="00C244B9">
        <w:rPr>
          <w:sz w:val="22"/>
          <w:szCs w:val="22"/>
          <w:lang w:val="en-GB"/>
        </w:rPr>
        <w:t xml:space="preserve">actually </w:t>
      </w:r>
      <w:r w:rsidRPr="00C244B9">
        <w:rPr>
          <w:sz w:val="22"/>
          <w:szCs w:val="22"/>
          <w:lang w:val="en-GB"/>
        </w:rPr>
        <w:lastRenderedPageBreak/>
        <w:t xml:space="preserve">significantly </w:t>
      </w:r>
      <w:r w:rsidR="00184B82" w:rsidRPr="00D34638">
        <w:rPr>
          <w:i/>
          <w:sz w:val="22"/>
          <w:szCs w:val="22"/>
          <w:lang w:val="en-GB"/>
        </w:rPr>
        <w:t>negatively</w:t>
      </w:r>
      <w:r w:rsidR="00184B82">
        <w:rPr>
          <w:sz w:val="22"/>
          <w:szCs w:val="22"/>
          <w:lang w:val="en-GB"/>
        </w:rPr>
        <w:t xml:space="preserve"> associated with</w:t>
      </w:r>
      <w:r w:rsidR="00184B82" w:rsidRPr="00C244B9">
        <w:rPr>
          <w:sz w:val="22"/>
          <w:szCs w:val="22"/>
          <w:lang w:val="en-GB"/>
        </w:rPr>
        <w:t xml:space="preserve"> </w:t>
      </w:r>
      <w:r w:rsidRPr="00C244B9">
        <w:rPr>
          <w:sz w:val="22"/>
          <w:szCs w:val="22"/>
          <w:lang w:val="en-GB"/>
        </w:rPr>
        <w:t>FDI from two EEs</w:t>
      </w:r>
      <w:r w:rsidR="00A57282" w:rsidRPr="00C244B9">
        <w:rPr>
          <w:sz w:val="22"/>
          <w:szCs w:val="22"/>
          <w:lang w:val="en-GB"/>
        </w:rPr>
        <w:t>,</w:t>
      </w:r>
      <w:r w:rsidRPr="00C244B9">
        <w:rPr>
          <w:sz w:val="22"/>
          <w:szCs w:val="22"/>
          <w:lang w:val="en-GB"/>
        </w:rPr>
        <w:t xml:space="preserve"> Russia and Turkey</w:t>
      </w:r>
      <w:r w:rsidR="00A57282" w:rsidRPr="00C244B9">
        <w:rPr>
          <w:sz w:val="22"/>
          <w:szCs w:val="22"/>
          <w:lang w:val="en-GB"/>
        </w:rPr>
        <w:t>,</w:t>
      </w:r>
      <w:r w:rsidRPr="00C244B9">
        <w:rPr>
          <w:sz w:val="22"/>
          <w:szCs w:val="22"/>
          <w:lang w:val="en-GB"/>
        </w:rPr>
        <w:t xml:space="preserve"> and has no significant effect </w:t>
      </w:r>
      <w:r w:rsidR="002B1F05" w:rsidRPr="00C244B9">
        <w:rPr>
          <w:sz w:val="22"/>
          <w:szCs w:val="22"/>
          <w:lang w:val="en-GB"/>
        </w:rPr>
        <w:t>for Mexico</w:t>
      </w:r>
      <w:r w:rsidRPr="00C244B9">
        <w:rPr>
          <w:sz w:val="22"/>
          <w:szCs w:val="22"/>
          <w:lang w:val="en-GB"/>
        </w:rPr>
        <w:t xml:space="preserve">. The fact that </w:t>
      </w:r>
      <w:r w:rsidR="00A57282" w:rsidRPr="00C244B9">
        <w:rPr>
          <w:sz w:val="22"/>
          <w:szCs w:val="22"/>
          <w:lang w:val="en-GB"/>
        </w:rPr>
        <w:t xml:space="preserve">MNEs from </w:t>
      </w:r>
      <w:r w:rsidR="004E36CA" w:rsidRPr="00C244B9">
        <w:rPr>
          <w:sz w:val="22"/>
          <w:szCs w:val="22"/>
          <w:lang w:val="en-GB"/>
        </w:rPr>
        <w:t>two</w:t>
      </w:r>
      <w:r w:rsidRPr="00C244B9">
        <w:rPr>
          <w:sz w:val="22"/>
          <w:szCs w:val="22"/>
          <w:lang w:val="en-GB"/>
        </w:rPr>
        <w:t xml:space="preserve"> </w:t>
      </w:r>
      <w:r w:rsidR="00A57282" w:rsidRPr="00C244B9">
        <w:rPr>
          <w:sz w:val="22"/>
          <w:szCs w:val="22"/>
          <w:lang w:val="en-GB"/>
        </w:rPr>
        <w:t>EEs</w:t>
      </w:r>
      <w:r w:rsidRPr="00C244B9">
        <w:rPr>
          <w:sz w:val="22"/>
          <w:szCs w:val="22"/>
          <w:lang w:val="en-GB"/>
        </w:rPr>
        <w:t xml:space="preserve"> are </w:t>
      </w:r>
      <w:r w:rsidR="00A2641F" w:rsidRPr="00C244B9">
        <w:rPr>
          <w:sz w:val="22"/>
          <w:szCs w:val="22"/>
          <w:lang w:val="en-GB"/>
        </w:rPr>
        <w:t xml:space="preserve">actually </w:t>
      </w:r>
      <w:r w:rsidR="00A2641F" w:rsidRPr="00C244B9">
        <w:rPr>
          <w:i/>
          <w:sz w:val="22"/>
          <w:szCs w:val="22"/>
          <w:lang w:val="en-GB"/>
        </w:rPr>
        <w:t>deterred</w:t>
      </w:r>
      <w:r w:rsidR="00A2641F" w:rsidRPr="00C244B9">
        <w:rPr>
          <w:sz w:val="22"/>
          <w:szCs w:val="22"/>
          <w:lang w:val="en-GB"/>
        </w:rPr>
        <w:t xml:space="preserve"> </w:t>
      </w:r>
      <w:r w:rsidRPr="00C244B9">
        <w:rPr>
          <w:sz w:val="22"/>
          <w:szCs w:val="22"/>
          <w:lang w:val="en-GB"/>
        </w:rPr>
        <w:t xml:space="preserve">by stronger </w:t>
      </w:r>
      <w:r w:rsidR="00184B82">
        <w:rPr>
          <w:sz w:val="22"/>
          <w:szCs w:val="22"/>
          <w:lang w:val="en-GB"/>
        </w:rPr>
        <w:t xml:space="preserve">host </w:t>
      </w:r>
      <w:r w:rsidR="004E36CA" w:rsidRPr="00C244B9">
        <w:rPr>
          <w:sz w:val="22"/>
          <w:szCs w:val="22"/>
          <w:lang w:val="en-GB"/>
        </w:rPr>
        <w:t>IPR</w:t>
      </w:r>
      <w:r w:rsidRPr="00C244B9">
        <w:rPr>
          <w:sz w:val="22"/>
          <w:szCs w:val="22"/>
          <w:lang w:val="en-GB"/>
        </w:rPr>
        <w:t>, these being countries which themselves have a weak rule of law and property rights protection, explain</w:t>
      </w:r>
      <w:r w:rsidR="00A2641F" w:rsidRPr="00C244B9">
        <w:rPr>
          <w:sz w:val="22"/>
          <w:szCs w:val="22"/>
          <w:lang w:val="en-GB"/>
        </w:rPr>
        <w:t>s</w:t>
      </w:r>
      <w:r w:rsidRPr="00C244B9">
        <w:rPr>
          <w:sz w:val="22"/>
          <w:szCs w:val="22"/>
          <w:lang w:val="en-GB"/>
        </w:rPr>
        <w:t xml:space="preserve"> why overall we </w:t>
      </w:r>
      <w:r w:rsidR="00A2641F" w:rsidRPr="00C244B9">
        <w:rPr>
          <w:sz w:val="22"/>
          <w:szCs w:val="22"/>
          <w:lang w:val="en-GB"/>
        </w:rPr>
        <w:t xml:space="preserve">only find </w:t>
      </w:r>
      <w:r w:rsidR="00E33FDC" w:rsidRPr="00C244B9">
        <w:rPr>
          <w:sz w:val="22"/>
          <w:szCs w:val="22"/>
          <w:lang w:val="en-GB"/>
        </w:rPr>
        <w:t xml:space="preserve">at best </w:t>
      </w:r>
      <w:r w:rsidR="00A2641F" w:rsidRPr="00C244B9">
        <w:rPr>
          <w:sz w:val="22"/>
          <w:szCs w:val="22"/>
          <w:lang w:val="en-GB"/>
        </w:rPr>
        <w:t xml:space="preserve">mixed </w:t>
      </w:r>
      <w:r w:rsidRPr="00C244B9">
        <w:rPr>
          <w:sz w:val="22"/>
          <w:szCs w:val="22"/>
          <w:lang w:val="en-GB"/>
        </w:rPr>
        <w:t xml:space="preserve">support </w:t>
      </w:r>
      <w:r w:rsidR="00A2641F" w:rsidRPr="00C244B9">
        <w:rPr>
          <w:sz w:val="22"/>
          <w:szCs w:val="22"/>
          <w:lang w:val="en-GB"/>
        </w:rPr>
        <w:t xml:space="preserve">for </w:t>
      </w:r>
      <w:r w:rsidR="000111F6" w:rsidRPr="00C244B9">
        <w:rPr>
          <w:sz w:val="22"/>
          <w:szCs w:val="22"/>
          <w:lang w:val="en-GB"/>
        </w:rPr>
        <w:t>H</w:t>
      </w:r>
      <w:r w:rsidRPr="00C244B9">
        <w:rPr>
          <w:sz w:val="22"/>
          <w:szCs w:val="22"/>
          <w:lang w:val="en-GB"/>
        </w:rPr>
        <w:t xml:space="preserve">ypothesis 1. </w:t>
      </w:r>
      <w:r w:rsidR="000B1FBC">
        <w:rPr>
          <w:sz w:val="22"/>
          <w:szCs w:val="22"/>
          <w:lang w:val="en-GB"/>
        </w:rPr>
        <w:t xml:space="preserve">A possible explanation for the two outliers, Russia and Turkey, is the hypothesis advanced by </w:t>
      </w:r>
      <w:r w:rsidR="000B1FBC" w:rsidRPr="000B1FBC">
        <w:rPr>
          <w:sz w:val="22"/>
          <w:szCs w:val="22"/>
          <w:lang w:val="en-GB"/>
        </w:rPr>
        <w:t>Cuervo-Cazurra and Genc</w:t>
      </w:r>
      <w:r w:rsidR="000B1FBC">
        <w:rPr>
          <w:sz w:val="22"/>
          <w:szCs w:val="22"/>
          <w:lang w:val="en-GB"/>
        </w:rPr>
        <w:t xml:space="preserve"> (</w:t>
      </w:r>
      <w:r w:rsidR="000B1FBC" w:rsidRPr="000B1FBC">
        <w:rPr>
          <w:sz w:val="22"/>
          <w:szCs w:val="22"/>
          <w:lang w:val="en-GB"/>
        </w:rPr>
        <w:t>2008</w:t>
      </w:r>
      <w:r w:rsidR="000B1FBC">
        <w:rPr>
          <w:sz w:val="22"/>
          <w:szCs w:val="22"/>
          <w:lang w:val="en-GB"/>
        </w:rPr>
        <w:t xml:space="preserve">) and </w:t>
      </w:r>
      <w:r w:rsidR="000B1FBC" w:rsidRPr="000B1FBC">
        <w:rPr>
          <w:sz w:val="22"/>
          <w:szCs w:val="22"/>
          <w:lang w:val="en-GB"/>
        </w:rPr>
        <w:t xml:space="preserve">Del Sol and Kogan </w:t>
      </w:r>
      <w:r w:rsidR="000B1FBC">
        <w:rPr>
          <w:sz w:val="22"/>
          <w:szCs w:val="22"/>
          <w:lang w:val="en-GB"/>
        </w:rPr>
        <w:t>(</w:t>
      </w:r>
      <w:r w:rsidR="000B1FBC" w:rsidRPr="000B1FBC">
        <w:rPr>
          <w:sz w:val="22"/>
          <w:szCs w:val="22"/>
          <w:lang w:val="en-GB"/>
        </w:rPr>
        <w:t>2007</w:t>
      </w:r>
      <w:r w:rsidR="000B1FBC">
        <w:rPr>
          <w:sz w:val="22"/>
          <w:szCs w:val="22"/>
          <w:lang w:val="en-GB"/>
        </w:rPr>
        <w:t xml:space="preserve">), among other authors, that capabilities in managing under institutional voids are part of the capabilities that MNEs from these two countries aim to exploit abroad. </w:t>
      </w:r>
    </w:p>
    <w:p w14:paraId="6FAD204C" w14:textId="5C6B12C8" w:rsidR="0064069A" w:rsidRPr="00C244B9" w:rsidRDefault="0064069A" w:rsidP="0064069A">
      <w:pPr>
        <w:widowControl w:val="0"/>
        <w:autoSpaceDE w:val="0"/>
        <w:autoSpaceDN w:val="0"/>
        <w:adjustRightInd w:val="0"/>
        <w:spacing w:line="480" w:lineRule="auto"/>
        <w:ind w:firstLine="284"/>
        <w:jc w:val="both"/>
        <w:rPr>
          <w:sz w:val="22"/>
          <w:szCs w:val="22"/>
          <w:lang w:val="en-GB"/>
        </w:rPr>
      </w:pPr>
      <w:r w:rsidRPr="00C244B9">
        <w:rPr>
          <w:sz w:val="22"/>
          <w:szCs w:val="22"/>
          <w:lang w:val="en-GB"/>
        </w:rPr>
        <w:t>Geographic distance is a significant deterrent for all AE</w:t>
      </w:r>
      <w:r w:rsidR="00BC0693">
        <w:rPr>
          <w:sz w:val="22"/>
          <w:szCs w:val="22"/>
          <w:lang w:val="en-GB"/>
        </w:rPr>
        <w:t xml:space="preserve"> MNE</w:t>
      </w:r>
      <w:r w:rsidRPr="00C244B9">
        <w:rPr>
          <w:sz w:val="22"/>
          <w:szCs w:val="22"/>
          <w:lang w:val="en-GB"/>
        </w:rPr>
        <w:t xml:space="preserve">s except </w:t>
      </w:r>
      <w:r w:rsidR="004E36CA" w:rsidRPr="00C244B9">
        <w:rPr>
          <w:sz w:val="22"/>
          <w:szCs w:val="22"/>
          <w:lang w:val="en-GB"/>
        </w:rPr>
        <w:t xml:space="preserve">for </w:t>
      </w:r>
      <w:r w:rsidRPr="00C244B9">
        <w:rPr>
          <w:sz w:val="22"/>
          <w:szCs w:val="22"/>
          <w:lang w:val="en-GB"/>
        </w:rPr>
        <w:t>UK and Canad</w:t>
      </w:r>
      <w:r w:rsidR="00A57282" w:rsidRPr="00C244B9">
        <w:rPr>
          <w:sz w:val="22"/>
          <w:szCs w:val="22"/>
          <w:lang w:val="en-GB"/>
        </w:rPr>
        <w:t>i</w:t>
      </w:r>
      <w:r w:rsidRPr="00C244B9">
        <w:rPr>
          <w:sz w:val="22"/>
          <w:szCs w:val="22"/>
          <w:lang w:val="en-GB"/>
        </w:rPr>
        <w:t>a</w:t>
      </w:r>
      <w:r w:rsidR="00A57282" w:rsidRPr="00C244B9">
        <w:rPr>
          <w:sz w:val="22"/>
          <w:szCs w:val="22"/>
          <w:lang w:val="en-GB"/>
        </w:rPr>
        <w:t>n MNEs</w:t>
      </w:r>
      <w:r w:rsidRPr="00C244B9">
        <w:rPr>
          <w:sz w:val="22"/>
          <w:szCs w:val="22"/>
          <w:lang w:val="en-GB"/>
        </w:rPr>
        <w:t xml:space="preserve">, though the coefficients are often </w:t>
      </w:r>
      <w:r w:rsidR="004E36CA" w:rsidRPr="00C244B9">
        <w:rPr>
          <w:sz w:val="22"/>
          <w:szCs w:val="22"/>
          <w:lang w:val="en-GB"/>
        </w:rPr>
        <w:t>small</w:t>
      </w:r>
      <w:r w:rsidRPr="00C244B9">
        <w:rPr>
          <w:sz w:val="22"/>
          <w:szCs w:val="22"/>
          <w:lang w:val="en-GB"/>
        </w:rPr>
        <w:t xml:space="preserve">. Geographic distance is also a major </w:t>
      </w:r>
      <w:r w:rsidRPr="00C244B9">
        <w:rPr>
          <w:i/>
          <w:sz w:val="22"/>
          <w:szCs w:val="22"/>
          <w:lang w:val="en-GB"/>
        </w:rPr>
        <w:t>deterrent</w:t>
      </w:r>
      <w:r w:rsidRPr="00C244B9">
        <w:rPr>
          <w:sz w:val="22"/>
          <w:szCs w:val="22"/>
          <w:lang w:val="en-GB"/>
        </w:rPr>
        <w:t xml:space="preserve"> for some emerging markets, notably China, India and South Afric</w:t>
      </w:r>
      <w:r w:rsidR="002B1F05" w:rsidRPr="00C244B9">
        <w:rPr>
          <w:sz w:val="22"/>
          <w:szCs w:val="22"/>
          <w:lang w:val="en-GB"/>
        </w:rPr>
        <w:t>a</w:t>
      </w:r>
      <w:r w:rsidRPr="00C244B9">
        <w:rPr>
          <w:sz w:val="22"/>
          <w:szCs w:val="22"/>
          <w:lang w:val="en-GB"/>
        </w:rPr>
        <w:t>; the coefficient for China is more than 1</w:t>
      </w:r>
      <w:r w:rsidR="002B1F05" w:rsidRPr="00C244B9">
        <w:rPr>
          <w:sz w:val="22"/>
          <w:szCs w:val="22"/>
          <w:lang w:val="en-GB"/>
        </w:rPr>
        <w:t>6</w:t>
      </w:r>
      <w:r w:rsidRPr="00C244B9">
        <w:rPr>
          <w:sz w:val="22"/>
          <w:szCs w:val="22"/>
          <w:lang w:val="en-GB"/>
        </w:rPr>
        <w:t xml:space="preserve">! However, distance also actually significantly </w:t>
      </w:r>
      <w:r w:rsidRPr="00C244B9">
        <w:rPr>
          <w:i/>
          <w:sz w:val="22"/>
          <w:szCs w:val="22"/>
          <w:lang w:val="en-GB"/>
        </w:rPr>
        <w:t>attracts</w:t>
      </w:r>
      <w:r w:rsidRPr="00C244B9">
        <w:rPr>
          <w:sz w:val="22"/>
          <w:szCs w:val="22"/>
          <w:lang w:val="en-GB"/>
        </w:rPr>
        <w:t xml:space="preserve"> MNEs from Russia and Brazil</w:t>
      </w:r>
      <w:r w:rsidR="00A57282" w:rsidRPr="00C244B9">
        <w:rPr>
          <w:sz w:val="22"/>
          <w:szCs w:val="22"/>
          <w:lang w:val="en-GB"/>
        </w:rPr>
        <w:t>,</w:t>
      </w:r>
      <w:r w:rsidRPr="00C244B9">
        <w:rPr>
          <w:sz w:val="22"/>
          <w:szCs w:val="22"/>
          <w:lang w:val="en-GB"/>
        </w:rPr>
        <w:t xml:space="preserve"> and has no significant effect on location choice from </w:t>
      </w:r>
      <w:r w:rsidR="002B1F05" w:rsidRPr="00C244B9">
        <w:rPr>
          <w:sz w:val="22"/>
          <w:szCs w:val="22"/>
          <w:lang w:val="en-GB"/>
        </w:rPr>
        <w:t>Turkey</w:t>
      </w:r>
      <w:r w:rsidRPr="00C244B9">
        <w:rPr>
          <w:sz w:val="22"/>
          <w:szCs w:val="22"/>
          <w:lang w:val="en-GB"/>
        </w:rPr>
        <w:t xml:space="preserve">. In </w:t>
      </w:r>
      <w:r w:rsidR="004E36CA" w:rsidRPr="00C244B9">
        <w:rPr>
          <w:sz w:val="22"/>
          <w:szCs w:val="22"/>
          <w:lang w:val="en-GB"/>
        </w:rPr>
        <w:t>the case of Brazilian MNEs, this reflects an affinity with Europe, and the Netherlands in particular</w:t>
      </w:r>
      <w:r w:rsidR="00184B82">
        <w:rPr>
          <w:sz w:val="22"/>
          <w:szCs w:val="22"/>
          <w:lang w:val="en-GB"/>
        </w:rPr>
        <w:t xml:space="preserve"> (see Table 2)</w:t>
      </w:r>
      <w:r w:rsidR="004E36CA" w:rsidRPr="00C244B9">
        <w:rPr>
          <w:sz w:val="22"/>
          <w:szCs w:val="22"/>
          <w:lang w:val="en-GB"/>
        </w:rPr>
        <w:t xml:space="preserve">; the case of Russian MNEs we discuss further below. Thus, the evidence suggests that </w:t>
      </w:r>
      <w:r w:rsidRPr="00C244B9">
        <w:rPr>
          <w:sz w:val="22"/>
          <w:szCs w:val="22"/>
          <w:lang w:val="en-GB"/>
        </w:rPr>
        <w:t xml:space="preserve">the deterrence effect of distance </w:t>
      </w:r>
      <w:r w:rsidR="004E36CA" w:rsidRPr="00C244B9">
        <w:rPr>
          <w:sz w:val="22"/>
          <w:szCs w:val="22"/>
          <w:lang w:val="en-GB"/>
        </w:rPr>
        <w:t>applies in general, as proposed in Hypothesis 2, but can be</w:t>
      </w:r>
      <w:r w:rsidRPr="00C244B9">
        <w:rPr>
          <w:sz w:val="22"/>
          <w:szCs w:val="22"/>
          <w:lang w:val="en-GB"/>
        </w:rPr>
        <w:t xml:space="preserve"> offset </w:t>
      </w:r>
      <w:r w:rsidR="004E36CA" w:rsidRPr="00C244B9">
        <w:rPr>
          <w:sz w:val="22"/>
          <w:szCs w:val="22"/>
          <w:lang w:val="en-GB"/>
        </w:rPr>
        <w:t>by positive relations such as historical ties for specific countries</w:t>
      </w:r>
      <w:r w:rsidRPr="00C244B9">
        <w:rPr>
          <w:sz w:val="22"/>
          <w:szCs w:val="22"/>
          <w:lang w:val="en-GB"/>
        </w:rPr>
        <w:t>.</w:t>
      </w:r>
      <w:r w:rsidR="00986790">
        <w:rPr>
          <w:rStyle w:val="FootnoteReference"/>
          <w:sz w:val="22"/>
          <w:szCs w:val="22"/>
          <w:lang w:val="en-GB"/>
        </w:rPr>
        <w:footnoteReference w:id="12"/>
      </w:r>
    </w:p>
    <w:p w14:paraId="5FBCF413" w14:textId="5D229048" w:rsidR="0064069A" w:rsidRPr="00C244B9" w:rsidRDefault="0064069A" w:rsidP="0064069A">
      <w:pPr>
        <w:widowControl w:val="0"/>
        <w:autoSpaceDE w:val="0"/>
        <w:autoSpaceDN w:val="0"/>
        <w:adjustRightInd w:val="0"/>
        <w:spacing w:line="480" w:lineRule="auto"/>
        <w:ind w:firstLine="284"/>
        <w:jc w:val="both"/>
        <w:rPr>
          <w:sz w:val="22"/>
          <w:szCs w:val="22"/>
          <w:lang w:val="en-GB"/>
        </w:rPr>
      </w:pPr>
      <w:r w:rsidRPr="00C244B9">
        <w:rPr>
          <w:sz w:val="22"/>
          <w:szCs w:val="22"/>
          <w:lang w:val="en-GB"/>
        </w:rPr>
        <w:t xml:space="preserve">At the country level, migrant diaspora are found to have a more marked positive effect on MNEs from EEs than AEs. </w:t>
      </w:r>
      <w:r w:rsidR="00B10125" w:rsidRPr="00C244B9">
        <w:rPr>
          <w:sz w:val="22"/>
          <w:szCs w:val="22"/>
          <w:lang w:val="en-GB"/>
        </w:rPr>
        <w:t xml:space="preserve">MNEs from </w:t>
      </w:r>
      <w:r w:rsidRPr="00C244B9">
        <w:rPr>
          <w:i/>
          <w:sz w:val="22"/>
          <w:szCs w:val="22"/>
          <w:lang w:val="en-GB"/>
        </w:rPr>
        <w:t>all</w:t>
      </w:r>
      <w:r w:rsidRPr="00C244B9">
        <w:rPr>
          <w:sz w:val="22"/>
          <w:szCs w:val="22"/>
          <w:lang w:val="en-GB"/>
        </w:rPr>
        <w:t xml:space="preserve"> EEs </w:t>
      </w:r>
      <w:r w:rsidR="00B10125" w:rsidRPr="00C244B9">
        <w:rPr>
          <w:sz w:val="22"/>
          <w:szCs w:val="22"/>
          <w:lang w:val="en-GB"/>
        </w:rPr>
        <w:t>appear to be</w:t>
      </w:r>
      <w:r w:rsidRPr="00C244B9">
        <w:rPr>
          <w:sz w:val="22"/>
          <w:szCs w:val="22"/>
          <w:lang w:val="en-GB"/>
        </w:rPr>
        <w:t xml:space="preserve"> </w:t>
      </w:r>
      <w:r w:rsidRPr="00C244B9">
        <w:rPr>
          <w:i/>
          <w:sz w:val="22"/>
          <w:szCs w:val="22"/>
          <w:lang w:val="en-GB"/>
        </w:rPr>
        <w:t>positive</w:t>
      </w:r>
      <w:r w:rsidR="00B10125" w:rsidRPr="00C244B9">
        <w:rPr>
          <w:i/>
          <w:sz w:val="22"/>
          <w:szCs w:val="22"/>
          <w:lang w:val="en-GB"/>
        </w:rPr>
        <w:t>ly</w:t>
      </w:r>
      <w:r w:rsidRPr="00C244B9">
        <w:rPr>
          <w:sz w:val="22"/>
          <w:szCs w:val="22"/>
          <w:lang w:val="en-GB"/>
        </w:rPr>
        <w:t xml:space="preserve"> attract</w:t>
      </w:r>
      <w:r w:rsidR="00B10125" w:rsidRPr="00C244B9">
        <w:rPr>
          <w:sz w:val="22"/>
          <w:szCs w:val="22"/>
          <w:lang w:val="en-GB"/>
        </w:rPr>
        <w:t>ed</w:t>
      </w:r>
      <w:r w:rsidRPr="00C244B9">
        <w:rPr>
          <w:sz w:val="22"/>
          <w:szCs w:val="22"/>
          <w:lang w:val="en-GB"/>
        </w:rPr>
        <w:t xml:space="preserve"> to locations with larger migrant diaspora, as against </w:t>
      </w:r>
      <w:r w:rsidR="00B10125" w:rsidRPr="00C244B9">
        <w:rPr>
          <w:sz w:val="22"/>
          <w:szCs w:val="22"/>
          <w:lang w:val="en-GB"/>
        </w:rPr>
        <w:t xml:space="preserve">MNEs from </w:t>
      </w:r>
      <w:r w:rsidRPr="00C244B9">
        <w:rPr>
          <w:sz w:val="22"/>
          <w:szCs w:val="22"/>
          <w:lang w:val="en-GB"/>
        </w:rPr>
        <w:t>only four of seven AEs</w:t>
      </w:r>
      <w:r w:rsidR="00B21782" w:rsidRPr="00C244B9">
        <w:rPr>
          <w:sz w:val="22"/>
          <w:szCs w:val="22"/>
          <w:lang w:val="en-GB"/>
        </w:rPr>
        <w:t xml:space="preserve"> (significant at the 5% level for only three of them)</w:t>
      </w:r>
      <w:r w:rsidRPr="00C244B9">
        <w:rPr>
          <w:sz w:val="22"/>
          <w:szCs w:val="22"/>
          <w:lang w:val="en-GB"/>
        </w:rPr>
        <w:t xml:space="preserve">. </w:t>
      </w:r>
      <w:r w:rsidR="004E36CA" w:rsidRPr="00C244B9">
        <w:rPr>
          <w:sz w:val="22"/>
          <w:szCs w:val="22"/>
          <w:lang w:val="en-GB"/>
        </w:rPr>
        <w:t>Specifically</w:t>
      </w:r>
      <w:r w:rsidRPr="00C244B9">
        <w:rPr>
          <w:sz w:val="22"/>
          <w:szCs w:val="22"/>
          <w:lang w:val="en-GB"/>
        </w:rPr>
        <w:t xml:space="preserve">, migrants have no FDI pulling power for MNEs </w:t>
      </w:r>
      <w:r w:rsidR="00986790">
        <w:rPr>
          <w:sz w:val="22"/>
          <w:szCs w:val="22"/>
          <w:lang w:val="en-GB"/>
        </w:rPr>
        <w:t>from</w:t>
      </w:r>
      <w:r w:rsidR="00986790" w:rsidRPr="00C244B9">
        <w:rPr>
          <w:sz w:val="22"/>
          <w:szCs w:val="22"/>
          <w:lang w:val="en-GB"/>
        </w:rPr>
        <w:t xml:space="preserve"> </w:t>
      </w:r>
      <w:r w:rsidR="00B21782" w:rsidRPr="00C244B9">
        <w:rPr>
          <w:sz w:val="22"/>
          <w:szCs w:val="22"/>
          <w:lang w:val="en-GB"/>
        </w:rPr>
        <w:t xml:space="preserve">Japan </w:t>
      </w:r>
      <w:r w:rsidRPr="00C244B9">
        <w:rPr>
          <w:sz w:val="22"/>
          <w:szCs w:val="22"/>
          <w:lang w:val="en-GB"/>
        </w:rPr>
        <w:t>and Canada and actually act to deter investments from the US</w:t>
      </w:r>
      <w:r w:rsidR="00B21782" w:rsidRPr="00C244B9">
        <w:rPr>
          <w:sz w:val="22"/>
          <w:szCs w:val="22"/>
          <w:lang w:val="en-GB"/>
        </w:rPr>
        <w:t xml:space="preserve"> and Spain</w:t>
      </w:r>
      <w:r w:rsidRPr="00C244B9">
        <w:rPr>
          <w:sz w:val="22"/>
          <w:szCs w:val="22"/>
          <w:lang w:val="en-GB"/>
        </w:rPr>
        <w:t xml:space="preserve">. </w:t>
      </w:r>
      <w:r w:rsidR="00184B82">
        <w:rPr>
          <w:sz w:val="22"/>
          <w:szCs w:val="22"/>
          <w:lang w:val="en-GB"/>
        </w:rPr>
        <w:t>On the other hand</w:t>
      </w:r>
      <w:r w:rsidR="00B10125" w:rsidRPr="00C244B9">
        <w:rPr>
          <w:sz w:val="22"/>
          <w:szCs w:val="22"/>
          <w:lang w:val="en-GB"/>
        </w:rPr>
        <w:t>,</w:t>
      </w:r>
      <w:r w:rsidRPr="00C244B9">
        <w:rPr>
          <w:sz w:val="22"/>
          <w:szCs w:val="22"/>
          <w:lang w:val="en-GB"/>
        </w:rPr>
        <w:t xml:space="preserve"> the coefficients are sometimes very large for EE</w:t>
      </w:r>
      <w:r w:rsidR="00986790">
        <w:rPr>
          <w:sz w:val="22"/>
          <w:szCs w:val="22"/>
          <w:lang w:val="en-GB"/>
        </w:rPr>
        <w:t xml:space="preserve"> MNE</w:t>
      </w:r>
      <w:r w:rsidRPr="00C244B9">
        <w:rPr>
          <w:sz w:val="22"/>
          <w:szCs w:val="22"/>
          <w:lang w:val="en-GB"/>
        </w:rPr>
        <w:t xml:space="preserve">s, especially </w:t>
      </w:r>
      <w:r w:rsidR="00986790">
        <w:rPr>
          <w:sz w:val="22"/>
          <w:szCs w:val="22"/>
          <w:lang w:val="en-GB"/>
        </w:rPr>
        <w:t>from</w:t>
      </w:r>
      <w:r w:rsidR="00986790" w:rsidRPr="00C244B9">
        <w:rPr>
          <w:sz w:val="22"/>
          <w:szCs w:val="22"/>
          <w:lang w:val="en-GB"/>
        </w:rPr>
        <w:t xml:space="preserve"> </w:t>
      </w:r>
      <w:r w:rsidRPr="00C244B9">
        <w:rPr>
          <w:sz w:val="22"/>
          <w:szCs w:val="22"/>
          <w:lang w:val="en-GB"/>
        </w:rPr>
        <w:lastRenderedPageBreak/>
        <w:t xml:space="preserve">Brazil, China and South Africa, but typically smaller </w:t>
      </w:r>
      <w:r w:rsidR="00986790">
        <w:rPr>
          <w:sz w:val="22"/>
          <w:szCs w:val="22"/>
          <w:lang w:val="en-GB"/>
        </w:rPr>
        <w:t>for</w:t>
      </w:r>
      <w:r w:rsidR="00986790" w:rsidRPr="00C244B9">
        <w:rPr>
          <w:sz w:val="22"/>
          <w:szCs w:val="22"/>
          <w:lang w:val="en-GB"/>
        </w:rPr>
        <w:t xml:space="preserve"> </w:t>
      </w:r>
      <w:r w:rsidRPr="00C244B9">
        <w:rPr>
          <w:sz w:val="22"/>
          <w:szCs w:val="22"/>
          <w:lang w:val="en-GB"/>
        </w:rPr>
        <w:t>all AEs</w:t>
      </w:r>
      <w:r w:rsidR="00DC6AA7" w:rsidRPr="00C244B9">
        <w:rPr>
          <w:sz w:val="22"/>
          <w:szCs w:val="22"/>
          <w:lang w:val="en-GB"/>
        </w:rPr>
        <w:t xml:space="preserve">. </w:t>
      </w:r>
      <w:r w:rsidR="004E36CA" w:rsidRPr="00C244B9">
        <w:rPr>
          <w:sz w:val="22"/>
          <w:szCs w:val="22"/>
          <w:lang w:val="en-GB"/>
        </w:rPr>
        <w:t xml:space="preserve">This pattern is highly consistent with Hypothesis 3. The substantial </w:t>
      </w:r>
      <w:r w:rsidRPr="00C244B9">
        <w:rPr>
          <w:sz w:val="22"/>
          <w:szCs w:val="22"/>
          <w:lang w:val="en-GB"/>
        </w:rPr>
        <w:t>variance in the impact of diasporas on AE MNEs than EE MNEs</w:t>
      </w:r>
      <w:r w:rsidR="004E36CA" w:rsidRPr="00C244B9">
        <w:rPr>
          <w:sz w:val="22"/>
          <w:szCs w:val="22"/>
          <w:lang w:val="en-GB"/>
        </w:rPr>
        <w:t xml:space="preserve"> is </w:t>
      </w:r>
      <w:r w:rsidRPr="00C244B9">
        <w:rPr>
          <w:sz w:val="22"/>
          <w:szCs w:val="22"/>
          <w:lang w:val="en-GB"/>
        </w:rPr>
        <w:t>presumably linked to culture and history, though the overall impact on EE MNEs is of course greater.</w:t>
      </w:r>
    </w:p>
    <w:p w14:paraId="74D3B04C" w14:textId="0C5C8D8F" w:rsidR="00D544FA" w:rsidRPr="00C244B9" w:rsidRDefault="0064069A" w:rsidP="005A3198">
      <w:pPr>
        <w:widowControl w:val="0"/>
        <w:autoSpaceDE w:val="0"/>
        <w:autoSpaceDN w:val="0"/>
        <w:adjustRightInd w:val="0"/>
        <w:spacing w:line="480" w:lineRule="auto"/>
        <w:ind w:firstLine="284"/>
        <w:rPr>
          <w:sz w:val="22"/>
          <w:szCs w:val="22"/>
          <w:lang w:val="en-GB"/>
        </w:rPr>
      </w:pPr>
      <w:r w:rsidRPr="00C244B9">
        <w:rPr>
          <w:sz w:val="22"/>
          <w:szCs w:val="22"/>
          <w:lang w:val="en-GB"/>
        </w:rPr>
        <w:t>Finally</w:t>
      </w:r>
      <w:r w:rsidR="00B10125" w:rsidRPr="00C244B9">
        <w:rPr>
          <w:sz w:val="22"/>
          <w:szCs w:val="22"/>
          <w:lang w:val="en-GB"/>
        </w:rPr>
        <w:t>,</w:t>
      </w:r>
      <w:r w:rsidRPr="00C244B9">
        <w:rPr>
          <w:sz w:val="22"/>
          <w:szCs w:val="22"/>
          <w:lang w:val="en-GB"/>
        </w:rPr>
        <w:t xml:space="preserve"> </w:t>
      </w:r>
      <w:r w:rsidR="000B1FBC">
        <w:rPr>
          <w:sz w:val="22"/>
          <w:szCs w:val="22"/>
          <w:lang w:val="en-GB"/>
        </w:rPr>
        <w:t>a</w:t>
      </w:r>
      <w:r w:rsidR="00FC10F6" w:rsidRPr="00C244B9">
        <w:rPr>
          <w:sz w:val="22"/>
          <w:szCs w:val="22"/>
          <w:lang w:val="en-GB"/>
        </w:rPr>
        <w:t xml:space="preserve"> large population</w:t>
      </w:r>
      <w:r w:rsidR="000B1FBC">
        <w:rPr>
          <w:sz w:val="22"/>
          <w:szCs w:val="22"/>
          <w:lang w:val="en-GB"/>
        </w:rPr>
        <w:t>, and hence a large market,</w:t>
      </w:r>
      <w:r w:rsidR="00E33FDC" w:rsidRPr="00C244B9">
        <w:rPr>
          <w:sz w:val="22"/>
          <w:szCs w:val="22"/>
          <w:lang w:val="en-GB"/>
        </w:rPr>
        <w:t xml:space="preserve"> attracts </w:t>
      </w:r>
      <w:r w:rsidRPr="00C244B9">
        <w:rPr>
          <w:sz w:val="22"/>
          <w:szCs w:val="22"/>
          <w:lang w:val="en-GB"/>
        </w:rPr>
        <w:t xml:space="preserve">MNEs from all EEs and from all AEs. We confirm </w:t>
      </w:r>
      <w:r w:rsidR="00B10125" w:rsidRPr="00C244B9">
        <w:rPr>
          <w:sz w:val="22"/>
          <w:szCs w:val="22"/>
          <w:lang w:val="en-GB"/>
        </w:rPr>
        <w:t>H</w:t>
      </w:r>
      <w:r w:rsidRPr="00C244B9">
        <w:rPr>
          <w:sz w:val="22"/>
          <w:szCs w:val="22"/>
          <w:lang w:val="en-GB"/>
        </w:rPr>
        <w:t xml:space="preserve">ypothesis 4 because </w:t>
      </w:r>
      <w:r w:rsidR="00B10125" w:rsidRPr="00C244B9">
        <w:rPr>
          <w:sz w:val="22"/>
          <w:szCs w:val="22"/>
          <w:lang w:val="en-GB"/>
        </w:rPr>
        <w:t>MNEs from</w:t>
      </w:r>
      <w:r w:rsidR="00E33FDC" w:rsidRPr="00C244B9">
        <w:rPr>
          <w:sz w:val="22"/>
          <w:szCs w:val="22"/>
          <w:lang w:val="en-GB"/>
        </w:rPr>
        <w:t xml:space="preserve"> some</w:t>
      </w:r>
      <w:r w:rsidR="00B10125" w:rsidRPr="00C244B9">
        <w:rPr>
          <w:sz w:val="22"/>
          <w:szCs w:val="22"/>
          <w:lang w:val="en-GB"/>
        </w:rPr>
        <w:t xml:space="preserve"> EEs </w:t>
      </w:r>
      <w:r w:rsidRPr="00C244B9">
        <w:rPr>
          <w:sz w:val="22"/>
          <w:szCs w:val="22"/>
          <w:lang w:val="en-GB"/>
        </w:rPr>
        <w:t>are highly sensitive to market size, notably China</w:t>
      </w:r>
      <w:r w:rsidR="00B10125" w:rsidRPr="00C244B9">
        <w:rPr>
          <w:sz w:val="22"/>
          <w:szCs w:val="22"/>
          <w:lang w:val="en-GB"/>
        </w:rPr>
        <w:t>,</w:t>
      </w:r>
      <w:r w:rsidRPr="00C244B9">
        <w:rPr>
          <w:sz w:val="22"/>
          <w:szCs w:val="22"/>
          <w:lang w:val="en-GB"/>
        </w:rPr>
        <w:t xml:space="preserve"> Brazil and India, while apart from France and the UK the lure of larger markets is less for AEs. </w:t>
      </w:r>
      <w:r w:rsidR="004E36CA" w:rsidRPr="00C244B9">
        <w:rPr>
          <w:sz w:val="22"/>
          <w:szCs w:val="22"/>
          <w:lang w:val="en-GB"/>
        </w:rPr>
        <w:t>On the other hand, Russian MNEs are least attracted by large markets</w:t>
      </w:r>
      <w:r w:rsidRPr="00C244B9">
        <w:rPr>
          <w:sz w:val="22"/>
          <w:szCs w:val="22"/>
          <w:lang w:val="en-GB"/>
        </w:rPr>
        <w:t xml:space="preserve">. </w:t>
      </w:r>
    </w:p>
    <w:p w14:paraId="368B0692" w14:textId="55AF588D" w:rsidR="004E36CA" w:rsidRPr="00C244B9" w:rsidRDefault="004E36CA" w:rsidP="005A3198">
      <w:pPr>
        <w:widowControl w:val="0"/>
        <w:autoSpaceDE w:val="0"/>
        <w:autoSpaceDN w:val="0"/>
        <w:adjustRightInd w:val="0"/>
        <w:spacing w:line="480" w:lineRule="auto"/>
        <w:ind w:firstLine="284"/>
        <w:rPr>
          <w:sz w:val="22"/>
          <w:szCs w:val="22"/>
          <w:lang w:val="en-GB"/>
        </w:rPr>
      </w:pPr>
      <w:r w:rsidRPr="00C244B9">
        <w:rPr>
          <w:sz w:val="22"/>
          <w:szCs w:val="22"/>
          <w:lang w:val="en-GB"/>
        </w:rPr>
        <w:t>The main observation arising from this fine</w:t>
      </w:r>
      <w:r w:rsidR="006E403A" w:rsidRPr="00C244B9">
        <w:rPr>
          <w:sz w:val="22"/>
          <w:szCs w:val="22"/>
          <w:lang w:val="en-GB"/>
        </w:rPr>
        <w:t>-</w:t>
      </w:r>
      <w:r w:rsidRPr="00C244B9">
        <w:rPr>
          <w:sz w:val="22"/>
          <w:szCs w:val="22"/>
          <w:lang w:val="en-GB"/>
        </w:rPr>
        <w:t xml:space="preserve">grained analysis (in addition for the support for our hypotheses in most cases) is that Russian MNEs </w:t>
      </w:r>
      <w:r w:rsidR="00BC0693">
        <w:rPr>
          <w:sz w:val="22"/>
          <w:szCs w:val="22"/>
          <w:lang w:val="en-GB"/>
        </w:rPr>
        <w:t>appear</w:t>
      </w:r>
      <w:r w:rsidRPr="00C244B9">
        <w:rPr>
          <w:sz w:val="22"/>
          <w:szCs w:val="22"/>
          <w:lang w:val="en-GB"/>
        </w:rPr>
        <w:t xml:space="preserve"> to diverge from the predictions of theory. We note that they ar</w:t>
      </w:r>
      <w:r w:rsidR="006E403A" w:rsidRPr="00C244B9">
        <w:rPr>
          <w:sz w:val="22"/>
          <w:szCs w:val="22"/>
          <w:lang w:val="en-GB"/>
        </w:rPr>
        <w:t>e particularly attracted to Lat</w:t>
      </w:r>
      <w:r w:rsidRPr="00C244B9">
        <w:rPr>
          <w:sz w:val="22"/>
          <w:szCs w:val="22"/>
          <w:lang w:val="en-GB"/>
        </w:rPr>
        <w:t>via and the Czech Republic</w:t>
      </w:r>
      <w:r w:rsidR="00184B82">
        <w:rPr>
          <w:sz w:val="22"/>
          <w:szCs w:val="22"/>
          <w:lang w:val="en-GB"/>
        </w:rPr>
        <w:t xml:space="preserve"> (Table 2)</w:t>
      </w:r>
      <w:r w:rsidRPr="00C244B9">
        <w:rPr>
          <w:sz w:val="22"/>
          <w:szCs w:val="22"/>
          <w:lang w:val="en-GB"/>
        </w:rPr>
        <w:t>, neither of which scores particularly high</w:t>
      </w:r>
      <w:r w:rsidR="00045445" w:rsidRPr="00C244B9">
        <w:rPr>
          <w:sz w:val="22"/>
          <w:szCs w:val="22"/>
          <w:lang w:val="en-GB"/>
        </w:rPr>
        <w:t>ly</w:t>
      </w:r>
      <w:r w:rsidRPr="00C244B9">
        <w:rPr>
          <w:sz w:val="22"/>
          <w:szCs w:val="22"/>
          <w:lang w:val="en-GB"/>
        </w:rPr>
        <w:t xml:space="preserve"> on any of the variables that we predicted to indicate an attractive host </w:t>
      </w:r>
      <w:r w:rsidR="00BC0693">
        <w:rPr>
          <w:sz w:val="22"/>
          <w:szCs w:val="22"/>
          <w:lang w:val="en-GB"/>
        </w:rPr>
        <w:t>country</w:t>
      </w:r>
      <w:r w:rsidRPr="00C244B9">
        <w:rPr>
          <w:sz w:val="22"/>
          <w:szCs w:val="22"/>
          <w:lang w:val="en-GB"/>
        </w:rPr>
        <w:t>. We interviewed experts on these countries, who suggest</w:t>
      </w:r>
      <w:r w:rsidR="00184B82">
        <w:rPr>
          <w:sz w:val="22"/>
          <w:szCs w:val="22"/>
          <w:lang w:val="en-GB"/>
        </w:rPr>
        <w:t>ed</w:t>
      </w:r>
      <w:r w:rsidRPr="00C244B9">
        <w:rPr>
          <w:sz w:val="22"/>
          <w:szCs w:val="22"/>
          <w:lang w:val="en-GB"/>
        </w:rPr>
        <w:t xml:space="preserve"> that Russian entrepreneurs are attracted to these two countries by a combination of</w:t>
      </w:r>
      <w:r w:rsidR="00045445" w:rsidRPr="00C244B9">
        <w:rPr>
          <w:sz w:val="22"/>
          <w:szCs w:val="22"/>
          <w:lang w:val="en-GB"/>
        </w:rPr>
        <w:t>,</w:t>
      </w:r>
      <w:r w:rsidRPr="00C244B9">
        <w:rPr>
          <w:sz w:val="22"/>
          <w:szCs w:val="22"/>
          <w:lang w:val="en-GB"/>
        </w:rPr>
        <w:t xml:space="preserve"> for them</w:t>
      </w:r>
      <w:r w:rsidR="00045445" w:rsidRPr="00C244B9">
        <w:rPr>
          <w:sz w:val="22"/>
          <w:szCs w:val="22"/>
          <w:lang w:val="en-GB"/>
        </w:rPr>
        <w:t>,</w:t>
      </w:r>
      <w:r w:rsidRPr="00C244B9">
        <w:rPr>
          <w:sz w:val="22"/>
          <w:szCs w:val="22"/>
          <w:lang w:val="en-GB"/>
        </w:rPr>
        <w:t xml:space="preserve"> favourable tax conditions, </w:t>
      </w:r>
      <w:r w:rsidR="00045445" w:rsidRPr="00C244B9">
        <w:rPr>
          <w:sz w:val="22"/>
          <w:szCs w:val="22"/>
          <w:lang w:val="en-GB"/>
        </w:rPr>
        <w:t xml:space="preserve">the </w:t>
      </w:r>
      <w:r w:rsidRPr="00C244B9">
        <w:rPr>
          <w:sz w:val="22"/>
          <w:szCs w:val="22"/>
          <w:lang w:val="en-GB"/>
        </w:rPr>
        <w:t xml:space="preserve">presence of a Russian nouveau riche community and a substantial Russian speaking minority (Latvia) or </w:t>
      </w:r>
      <w:r w:rsidR="008E4CFF" w:rsidRPr="00C244B9">
        <w:rPr>
          <w:sz w:val="22"/>
          <w:szCs w:val="22"/>
          <w:lang w:val="en-GB"/>
        </w:rPr>
        <w:t xml:space="preserve">similarities of Russian and the local language (in the Czech Republic). We conducted additional tests on the effect taxation but found corporate tax rates not to </w:t>
      </w:r>
      <w:r w:rsidR="00045445" w:rsidRPr="00C244B9">
        <w:rPr>
          <w:sz w:val="22"/>
          <w:szCs w:val="22"/>
          <w:lang w:val="en-GB"/>
        </w:rPr>
        <w:t xml:space="preserve">display </w:t>
      </w:r>
      <w:r w:rsidR="008E4CFF" w:rsidRPr="00C244B9">
        <w:rPr>
          <w:sz w:val="22"/>
          <w:szCs w:val="22"/>
          <w:lang w:val="en-GB"/>
        </w:rPr>
        <w:t xml:space="preserve">the expected effect; presumably because the tax rates published in comparative databases do not </w:t>
      </w:r>
      <w:r w:rsidR="00045445" w:rsidRPr="00C244B9">
        <w:rPr>
          <w:sz w:val="22"/>
          <w:szCs w:val="22"/>
          <w:lang w:val="en-GB"/>
        </w:rPr>
        <w:t xml:space="preserve">adequately </w:t>
      </w:r>
      <w:r w:rsidR="008E4CFF" w:rsidRPr="00C244B9">
        <w:rPr>
          <w:sz w:val="22"/>
          <w:szCs w:val="22"/>
          <w:lang w:val="en-GB"/>
        </w:rPr>
        <w:t xml:space="preserve">capture the specific conditions applying to nouveau riche diaspora. </w:t>
      </w:r>
    </w:p>
    <w:p w14:paraId="20DC6C59" w14:textId="52A252A9" w:rsidR="00992C02" w:rsidRPr="00D11E58" w:rsidRDefault="00D11E58" w:rsidP="0018025D">
      <w:pPr>
        <w:spacing w:line="480" w:lineRule="auto"/>
        <w:rPr>
          <w:b/>
          <w:i/>
          <w:sz w:val="22"/>
          <w:szCs w:val="22"/>
          <w:lang w:val="en-GB"/>
        </w:rPr>
      </w:pPr>
      <w:r w:rsidRPr="00B979EE">
        <w:rPr>
          <w:b/>
          <w:i/>
          <w:sz w:val="22"/>
          <w:szCs w:val="22"/>
          <w:lang w:val="en-GB"/>
        </w:rPr>
        <w:t>Alternative Measurements</w:t>
      </w:r>
    </w:p>
    <w:p w14:paraId="66A31FED" w14:textId="6E8D8BAF" w:rsidR="005C270A" w:rsidRPr="00C244B9" w:rsidRDefault="005C270A" w:rsidP="003F239C">
      <w:pPr>
        <w:spacing w:line="480" w:lineRule="auto"/>
        <w:rPr>
          <w:sz w:val="22"/>
          <w:szCs w:val="22"/>
        </w:rPr>
      </w:pPr>
      <w:r w:rsidRPr="00C244B9">
        <w:rPr>
          <w:sz w:val="22"/>
          <w:szCs w:val="22"/>
          <w:lang w:val="en-GB"/>
        </w:rPr>
        <w:t xml:space="preserve">We have conducted </w:t>
      </w:r>
      <w:r w:rsidR="0064069A" w:rsidRPr="00C244B9">
        <w:rPr>
          <w:sz w:val="22"/>
          <w:szCs w:val="22"/>
          <w:lang w:val="en-GB"/>
        </w:rPr>
        <w:t xml:space="preserve">a number of </w:t>
      </w:r>
      <w:r w:rsidR="005C1228">
        <w:rPr>
          <w:sz w:val="22"/>
          <w:szCs w:val="22"/>
          <w:lang w:val="en-GB"/>
        </w:rPr>
        <w:t xml:space="preserve">further </w:t>
      </w:r>
      <w:r w:rsidRPr="00C244B9">
        <w:rPr>
          <w:sz w:val="22"/>
          <w:szCs w:val="22"/>
          <w:lang w:val="en-GB"/>
        </w:rPr>
        <w:t xml:space="preserve">tests to </w:t>
      </w:r>
      <w:r w:rsidR="0064069A" w:rsidRPr="00C244B9">
        <w:rPr>
          <w:sz w:val="22"/>
          <w:szCs w:val="22"/>
          <w:lang w:val="en-GB"/>
        </w:rPr>
        <w:t xml:space="preserve">explore </w:t>
      </w:r>
      <w:r w:rsidRPr="00C244B9">
        <w:rPr>
          <w:sz w:val="22"/>
          <w:szCs w:val="22"/>
          <w:lang w:val="en-GB"/>
        </w:rPr>
        <w:t xml:space="preserve">the robustness of the results. </w:t>
      </w:r>
      <w:r w:rsidR="00184B82">
        <w:rPr>
          <w:sz w:val="22"/>
          <w:szCs w:val="22"/>
          <w:lang w:val="en-GB"/>
        </w:rPr>
        <w:t>Most importantly</w:t>
      </w:r>
      <w:r w:rsidR="008A21CF" w:rsidRPr="00C244B9">
        <w:rPr>
          <w:sz w:val="22"/>
          <w:szCs w:val="22"/>
          <w:lang w:val="en-GB"/>
        </w:rPr>
        <w:t>, we use an alternative measure of distance</w:t>
      </w:r>
      <w:r w:rsidR="006E403A" w:rsidRPr="00C244B9">
        <w:rPr>
          <w:sz w:val="22"/>
          <w:szCs w:val="22"/>
          <w:lang w:val="en-GB"/>
        </w:rPr>
        <w:t>, namely</w:t>
      </w:r>
      <w:r w:rsidR="008A21CF" w:rsidRPr="00C244B9">
        <w:rPr>
          <w:sz w:val="22"/>
          <w:szCs w:val="22"/>
          <w:lang w:val="en-GB"/>
        </w:rPr>
        <w:t xml:space="preserve"> the </w:t>
      </w:r>
      <w:r w:rsidR="00637C62" w:rsidRPr="00C244B9">
        <w:rPr>
          <w:sz w:val="22"/>
          <w:szCs w:val="22"/>
          <w:lang w:val="en-GB"/>
        </w:rPr>
        <w:t xml:space="preserve">cultural </w:t>
      </w:r>
      <w:r w:rsidR="00637C62" w:rsidRPr="00C244B9">
        <w:rPr>
          <w:sz w:val="22"/>
          <w:szCs w:val="22"/>
        </w:rPr>
        <w:t>distance between home and host countries</w:t>
      </w:r>
      <w:r w:rsidR="006E403A" w:rsidRPr="00C244B9">
        <w:rPr>
          <w:sz w:val="22"/>
          <w:szCs w:val="22"/>
        </w:rPr>
        <w:t xml:space="preserve"> a</w:t>
      </w:r>
      <w:r w:rsidR="00637C62" w:rsidRPr="00C244B9">
        <w:rPr>
          <w:sz w:val="22"/>
          <w:szCs w:val="22"/>
        </w:rPr>
        <w:t xml:space="preserve">s measured </w:t>
      </w:r>
      <w:r w:rsidR="006E403A" w:rsidRPr="00C244B9">
        <w:rPr>
          <w:sz w:val="22"/>
          <w:szCs w:val="22"/>
        </w:rPr>
        <w:t xml:space="preserve">using </w:t>
      </w:r>
      <w:r w:rsidR="00637C62" w:rsidRPr="00C244B9">
        <w:rPr>
          <w:sz w:val="22"/>
          <w:szCs w:val="22"/>
        </w:rPr>
        <w:t xml:space="preserve">Kogut and Singh’s (1988) methodology </w:t>
      </w:r>
      <w:r w:rsidR="006E403A" w:rsidRPr="00C244B9">
        <w:rPr>
          <w:sz w:val="22"/>
          <w:szCs w:val="22"/>
        </w:rPr>
        <w:t xml:space="preserve">based in </w:t>
      </w:r>
      <w:r w:rsidR="00637C62" w:rsidRPr="00C244B9">
        <w:rPr>
          <w:sz w:val="22"/>
          <w:szCs w:val="22"/>
        </w:rPr>
        <w:t>four Hofstede</w:t>
      </w:r>
      <w:r w:rsidR="006E403A" w:rsidRPr="00C244B9">
        <w:rPr>
          <w:sz w:val="22"/>
          <w:szCs w:val="22"/>
        </w:rPr>
        <w:t>’s</w:t>
      </w:r>
      <w:r w:rsidR="00637C62" w:rsidRPr="00C244B9">
        <w:rPr>
          <w:sz w:val="22"/>
          <w:szCs w:val="22"/>
        </w:rPr>
        <w:t xml:space="preserve"> cultural dimensions (power distance, individualism, </w:t>
      </w:r>
      <w:r w:rsidR="00637C62" w:rsidRPr="00C244B9">
        <w:rPr>
          <w:sz w:val="22"/>
          <w:szCs w:val="22"/>
        </w:rPr>
        <w:lastRenderedPageBreak/>
        <w:t>masculinity, uncertainty avoidance).</w:t>
      </w:r>
      <w:r w:rsidR="00637C62" w:rsidRPr="00C244B9">
        <w:rPr>
          <w:sz w:val="22"/>
          <w:szCs w:val="22"/>
          <w:vertAlign w:val="superscript"/>
        </w:rPr>
        <w:footnoteReference w:id="13"/>
      </w:r>
      <w:r w:rsidR="00637C62" w:rsidRPr="00C244B9">
        <w:rPr>
          <w:sz w:val="22"/>
          <w:szCs w:val="22"/>
        </w:rPr>
        <w:t xml:space="preserve"> </w:t>
      </w:r>
      <w:r w:rsidR="00637C62" w:rsidRPr="00C244B9">
        <w:rPr>
          <w:sz w:val="22"/>
          <w:szCs w:val="22"/>
          <w:lang w:val="en-GB"/>
        </w:rPr>
        <w:t xml:space="preserve"> </w:t>
      </w:r>
      <w:r w:rsidR="003F239C" w:rsidRPr="00C244B9">
        <w:rPr>
          <w:sz w:val="22"/>
          <w:szCs w:val="22"/>
        </w:rPr>
        <w:t xml:space="preserve">The results </w:t>
      </w:r>
      <w:r w:rsidR="00AE5583" w:rsidRPr="00C244B9">
        <w:rPr>
          <w:sz w:val="22"/>
          <w:szCs w:val="22"/>
        </w:rPr>
        <w:t>(reported in Table A.2</w:t>
      </w:r>
      <w:r w:rsidR="003F239C" w:rsidRPr="00C244B9">
        <w:rPr>
          <w:sz w:val="22"/>
          <w:szCs w:val="22"/>
        </w:rPr>
        <w:t xml:space="preserve"> in Appendix) are broadly consistent with our main findings (Table 5), although the coefficient on </w:t>
      </w:r>
      <w:r w:rsidR="00435830" w:rsidRPr="00C244B9">
        <w:rPr>
          <w:sz w:val="22"/>
          <w:szCs w:val="22"/>
        </w:rPr>
        <w:t>IPR * EE</w:t>
      </w:r>
      <w:r w:rsidR="003F239C" w:rsidRPr="00C244B9">
        <w:rPr>
          <w:sz w:val="22"/>
          <w:szCs w:val="22"/>
        </w:rPr>
        <w:t xml:space="preserve"> is </w:t>
      </w:r>
      <w:r w:rsidR="00435830" w:rsidRPr="00C244B9">
        <w:rPr>
          <w:sz w:val="22"/>
          <w:szCs w:val="22"/>
        </w:rPr>
        <w:t>positive</w:t>
      </w:r>
      <w:r w:rsidR="003F239C" w:rsidRPr="00C244B9">
        <w:rPr>
          <w:sz w:val="22"/>
          <w:szCs w:val="22"/>
        </w:rPr>
        <w:t>, but not significant in the sample with all firms and interaction terms (4).</w:t>
      </w:r>
      <w:r w:rsidR="006E403A" w:rsidRPr="00C244B9">
        <w:rPr>
          <w:sz w:val="22"/>
          <w:szCs w:val="22"/>
        </w:rPr>
        <w:t xml:space="preserve"> Due to the well-known validity problems associated with this measure with respect to EEs</w:t>
      </w:r>
      <w:r w:rsidR="0049655F" w:rsidRPr="00C244B9">
        <w:rPr>
          <w:sz w:val="22"/>
          <w:szCs w:val="22"/>
        </w:rPr>
        <w:t xml:space="preserve"> (e.g. </w:t>
      </w:r>
      <w:r w:rsidR="0061384E" w:rsidRPr="00C244B9">
        <w:rPr>
          <w:sz w:val="22"/>
          <w:szCs w:val="22"/>
        </w:rPr>
        <w:t xml:space="preserve">Estrin et al., 2009; </w:t>
      </w:r>
      <w:r w:rsidR="0049655F" w:rsidRPr="00C244B9">
        <w:rPr>
          <w:sz w:val="22"/>
          <w:szCs w:val="22"/>
        </w:rPr>
        <w:t>Shenkar, 2001)</w:t>
      </w:r>
      <w:r w:rsidR="006E403A" w:rsidRPr="00C244B9">
        <w:rPr>
          <w:sz w:val="22"/>
          <w:szCs w:val="22"/>
        </w:rPr>
        <w:t xml:space="preserve">, we are not surprised by this result. </w:t>
      </w:r>
    </w:p>
    <w:p w14:paraId="24A3A5A2" w14:textId="382F6B7B" w:rsidR="00DF363B" w:rsidRPr="00C244B9" w:rsidRDefault="00466ED2" w:rsidP="00DF363B">
      <w:pPr>
        <w:spacing w:line="480" w:lineRule="auto"/>
        <w:ind w:firstLine="284"/>
        <w:rPr>
          <w:b/>
          <w:i/>
          <w:sz w:val="22"/>
          <w:szCs w:val="22"/>
          <w:lang w:val="en-GB"/>
        </w:rPr>
      </w:pPr>
      <w:r w:rsidRPr="00C244B9">
        <w:rPr>
          <w:sz w:val="22"/>
          <w:szCs w:val="22"/>
          <w:lang w:val="en-GB"/>
        </w:rPr>
        <w:t xml:space="preserve"> </w:t>
      </w:r>
      <w:r w:rsidR="00D0262E" w:rsidRPr="00C244B9">
        <w:rPr>
          <w:b/>
          <w:i/>
          <w:sz w:val="22"/>
          <w:szCs w:val="22"/>
          <w:lang w:val="en-GB"/>
        </w:rPr>
        <w:t>Independen</w:t>
      </w:r>
      <w:r w:rsidR="00B10125" w:rsidRPr="00C244B9">
        <w:rPr>
          <w:b/>
          <w:i/>
          <w:sz w:val="22"/>
          <w:szCs w:val="22"/>
          <w:lang w:val="en-GB"/>
        </w:rPr>
        <w:t>ce</w:t>
      </w:r>
      <w:r w:rsidR="00D0262E" w:rsidRPr="00C244B9">
        <w:rPr>
          <w:b/>
          <w:i/>
          <w:sz w:val="22"/>
          <w:szCs w:val="22"/>
          <w:lang w:val="en-GB"/>
        </w:rPr>
        <w:t xml:space="preserve"> of Irrelevant Alternatives and </w:t>
      </w:r>
      <w:r w:rsidR="00DF363B" w:rsidRPr="00C244B9">
        <w:rPr>
          <w:b/>
          <w:i/>
          <w:sz w:val="22"/>
          <w:szCs w:val="22"/>
          <w:lang w:val="en-GB"/>
        </w:rPr>
        <w:t xml:space="preserve">Mixed </w:t>
      </w:r>
      <w:r w:rsidR="006E403A" w:rsidRPr="00C244B9">
        <w:rPr>
          <w:b/>
          <w:i/>
          <w:sz w:val="22"/>
          <w:szCs w:val="22"/>
          <w:lang w:val="en-GB"/>
        </w:rPr>
        <w:t>L</w:t>
      </w:r>
      <w:r w:rsidR="00DF363B" w:rsidRPr="00C244B9">
        <w:rPr>
          <w:b/>
          <w:i/>
          <w:sz w:val="22"/>
          <w:szCs w:val="22"/>
          <w:lang w:val="en-GB"/>
        </w:rPr>
        <w:t>ogit</w:t>
      </w:r>
    </w:p>
    <w:p w14:paraId="6D2D3DD8" w14:textId="0E3B2B0C" w:rsidR="00D0262E" w:rsidRPr="00C244B9" w:rsidRDefault="00A2641F" w:rsidP="00D0262E">
      <w:pPr>
        <w:spacing w:line="480" w:lineRule="auto"/>
        <w:ind w:firstLine="284"/>
        <w:rPr>
          <w:sz w:val="22"/>
          <w:szCs w:val="22"/>
          <w:lang w:val="en-GB"/>
        </w:rPr>
      </w:pPr>
      <w:r w:rsidRPr="00C244B9">
        <w:rPr>
          <w:sz w:val="22"/>
          <w:szCs w:val="22"/>
          <w:lang w:val="en-GB"/>
        </w:rPr>
        <w:t>Underlying the distribution</w:t>
      </w:r>
      <w:r w:rsidR="00DF363B" w:rsidRPr="00C244B9">
        <w:rPr>
          <w:sz w:val="22"/>
          <w:szCs w:val="22"/>
          <w:lang w:val="en-GB"/>
        </w:rPr>
        <w:t xml:space="preserve"> of the error term in the construction of the C-</w:t>
      </w:r>
      <w:r w:rsidR="00B10125" w:rsidRPr="00C244B9">
        <w:rPr>
          <w:sz w:val="22"/>
          <w:szCs w:val="22"/>
          <w:lang w:val="en-GB"/>
        </w:rPr>
        <w:t>L</w:t>
      </w:r>
      <w:r w:rsidR="00DF363B" w:rsidRPr="00C244B9">
        <w:rPr>
          <w:sz w:val="22"/>
          <w:szCs w:val="22"/>
          <w:lang w:val="en-GB"/>
        </w:rPr>
        <w:t xml:space="preserve">ogit model </w:t>
      </w:r>
      <w:r w:rsidRPr="00C244B9">
        <w:rPr>
          <w:sz w:val="22"/>
          <w:szCs w:val="22"/>
          <w:lang w:val="en-GB"/>
        </w:rPr>
        <w:t xml:space="preserve">is </w:t>
      </w:r>
      <w:r w:rsidR="00DF363B" w:rsidRPr="00C244B9">
        <w:rPr>
          <w:sz w:val="22"/>
          <w:szCs w:val="22"/>
          <w:lang w:val="en-GB"/>
        </w:rPr>
        <w:t>the assumption of the Independence of Irrelevant Alternatives (IIA). In other words, the property of this model is that the odds ratio of choosing between two locations is independent of the characteristics of any third location. This implies that the choices should therefore all be equally substitutable to the investor. However, if we think that some countries are closer substitutes than others, then this assumption m</w:t>
      </w:r>
      <w:r w:rsidR="00D0262E" w:rsidRPr="00C244B9">
        <w:rPr>
          <w:sz w:val="22"/>
          <w:szCs w:val="22"/>
          <w:lang w:val="en-GB"/>
        </w:rPr>
        <w:t>ight be violated</w:t>
      </w:r>
      <w:r w:rsidR="00DF363B" w:rsidRPr="00C244B9">
        <w:rPr>
          <w:sz w:val="22"/>
          <w:szCs w:val="22"/>
          <w:lang w:val="en-GB"/>
        </w:rPr>
        <w:t xml:space="preserve">. </w:t>
      </w:r>
    </w:p>
    <w:p w14:paraId="2286F640" w14:textId="1F1BBD45" w:rsidR="00D0262E" w:rsidRPr="00C244B9" w:rsidRDefault="00D0262E" w:rsidP="00D0262E">
      <w:pPr>
        <w:spacing w:line="480" w:lineRule="auto"/>
        <w:ind w:firstLine="284"/>
        <w:rPr>
          <w:sz w:val="22"/>
          <w:szCs w:val="22"/>
        </w:rPr>
      </w:pPr>
      <w:r w:rsidRPr="00C244B9">
        <w:rPr>
          <w:sz w:val="22"/>
          <w:szCs w:val="22"/>
        </w:rPr>
        <w:t xml:space="preserve">We performed a Hausman and McFadden (1984) test to check </w:t>
      </w:r>
      <w:r w:rsidR="00A2641F" w:rsidRPr="00C244B9">
        <w:rPr>
          <w:sz w:val="22"/>
          <w:szCs w:val="22"/>
        </w:rPr>
        <w:t xml:space="preserve">its </w:t>
      </w:r>
      <w:r w:rsidRPr="00C244B9">
        <w:rPr>
          <w:sz w:val="22"/>
          <w:szCs w:val="22"/>
        </w:rPr>
        <w:t>validity</w:t>
      </w:r>
      <w:r w:rsidR="00184B82">
        <w:rPr>
          <w:sz w:val="22"/>
          <w:szCs w:val="22"/>
        </w:rPr>
        <w:t xml:space="preserve"> of the </w:t>
      </w:r>
      <w:r w:rsidR="00184B82" w:rsidRPr="00C244B9">
        <w:rPr>
          <w:sz w:val="22"/>
          <w:szCs w:val="22"/>
        </w:rPr>
        <w:t>IIA assumption</w:t>
      </w:r>
      <w:r w:rsidR="00A2641F" w:rsidRPr="00C244B9">
        <w:rPr>
          <w:sz w:val="22"/>
          <w:szCs w:val="22"/>
        </w:rPr>
        <w:t>; t</w:t>
      </w:r>
      <w:r w:rsidRPr="00C244B9">
        <w:rPr>
          <w:sz w:val="22"/>
          <w:szCs w:val="22"/>
        </w:rPr>
        <w:t xml:space="preserve">he test is based on the idea that if a subset of the decision choice set is irrelevant, its omission from the model will not systematically change the estimates. </w:t>
      </w:r>
    </w:p>
    <w:p w14:paraId="00CBB90E" w14:textId="0638B63E" w:rsidR="00D0262E" w:rsidRPr="00C244B9" w:rsidRDefault="00D0262E" w:rsidP="00D0262E">
      <w:pPr>
        <w:spacing w:line="480" w:lineRule="auto"/>
        <w:ind w:firstLine="284"/>
        <w:rPr>
          <w:sz w:val="22"/>
          <w:szCs w:val="22"/>
          <w:lang w:val="en-GB"/>
        </w:rPr>
      </w:pPr>
      <w:r w:rsidRPr="00C244B9">
        <w:rPr>
          <w:sz w:val="22"/>
          <w:szCs w:val="22"/>
        </w:rPr>
        <w:t>To that end, we first estimated the model on the full set of 31 host country alternatives and re-ran it on the subset of 30 alternatives (partial). We exclude alternatively three</w:t>
      </w:r>
      <w:r w:rsidR="00D35A03" w:rsidRPr="00C244B9">
        <w:rPr>
          <w:sz w:val="22"/>
          <w:szCs w:val="22"/>
        </w:rPr>
        <w:t xml:space="preserve"> </w:t>
      </w:r>
      <w:r w:rsidRPr="00C244B9">
        <w:rPr>
          <w:sz w:val="22"/>
          <w:szCs w:val="22"/>
        </w:rPr>
        <w:t xml:space="preserve">locations: the U.S., France and </w:t>
      </w:r>
      <w:r w:rsidR="00B87FE9" w:rsidRPr="00C244B9">
        <w:rPr>
          <w:sz w:val="22"/>
          <w:szCs w:val="22"/>
        </w:rPr>
        <w:t>Great Britain</w:t>
      </w:r>
      <w:r w:rsidRPr="00C244B9">
        <w:rPr>
          <w:sz w:val="22"/>
          <w:szCs w:val="22"/>
        </w:rPr>
        <w:t xml:space="preserve">. In the three cases </w:t>
      </w:r>
      <w:r w:rsidR="0045071C" w:rsidRPr="00C244B9">
        <w:rPr>
          <w:sz w:val="22"/>
          <w:szCs w:val="22"/>
        </w:rPr>
        <w:t>we find</w:t>
      </w:r>
      <w:r w:rsidRPr="00C244B9">
        <w:rPr>
          <w:sz w:val="22"/>
          <w:szCs w:val="22"/>
        </w:rPr>
        <w:t xml:space="preserve"> that the IIA assumption is violated</w:t>
      </w:r>
      <w:r w:rsidR="00A2641F" w:rsidRPr="00C244B9">
        <w:rPr>
          <w:sz w:val="22"/>
          <w:szCs w:val="22"/>
        </w:rPr>
        <w:t>, perhaps unsurprisingly given these are very major economies. T</w:t>
      </w:r>
      <w:r w:rsidRPr="00C244B9">
        <w:rPr>
          <w:sz w:val="22"/>
          <w:szCs w:val="22"/>
        </w:rPr>
        <w:t>he results of the tests indicate that we could reject H</w:t>
      </w:r>
      <w:r w:rsidRPr="00C244B9">
        <w:rPr>
          <w:sz w:val="22"/>
          <w:szCs w:val="22"/>
          <w:vertAlign w:val="subscript"/>
        </w:rPr>
        <w:t>0</w:t>
      </w:r>
      <w:r w:rsidRPr="00C244B9">
        <w:rPr>
          <w:sz w:val="22"/>
          <w:szCs w:val="22"/>
        </w:rPr>
        <w:t xml:space="preserve"> at the 1% level</w:t>
      </w:r>
      <w:r w:rsidR="0045071C" w:rsidRPr="00C244B9">
        <w:rPr>
          <w:sz w:val="22"/>
          <w:szCs w:val="22"/>
        </w:rPr>
        <w:t xml:space="preserve">, with </w:t>
      </w:r>
      <w:r w:rsidR="00D11766" w:rsidRPr="00C244B9">
        <w:rPr>
          <w:sz w:val="22"/>
          <w:szCs w:val="22"/>
        </w:rPr>
        <w:t xml:space="preserve">a </w:t>
      </w:r>
      <w:r w:rsidR="00184B82">
        <w:rPr>
          <w:sz w:val="22"/>
          <w:szCs w:val="22"/>
          <w:lang w:val="en-GB"/>
        </w:rPr>
        <w:t xml:space="preserve">χ² statistic </w:t>
      </w:r>
      <w:r w:rsidR="0045071C" w:rsidRPr="00C244B9">
        <w:rPr>
          <w:sz w:val="22"/>
          <w:szCs w:val="22"/>
        </w:rPr>
        <w:t xml:space="preserve">of respectively </w:t>
      </w:r>
      <w:r w:rsidR="00B87FE9" w:rsidRPr="00C244B9">
        <w:rPr>
          <w:sz w:val="22"/>
          <w:szCs w:val="22"/>
        </w:rPr>
        <w:t>15</w:t>
      </w:r>
      <w:r w:rsidR="00D35A03" w:rsidRPr="00C244B9">
        <w:rPr>
          <w:sz w:val="22"/>
          <w:szCs w:val="22"/>
        </w:rPr>
        <w:t>,</w:t>
      </w:r>
      <w:r w:rsidR="00B87FE9" w:rsidRPr="00C244B9">
        <w:rPr>
          <w:sz w:val="22"/>
          <w:szCs w:val="22"/>
        </w:rPr>
        <w:t xml:space="preserve">115.98 </w:t>
      </w:r>
      <w:r w:rsidR="0045071C" w:rsidRPr="00C244B9">
        <w:rPr>
          <w:sz w:val="22"/>
          <w:szCs w:val="22"/>
        </w:rPr>
        <w:t xml:space="preserve">(comparison full – partial </w:t>
      </w:r>
      <w:r w:rsidR="00D11766" w:rsidRPr="00C244B9">
        <w:rPr>
          <w:sz w:val="22"/>
          <w:szCs w:val="22"/>
        </w:rPr>
        <w:t>ex-</w:t>
      </w:r>
      <w:r w:rsidR="0045071C" w:rsidRPr="00C244B9">
        <w:rPr>
          <w:sz w:val="22"/>
          <w:szCs w:val="22"/>
        </w:rPr>
        <w:t xml:space="preserve">US), </w:t>
      </w:r>
      <w:r w:rsidR="00B87FE9" w:rsidRPr="00C244B9">
        <w:rPr>
          <w:sz w:val="22"/>
          <w:szCs w:val="22"/>
        </w:rPr>
        <w:t>3</w:t>
      </w:r>
      <w:r w:rsidR="00D35A03" w:rsidRPr="00C244B9">
        <w:rPr>
          <w:sz w:val="22"/>
          <w:szCs w:val="22"/>
        </w:rPr>
        <w:t>,</w:t>
      </w:r>
      <w:r w:rsidR="00B87FE9" w:rsidRPr="00C244B9">
        <w:rPr>
          <w:sz w:val="22"/>
          <w:szCs w:val="22"/>
        </w:rPr>
        <w:t>751.41</w:t>
      </w:r>
      <w:r w:rsidR="0045071C" w:rsidRPr="00C244B9">
        <w:rPr>
          <w:sz w:val="22"/>
          <w:szCs w:val="22"/>
        </w:rPr>
        <w:t xml:space="preserve">(comparison full – partial ex-France) and </w:t>
      </w:r>
      <w:r w:rsidR="00B87FE9" w:rsidRPr="00C244B9">
        <w:rPr>
          <w:sz w:val="22"/>
          <w:szCs w:val="22"/>
        </w:rPr>
        <w:t>2</w:t>
      </w:r>
      <w:r w:rsidR="00D35A03" w:rsidRPr="00C244B9">
        <w:rPr>
          <w:sz w:val="22"/>
          <w:szCs w:val="22"/>
        </w:rPr>
        <w:t>,</w:t>
      </w:r>
      <w:r w:rsidR="00B87FE9" w:rsidRPr="00C244B9">
        <w:rPr>
          <w:sz w:val="22"/>
          <w:szCs w:val="22"/>
        </w:rPr>
        <w:t>784.13</w:t>
      </w:r>
      <w:r w:rsidR="00B87FE9" w:rsidRPr="00C244B9" w:rsidDel="00B87FE9">
        <w:rPr>
          <w:sz w:val="22"/>
          <w:szCs w:val="22"/>
        </w:rPr>
        <w:t xml:space="preserve"> </w:t>
      </w:r>
      <w:r w:rsidR="0045071C" w:rsidRPr="00C244B9">
        <w:rPr>
          <w:sz w:val="22"/>
          <w:szCs w:val="22"/>
        </w:rPr>
        <w:t xml:space="preserve">(comparison full – partial </w:t>
      </w:r>
      <w:r w:rsidR="00D11766" w:rsidRPr="00C244B9">
        <w:rPr>
          <w:sz w:val="22"/>
          <w:szCs w:val="22"/>
        </w:rPr>
        <w:t>ex-</w:t>
      </w:r>
      <w:r w:rsidR="00D35A03" w:rsidRPr="00C244B9">
        <w:rPr>
          <w:sz w:val="22"/>
          <w:szCs w:val="22"/>
        </w:rPr>
        <w:t>GB</w:t>
      </w:r>
      <w:r w:rsidR="0045071C" w:rsidRPr="00C244B9">
        <w:rPr>
          <w:sz w:val="22"/>
          <w:szCs w:val="22"/>
        </w:rPr>
        <w:t>)</w:t>
      </w:r>
      <w:r w:rsidRPr="00C244B9">
        <w:rPr>
          <w:sz w:val="22"/>
          <w:szCs w:val="22"/>
        </w:rPr>
        <w:t>, indicating that the two sets of estimates (full vs partial) were statistically different</w:t>
      </w:r>
      <w:r w:rsidR="00177830" w:rsidRPr="00C244B9">
        <w:rPr>
          <w:sz w:val="22"/>
          <w:szCs w:val="22"/>
        </w:rPr>
        <w:t xml:space="preserve"> in the three cases</w:t>
      </w:r>
      <w:r w:rsidRPr="00C244B9">
        <w:rPr>
          <w:sz w:val="22"/>
          <w:szCs w:val="22"/>
        </w:rPr>
        <w:t>.</w:t>
      </w:r>
    </w:p>
    <w:p w14:paraId="3515EB07" w14:textId="13E66E95" w:rsidR="00DF363B" w:rsidRPr="00C244B9" w:rsidRDefault="00A2641F" w:rsidP="00D0262E">
      <w:pPr>
        <w:spacing w:line="480" w:lineRule="auto"/>
        <w:ind w:firstLine="284"/>
        <w:rPr>
          <w:sz w:val="22"/>
          <w:szCs w:val="22"/>
          <w:lang w:val="en-GB"/>
        </w:rPr>
      </w:pPr>
      <w:r w:rsidRPr="00C244B9">
        <w:rPr>
          <w:sz w:val="22"/>
          <w:szCs w:val="22"/>
          <w:lang w:val="en-GB"/>
        </w:rPr>
        <w:lastRenderedPageBreak/>
        <w:t xml:space="preserve">There are several ways to address the problems caused by the violation of the IIA assumption, one of the most widely used of which is the use of </w:t>
      </w:r>
      <w:r w:rsidR="00177830" w:rsidRPr="00C244B9">
        <w:rPr>
          <w:sz w:val="22"/>
          <w:szCs w:val="22"/>
          <w:lang w:val="en-GB"/>
        </w:rPr>
        <w:t xml:space="preserve">a mixed logit. </w:t>
      </w:r>
      <w:r w:rsidRPr="00C244B9">
        <w:rPr>
          <w:sz w:val="22"/>
          <w:szCs w:val="22"/>
          <w:lang w:val="en-GB"/>
        </w:rPr>
        <w:t xml:space="preserve">This </w:t>
      </w:r>
      <w:r w:rsidR="00177830" w:rsidRPr="00C244B9">
        <w:rPr>
          <w:sz w:val="22"/>
          <w:szCs w:val="22"/>
          <w:lang w:val="en-GB"/>
        </w:rPr>
        <w:t xml:space="preserve">resolves the </w:t>
      </w:r>
      <w:r w:rsidR="00DF363B" w:rsidRPr="00C244B9">
        <w:rPr>
          <w:sz w:val="22"/>
          <w:szCs w:val="22"/>
          <w:lang w:val="en-GB"/>
        </w:rPr>
        <w:t xml:space="preserve">limitations of standard logit by allowing for random taste variation, unrestricted substitution patterns, and correlation in unobserved factors over time </w:t>
      </w:r>
      <w:r w:rsidR="00DF363B" w:rsidRPr="00C244B9">
        <w:rPr>
          <w:sz w:val="22"/>
          <w:szCs w:val="22"/>
        </w:rPr>
        <w:t xml:space="preserve">(McFadden and Train, </w:t>
      </w:r>
      <w:r w:rsidR="00DF363B" w:rsidRPr="00C244B9">
        <w:rPr>
          <w:sz w:val="22"/>
          <w:szCs w:val="22"/>
          <w:lang w:val="en-GB"/>
        </w:rPr>
        <w:t xml:space="preserve">2000). The firm faces a choice among J country-alternatives. The utility of firm </w:t>
      </w:r>
      <w:r w:rsidR="00DF363B" w:rsidRPr="00C244B9">
        <w:rPr>
          <w:i/>
          <w:sz w:val="22"/>
          <w:szCs w:val="22"/>
          <w:lang w:val="en-GB"/>
        </w:rPr>
        <w:t>n</w:t>
      </w:r>
      <w:r w:rsidR="00DF363B" w:rsidRPr="00C244B9">
        <w:rPr>
          <w:sz w:val="22"/>
          <w:szCs w:val="22"/>
          <w:lang w:val="en-GB"/>
        </w:rPr>
        <w:t xml:space="preserve"> from host country </w:t>
      </w:r>
      <w:r w:rsidR="00F53E4D" w:rsidRPr="00C244B9">
        <w:rPr>
          <w:i/>
          <w:sz w:val="22"/>
          <w:szCs w:val="22"/>
          <w:lang w:val="en-GB"/>
        </w:rPr>
        <w:t>h</w:t>
      </w:r>
      <w:r w:rsidR="00DF363B" w:rsidRPr="00C244B9">
        <w:rPr>
          <w:sz w:val="22"/>
          <w:szCs w:val="22"/>
          <w:lang w:val="en-GB"/>
        </w:rPr>
        <w:t xml:space="preserve"> is specified as:</w:t>
      </w:r>
    </w:p>
    <w:p w14:paraId="42B9FCA3" w14:textId="744F0CD5" w:rsidR="00DF363B" w:rsidRPr="00C244B9" w:rsidRDefault="00CF1609" w:rsidP="00D0262E">
      <w:pPr>
        <w:spacing w:line="480" w:lineRule="auto"/>
        <w:ind w:firstLine="284"/>
        <w:rPr>
          <w:sz w:val="22"/>
          <w:szCs w:val="22"/>
          <w:lang w:val="en-GB"/>
        </w:rPr>
      </w:pPr>
      <m:oMathPara>
        <m:oMath>
          <m:sSub>
            <m:sSubPr>
              <m:ctrlPr>
                <w:rPr>
                  <w:rFonts w:ascii="Cambria Math" w:hAnsi="Cambria Math"/>
                  <w:i/>
                  <w:sz w:val="22"/>
                  <w:szCs w:val="22"/>
                  <w:lang w:val="en-GB"/>
                </w:rPr>
              </m:ctrlPr>
            </m:sSubPr>
            <m:e>
              <m:r>
                <w:rPr>
                  <w:rFonts w:ascii="Cambria Math" w:hAnsi="Cambria Math"/>
                  <w:sz w:val="22"/>
                  <w:szCs w:val="22"/>
                  <w:lang w:val="en-GB"/>
                </w:rPr>
                <m:t>U</m:t>
              </m:r>
            </m:e>
            <m:sub>
              <m:r>
                <w:rPr>
                  <w:rFonts w:ascii="Cambria Math" w:hAnsi="Cambria Math"/>
                  <w:sz w:val="22"/>
                  <w:szCs w:val="22"/>
                  <w:lang w:val="en-GB"/>
                </w:rPr>
                <m:t>nh</m:t>
              </m:r>
            </m:sub>
          </m:sSub>
          <m:r>
            <w:rPr>
              <w:rFonts w:ascii="Cambria Math" w:hAnsi="Cambria Math"/>
              <w:sz w:val="22"/>
              <w:szCs w:val="22"/>
              <w:lang w:val="en-GB"/>
            </w:rPr>
            <m:t>=</m:t>
          </m:r>
          <m:sSub>
            <m:sSubPr>
              <m:ctrlPr>
                <w:rPr>
                  <w:rFonts w:ascii="Cambria Math" w:hAnsi="Cambria Math"/>
                  <w:i/>
                  <w:sz w:val="22"/>
                  <w:szCs w:val="22"/>
                  <w:lang w:val="en-GB"/>
                </w:rPr>
              </m:ctrlPr>
            </m:sSubPr>
            <m:e>
              <m:r>
                <w:rPr>
                  <w:rFonts w:ascii="Cambria Math" w:hAnsi="Cambria Math"/>
                  <w:sz w:val="22"/>
                  <w:szCs w:val="22"/>
                  <w:lang w:val="en-GB"/>
                </w:rPr>
                <m:t>β'</m:t>
              </m:r>
            </m:e>
            <m:sub>
              <m:r>
                <w:rPr>
                  <w:rFonts w:ascii="Cambria Math" w:hAnsi="Cambria Math"/>
                  <w:sz w:val="22"/>
                  <w:szCs w:val="22"/>
                  <w:lang w:val="en-GB"/>
                </w:rPr>
                <m:t>n</m:t>
              </m:r>
            </m:sub>
          </m:sSub>
          <m:sSub>
            <m:sSubPr>
              <m:ctrlPr>
                <w:rPr>
                  <w:rFonts w:ascii="Cambria Math" w:hAnsi="Cambria Math"/>
                  <w:i/>
                  <w:sz w:val="22"/>
                  <w:szCs w:val="22"/>
                  <w:lang w:val="en-GB"/>
                </w:rPr>
              </m:ctrlPr>
            </m:sSubPr>
            <m:e>
              <m:r>
                <w:rPr>
                  <w:rFonts w:ascii="Cambria Math" w:hAnsi="Cambria Math"/>
                  <w:sz w:val="22"/>
                  <w:szCs w:val="22"/>
                  <w:lang w:val="en-GB"/>
                </w:rPr>
                <m:t>x</m:t>
              </m:r>
            </m:e>
            <m:sub>
              <m:r>
                <w:rPr>
                  <w:rFonts w:ascii="Cambria Math" w:hAnsi="Cambria Math"/>
                  <w:sz w:val="22"/>
                  <w:szCs w:val="22"/>
                  <w:lang w:val="en-GB"/>
                </w:rPr>
                <m:t>nh</m:t>
              </m:r>
            </m:sub>
          </m:sSub>
          <m:r>
            <w:rPr>
              <w:rFonts w:ascii="Cambria Math" w:hAnsi="Cambria Math"/>
              <w:sz w:val="22"/>
              <w:szCs w:val="22"/>
              <w:lang w:val="en-GB"/>
            </w:rPr>
            <m:t>+</m:t>
          </m:r>
          <m:sSub>
            <m:sSubPr>
              <m:ctrlPr>
                <w:rPr>
                  <w:rFonts w:ascii="Cambria Math" w:hAnsi="Cambria Math"/>
                  <w:i/>
                  <w:sz w:val="22"/>
                  <w:szCs w:val="22"/>
                  <w:lang w:val="en-GB"/>
                </w:rPr>
              </m:ctrlPr>
            </m:sSubPr>
            <m:e>
              <m:r>
                <w:rPr>
                  <w:rFonts w:ascii="Cambria Math" w:hAnsi="Cambria Math"/>
                  <w:sz w:val="22"/>
                  <w:szCs w:val="22"/>
                  <w:lang w:val="en-GB"/>
                </w:rPr>
                <m:t>ε</m:t>
              </m:r>
            </m:e>
            <m:sub>
              <m:r>
                <w:rPr>
                  <w:rFonts w:ascii="Cambria Math" w:hAnsi="Cambria Math"/>
                  <w:sz w:val="22"/>
                  <w:szCs w:val="22"/>
                  <w:lang w:val="en-GB"/>
                </w:rPr>
                <m:t>nh</m:t>
              </m:r>
            </m:sub>
          </m:sSub>
        </m:oMath>
      </m:oMathPara>
    </w:p>
    <w:p w14:paraId="3159AE44" w14:textId="1DF2F70E" w:rsidR="00DF363B" w:rsidRPr="00C244B9" w:rsidRDefault="00DF363B" w:rsidP="00D0262E">
      <w:pPr>
        <w:spacing w:line="480" w:lineRule="auto"/>
        <w:rPr>
          <w:sz w:val="22"/>
          <w:szCs w:val="22"/>
          <w:lang w:val="en-GB"/>
        </w:rPr>
      </w:pPr>
      <w:r w:rsidRPr="00C244B9">
        <w:rPr>
          <w:sz w:val="22"/>
          <w:szCs w:val="22"/>
          <w:lang w:val="en-GB"/>
        </w:rPr>
        <w:t xml:space="preserve"> where </w:t>
      </w:r>
      <m:oMath>
        <m:sSub>
          <m:sSubPr>
            <m:ctrlPr>
              <w:rPr>
                <w:rFonts w:ascii="Cambria Math" w:hAnsi="Cambria Math"/>
                <w:sz w:val="22"/>
                <w:szCs w:val="22"/>
                <w:lang w:val="en-GB"/>
              </w:rPr>
            </m:ctrlPr>
          </m:sSubPr>
          <m:e>
            <m:r>
              <w:rPr>
                <w:rFonts w:ascii="Cambria Math" w:hAnsi="Cambria Math"/>
                <w:sz w:val="22"/>
                <w:szCs w:val="22"/>
                <w:lang w:val="en-GB"/>
              </w:rPr>
              <m:t>x</m:t>
            </m:r>
          </m:e>
          <m:sub>
            <m:r>
              <w:rPr>
                <w:rFonts w:ascii="Cambria Math" w:hAnsi="Cambria Math"/>
                <w:sz w:val="22"/>
                <w:szCs w:val="22"/>
                <w:lang w:val="en-GB"/>
              </w:rPr>
              <m:t>nh</m:t>
            </m:r>
          </m:sub>
        </m:sSub>
      </m:oMath>
      <w:r w:rsidRPr="00C244B9">
        <w:rPr>
          <w:sz w:val="22"/>
          <w:szCs w:val="22"/>
          <w:lang w:val="en-GB"/>
        </w:rPr>
        <w:t xml:space="preserve"> are observed variables that relate to the alternative and decision-maker, </w:t>
      </w:r>
      <m:oMath>
        <m:sSub>
          <m:sSubPr>
            <m:ctrlPr>
              <w:rPr>
                <w:rFonts w:ascii="Cambria Math" w:hAnsi="Cambria Math"/>
                <w:sz w:val="22"/>
                <w:szCs w:val="22"/>
                <w:lang w:val="en-GB"/>
              </w:rPr>
            </m:ctrlPr>
          </m:sSubPr>
          <m:e>
            <m:r>
              <w:rPr>
                <w:rFonts w:ascii="Cambria Math" w:hAnsi="Cambria Math"/>
                <w:sz w:val="22"/>
                <w:szCs w:val="22"/>
                <w:lang w:val="en-GB"/>
              </w:rPr>
              <m:t>β</m:t>
            </m:r>
          </m:e>
          <m:sub>
            <m:r>
              <w:rPr>
                <w:rFonts w:ascii="Cambria Math" w:hAnsi="Cambria Math"/>
                <w:sz w:val="22"/>
                <w:szCs w:val="22"/>
                <w:lang w:val="en-GB"/>
              </w:rPr>
              <m:t>n</m:t>
            </m:r>
          </m:sub>
        </m:sSub>
        <m:r>
          <m:rPr>
            <m:sty m:val="p"/>
          </m:rPr>
          <w:rPr>
            <w:rFonts w:ascii="Cambria Math" w:hAnsi="Cambria Math"/>
            <w:sz w:val="22"/>
            <w:szCs w:val="22"/>
            <w:lang w:val="en-GB"/>
          </w:rPr>
          <m:t xml:space="preserve"> </m:t>
        </m:r>
      </m:oMath>
      <w:r w:rsidRPr="00C244B9">
        <w:rPr>
          <w:sz w:val="22"/>
          <w:szCs w:val="22"/>
          <w:lang w:val="en-GB"/>
        </w:rPr>
        <w:t xml:space="preserve">is a vector of coefficients of these variables for firm </w:t>
      </w:r>
      <w:r w:rsidRPr="00C244B9">
        <w:rPr>
          <w:i/>
          <w:sz w:val="22"/>
          <w:szCs w:val="22"/>
          <w:lang w:val="en-GB"/>
        </w:rPr>
        <w:t>n</w:t>
      </w:r>
      <w:r w:rsidRPr="00C244B9">
        <w:rPr>
          <w:sz w:val="22"/>
          <w:szCs w:val="22"/>
          <w:lang w:val="en-GB"/>
        </w:rPr>
        <w:t xml:space="preserve"> representing that firm’s tastes, and </w:t>
      </w:r>
      <m:oMath>
        <m:sSub>
          <m:sSubPr>
            <m:ctrlPr>
              <w:rPr>
                <w:rFonts w:ascii="Cambria Math" w:hAnsi="Cambria Math"/>
                <w:sz w:val="22"/>
                <w:szCs w:val="22"/>
                <w:lang w:val="en-GB"/>
              </w:rPr>
            </m:ctrlPr>
          </m:sSubPr>
          <m:e>
            <m:r>
              <w:rPr>
                <w:rFonts w:ascii="Cambria Math" w:hAnsi="Cambria Math"/>
                <w:sz w:val="22"/>
                <w:szCs w:val="22"/>
                <w:lang w:val="en-GB"/>
              </w:rPr>
              <m:t>ε</m:t>
            </m:r>
          </m:e>
          <m:sub>
            <m:r>
              <w:rPr>
                <w:rFonts w:ascii="Cambria Math" w:hAnsi="Cambria Math"/>
                <w:sz w:val="22"/>
                <w:szCs w:val="22"/>
                <w:lang w:val="en-GB"/>
              </w:rPr>
              <m:t>nh</m:t>
            </m:r>
          </m:sub>
        </m:sSub>
      </m:oMath>
      <w:r w:rsidRPr="00C244B9">
        <w:rPr>
          <w:sz w:val="22"/>
          <w:szCs w:val="22"/>
          <w:lang w:val="en-GB"/>
        </w:rPr>
        <w:t xml:space="preserve"> is a random term that is </w:t>
      </w:r>
      <w:r w:rsidRPr="00C244B9">
        <w:rPr>
          <w:i/>
          <w:sz w:val="22"/>
          <w:szCs w:val="22"/>
          <w:lang w:val="en-GB"/>
        </w:rPr>
        <w:t>iid</w:t>
      </w:r>
      <w:r w:rsidRPr="00C244B9">
        <w:rPr>
          <w:sz w:val="22"/>
          <w:szCs w:val="22"/>
          <w:lang w:val="en-GB"/>
        </w:rPr>
        <w:t xml:space="preserve"> extreme value. The coefficients vary over decision-makers in the population with density</w:t>
      </w:r>
      <m:oMath>
        <m:r>
          <w:rPr>
            <w:rFonts w:ascii="Cambria Math" w:hAnsi="Cambria Math"/>
            <w:sz w:val="22"/>
            <w:szCs w:val="22"/>
            <w:lang w:val="en-GB"/>
          </w:rPr>
          <m:t xml:space="preserve"> f</m:t>
        </m:r>
        <m:r>
          <m:rPr>
            <m:sty m:val="p"/>
          </m:rPr>
          <w:rPr>
            <w:rFonts w:ascii="Cambria Math" w:hAnsi="Cambria Math"/>
            <w:sz w:val="22"/>
            <w:szCs w:val="22"/>
            <w:lang w:val="en-GB"/>
          </w:rPr>
          <m:t>(</m:t>
        </m:r>
        <m:r>
          <w:rPr>
            <w:rFonts w:ascii="Cambria Math" w:hAnsi="Cambria Math"/>
            <w:sz w:val="22"/>
            <w:szCs w:val="22"/>
            <w:lang w:val="en-GB"/>
          </w:rPr>
          <m:t>β</m:t>
        </m:r>
        <m:r>
          <m:rPr>
            <m:sty m:val="p"/>
          </m:rPr>
          <w:rPr>
            <w:rFonts w:ascii="Cambria Math" w:hAnsi="Cambria Math"/>
            <w:sz w:val="22"/>
            <w:szCs w:val="22"/>
            <w:lang w:val="en-GB"/>
          </w:rPr>
          <m:t>)</m:t>
        </m:r>
      </m:oMath>
      <w:r w:rsidRPr="00C244B9">
        <w:rPr>
          <w:sz w:val="22"/>
          <w:szCs w:val="22"/>
          <w:lang w:val="en-GB"/>
        </w:rPr>
        <w:t>. This density is a function of parameters Ɵ that represent, for example, the mean and covariance of the</w:t>
      </w:r>
      <m:oMath>
        <m:r>
          <w:rPr>
            <w:rFonts w:ascii="Cambria Math" w:hAnsi="Cambria Math"/>
            <w:sz w:val="22"/>
            <w:szCs w:val="22"/>
            <w:lang w:val="en-GB"/>
          </w:rPr>
          <m:t xml:space="preserve"> β</m:t>
        </m:r>
      </m:oMath>
      <w:r w:rsidRPr="00C244B9">
        <w:rPr>
          <w:sz w:val="22"/>
          <w:szCs w:val="22"/>
          <w:lang w:val="en-GB"/>
        </w:rPr>
        <w:t xml:space="preserve">’s in the population. This specification is similar to that of the standard logit, except that </w:t>
      </w:r>
      <m:oMath>
        <m:r>
          <w:rPr>
            <w:rFonts w:ascii="Cambria Math" w:hAnsi="Cambria Math"/>
            <w:sz w:val="22"/>
            <w:szCs w:val="22"/>
            <w:lang w:val="en-GB"/>
          </w:rPr>
          <m:t>β</m:t>
        </m:r>
      </m:oMath>
      <w:r w:rsidRPr="00C244B9">
        <w:rPr>
          <w:sz w:val="22"/>
          <w:szCs w:val="22"/>
          <w:lang w:val="en-GB"/>
        </w:rPr>
        <w:t xml:space="preserve"> varies over decision-makers </w:t>
      </w:r>
      <w:r w:rsidR="00EE76F7" w:rsidRPr="00C244B9">
        <w:rPr>
          <w:sz w:val="22"/>
          <w:szCs w:val="22"/>
          <w:lang w:val="en-GB"/>
        </w:rPr>
        <w:t xml:space="preserve">(firms) </w:t>
      </w:r>
      <w:r w:rsidRPr="00C244B9">
        <w:rPr>
          <w:sz w:val="22"/>
          <w:szCs w:val="22"/>
          <w:lang w:val="en-GB"/>
        </w:rPr>
        <w:t>rather than being fixed (Train, 200</w:t>
      </w:r>
      <w:r w:rsidR="00037D5B" w:rsidRPr="00C244B9">
        <w:rPr>
          <w:sz w:val="22"/>
          <w:szCs w:val="22"/>
          <w:lang w:val="en-GB"/>
        </w:rPr>
        <w:t>9</w:t>
      </w:r>
      <w:r w:rsidR="00A2641F" w:rsidRPr="00C244B9">
        <w:rPr>
          <w:sz w:val="22"/>
          <w:szCs w:val="22"/>
          <w:lang w:val="en-GB"/>
        </w:rPr>
        <w:t>)</w:t>
      </w:r>
      <w:r w:rsidRPr="00C244B9">
        <w:rPr>
          <w:sz w:val="22"/>
          <w:szCs w:val="22"/>
          <w:lang w:val="en-GB"/>
        </w:rPr>
        <w:t>. In our specification</w:t>
      </w:r>
      <w:r w:rsidR="00A2641F" w:rsidRPr="00C244B9">
        <w:rPr>
          <w:sz w:val="22"/>
          <w:szCs w:val="22"/>
          <w:lang w:val="en-GB"/>
        </w:rPr>
        <w:t>,</w:t>
      </w:r>
      <w:r w:rsidRPr="00C244B9">
        <w:rPr>
          <w:sz w:val="22"/>
          <w:szCs w:val="22"/>
          <w:lang w:val="en-GB"/>
        </w:rPr>
        <w:t xml:space="preserve"> the coefficients </w:t>
      </w:r>
      <m:oMath>
        <m:sSub>
          <m:sSubPr>
            <m:ctrlPr>
              <w:rPr>
                <w:rFonts w:ascii="Cambria Math" w:hAnsi="Cambria Math"/>
                <w:sz w:val="22"/>
                <w:szCs w:val="22"/>
                <w:lang w:val="en-GB"/>
              </w:rPr>
            </m:ctrlPr>
          </m:sSubPr>
          <m:e>
            <m:r>
              <w:rPr>
                <w:rFonts w:ascii="Cambria Math" w:hAnsi="Cambria Math"/>
                <w:sz w:val="22"/>
                <w:szCs w:val="22"/>
                <w:lang w:val="en-GB"/>
              </w:rPr>
              <m:t>β</m:t>
            </m:r>
          </m:e>
          <m:sub>
            <m:r>
              <w:rPr>
                <w:rFonts w:ascii="Cambria Math" w:hAnsi="Cambria Math"/>
                <w:sz w:val="22"/>
                <w:szCs w:val="22"/>
                <w:lang w:val="en-GB"/>
              </w:rPr>
              <m:t>n</m:t>
            </m:r>
          </m:sub>
        </m:sSub>
        <m:r>
          <m:rPr>
            <m:sty m:val="p"/>
          </m:rPr>
          <w:rPr>
            <w:rFonts w:ascii="Cambria Math" w:hAnsi="Cambria Math"/>
            <w:sz w:val="22"/>
            <w:szCs w:val="22"/>
            <w:lang w:val="en-GB"/>
          </w:rPr>
          <m:t xml:space="preserve"> </m:t>
        </m:r>
      </m:oMath>
      <w:r w:rsidRPr="00C244B9">
        <w:rPr>
          <w:sz w:val="22"/>
          <w:szCs w:val="22"/>
          <w:lang w:val="en-GB"/>
        </w:rPr>
        <w:t>vary over firms but not over investments for each firm</w:t>
      </w:r>
      <w:r w:rsidR="00CF470B" w:rsidRPr="00C244B9">
        <w:rPr>
          <w:sz w:val="22"/>
          <w:szCs w:val="22"/>
          <w:lang w:val="en-GB"/>
        </w:rPr>
        <w:t>, namely:</w:t>
      </w:r>
    </w:p>
    <w:p w14:paraId="6A1CB39A" w14:textId="49B60344" w:rsidR="00DF363B" w:rsidRPr="00C244B9" w:rsidRDefault="00DF363B" w:rsidP="00DC6AA7">
      <w:pPr>
        <w:numPr>
          <w:ilvl w:val="0"/>
          <w:numId w:val="25"/>
        </w:numPr>
        <w:spacing w:line="480" w:lineRule="auto"/>
        <w:rPr>
          <w:sz w:val="22"/>
          <w:szCs w:val="22"/>
          <w:lang w:val="en-GB"/>
        </w:rPr>
      </w:pPr>
      <w:r w:rsidRPr="00C244B9">
        <w:rPr>
          <w:sz w:val="22"/>
          <w:szCs w:val="22"/>
          <w:lang w:val="en-GB"/>
        </w:rPr>
        <w:t xml:space="preserve">Some variables have coefficients that are assumed to vary over firms, with an independent normal distribution with mean and standard deviation that </w:t>
      </w:r>
      <w:r w:rsidR="00646585" w:rsidRPr="00C244B9">
        <w:rPr>
          <w:sz w:val="22"/>
          <w:szCs w:val="22"/>
          <w:lang w:val="en-GB"/>
        </w:rPr>
        <w:t xml:space="preserve">are estimated. In other words, these coefficients can take either sign, as seen in our country-by-country regressions. We select the following variables to have random coefficients:  Common Language, GDP per capita, Manufacturing, </w:t>
      </w:r>
      <w:r w:rsidR="00B10125" w:rsidRPr="00C244B9">
        <w:rPr>
          <w:sz w:val="22"/>
          <w:szCs w:val="22"/>
          <w:lang w:val="en-GB"/>
        </w:rPr>
        <w:t xml:space="preserve">and </w:t>
      </w:r>
      <w:r w:rsidR="00D35A03" w:rsidRPr="00C244B9">
        <w:rPr>
          <w:sz w:val="22"/>
          <w:szCs w:val="22"/>
          <w:lang w:val="en-GB"/>
        </w:rPr>
        <w:t>Agglomeration</w:t>
      </w:r>
      <w:r w:rsidR="00646585" w:rsidRPr="00C244B9">
        <w:rPr>
          <w:sz w:val="22"/>
          <w:szCs w:val="22"/>
          <w:lang w:val="en-GB"/>
        </w:rPr>
        <w:t xml:space="preserve">. </w:t>
      </w:r>
    </w:p>
    <w:p w14:paraId="2EEC2CFD" w14:textId="09A64249" w:rsidR="00646585" w:rsidRPr="00C244B9" w:rsidRDefault="00646585" w:rsidP="00646585">
      <w:pPr>
        <w:numPr>
          <w:ilvl w:val="0"/>
          <w:numId w:val="25"/>
        </w:numPr>
        <w:spacing w:line="480" w:lineRule="auto"/>
        <w:rPr>
          <w:sz w:val="22"/>
          <w:szCs w:val="22"/>
          <w:lang w:val="en-GB"/>
        </w:rPr>
      </w:pPr>
      <w:r w:rsidRPr="00C244B9">
        <w:rPr>
          <w:sz w:val="22"/>
          <w:szCs w:val="22"/>
          <w:lang w:val="en-GB"/>
        </w:rPr>
        <w:t>The other variables have coefficients that are assumed to be fixed (i.e. do not vary over firms).</w:t>
      </w:r>
    </w:p>
    <w:p w14:paraId="1778225F" w14:textId="08342F42" w:rsidR="009256EF" w:rsidRPr="00C244B9" w:rsidRDefault="009256EF" w:rsidP="006E403A">
      <w:pPr>
        <w:spacing w:line="480" w:lineRule="auto"/>
        <w:ind w:left="360"/>
        <w:jc w:val="center"/>
        <w:rPr>
          <w:sz w:val="22"/>
          <w:szCs w:val="22"/>
          <w:lang w:val="en-GB"/>
        </w:rPr>
      </w:pPr>
      <w:r w:rsidRPr="00C244B9">
        <w:rPr>
          <w:i/>
          <w:sz w:val="22"/>
          <w:szCs w:val="22"/>
          <w:lang w:val="en-GB"/>
        </w:rPr>
        <w:t>Table 7 about here</w:t>
      </w:r>
    </w:p>
    <w:p w14:paraId="3D9442F6" w14:textId="4AAA6ABF" w:rsidR="008D06BF" w:rsidRPr="00C244B9" w:rsidRDefault="00646585" w:rsidP="00CF470B">
      <w:pPr>
        <w:spacing w:line="480" w:lineRule="auto"/>
        <w:ind w:firstLine="360"/>
        <w:rPr>
          <w:sz w:val="22"/>
          <w:szCs w:val="22"/>
          <w:lang w:val="en-GB"/>
        </w:rPr>
      </w:pPr>
      <w:r w:rsidRPr="00C244B9">
        <w:rPr>
          <w:sz w:val="22"/>
          <w:szCs w:val="22"/>
          <w:lang w:val="en-GB"/>
        </w:rPr>
        <w:t xml:space="preserve">The results are reported in </w:t>
      </w:r>
      <w:r w:rsidR="00DC6AA7" w:rsidRPr="00C244B9">
        <w:rPr>
          <w:sz w:val="22"/>
          <w:szCs w:val="22"/>
          <w:lang w:val="en-GB"/>
        </w:rPr>
        <w:t xml:space="preserve">Table 7, </w:t>
      </w:r>
      <w:r w:rsidRPr="00C244B9">
        <w:rPr>
          <w:sz w:val="22"/>
          <w:szCs w:val="22"/>
          <w:lang w:val="en-GB"/>
        </w:rPr>
        <w:t>Column (</w:t>
      </w:r>
      <w:r w:rsidR="009256EF" w:rsidRPr="00C244B9">
        <w:rPr>
          <w:sz w:val="22"/>
          <w:szCs w:val="22"/>
          <w:lang w:val="en-GB"/>
        </w:rPr>
        <w:t>1</w:t>
      </w:r>
      <w:r w:rsidRPr="00C244B9">
        <w:rPr>
          <w:sz w:val="22"/>
          <w:szCs w:val="22"/>
          <w:lang w:val="en-GB"/>
        </w:rPr>
        <w:t>)</w:t>
      </w:r>
      <w:r w:rsidR="008D06BF" w:rsidRPr="00C244B9">
        <w:rPr>
          <w:sz w:val="22"/>
          <w:szCs w:val="22"/>
          <w:lang w:val="en-GB"/>
        </w:rPr>
        <w:t xml:space="preserve"> for the mean of the coefficients and Column (</w:t>
      </w:r>
      <w:r w:rsidR="009256EF" w:rsidRPr="00C244B9">
        <w:rPr>
          <w:sz w:val="22"/>
          <w:szCs w:val="22"/>
          <w:lang w:val="en-GB"/>
        </w:rPr>
        <w:t>2</w:t>
      </w:r>
      <w:r w:rsidR="008D06BF" w:rsidRPr="00C244B9">
        <w:rPr>
          <w:sz w:val="22"/>
          <w:szCs w:val="22"/>
          <w:lang w:val="en-GB"/>
        </w:rPr>
        <w:t>) for the</w:t>
      </w:r>
      <w:r w:rsidR="00EE76F7" w:rsidRPr="00C244B9">
        <w:rPr>
          <w:sz w:val="22"/>
          <w:szCs w:val="22"/>
          <w:lang w:val="en-GB"/>
        </w:rPr>
        <w:t xml:space="preserve"> standard deviation of the coefficient</w:t>
      </w:r>
      <w:r w:rsidRPr="00C244B9">
        <w:rPr>
          <w:sz w:val="22"/>
          <w:szCs w:val="22"/>
          <w:lang w:val="en-GB"/>
        </w:rPr>
        <w:t>.</w:t>
      </w:r>
      <w:r w:rsidR="008D06BF" w:rsidRPr="00C244B9">
        <w:rPr>
          <w:sz w:val="22"/>
          <w:szCs w:val="22"/>
          <w:lang w:val="en-GB"/>
        </w:rPr>
        <w:t xml:space="preserve"> </w:t>
      </w:r>
      <w:r w:rsidR="00CF470B" w:rsidRPr="00C244B9">
        <w:rPr>
          <w:sz w:val="22"/>
          <w:szCs w:val="22"/>
          <w:lang w:val="en-GB"/>
        </w:rPr>
        <w:t>It can be seen that o</w:t>
      </w:r>
      <w:r w:rsidR="008D06BF" w:rsidRPr="00C244B9">
        <w:rPr>
          <w:sz w:val="22"/>
          <w:szCs w:val="22"/>
          <w:lang w:val="en-GB"/>
        </w:rPr>
        <w:t xml:space="preserve">ur results </w:t>
      </w:r>
      <w:r w:rsidR="00CF470B" w:rsidRPr="00C244B9">
        <w:rPr>
          <w:sz w:val="22"/>
          <w:szCs w:val="22"/>
          <w:lang w:val="en-GB"/>
        </w:rPr>
        <w:t xml:space="preserve">using </w:t>
      </w:r>
      <w:r w:rsidR="00CF470B" w:rsidRPr="00C244B9">
        <w:rPr>
          <w:sz w:val="22"/>
          <w:szCs w:val="22"/>
          <w:lang w:val="en-GB"/>
        </w:rPr>
        <w:lastRenderedPageBreak/>
        <w:t xml:space="preserve">mixed logit </w:t>
      </w:r>
      <w:r w:rsidR="008D06BF" w:rsidRPr="00C244B9">
        <w:rPr>
          <w:sz w:val="22"/>
          <w:szCs w:val="22"/>
          <w:lang w:val="en-GB"/>
        </w:rPr>
        <w:t>are broadly consistent with our c-logit specification in Table 5.</w:t>
      </w:r>
      <w:r w:rsidR="00435830" w:rsidRPr="00C244B9">
        <w:rPr>
          <w:sz w:val="22"/>
          <w:szCs w:val="22"/>
          <w:lang w:val="en-GB"/>
        </w:rPr>
        <w:t xml:space="preserve"> Conform</w:t>
      </w:r>
      <w:r w:rsidR="00E33FDC" w:rsidRPr="00C244B9">
        <w:rPr>
          <w:sz w:val="22"/>
          <w:szCs w:val="22"/>
          <w:lang w:val="en-GB"/>
        </w:rPr>
        <w:t>ing</w:t>
      </w:r>
      <w:r w:rsidR="00435830" w:rsidRPr="00C244B9">
        <w:rPr>
          <w:sz w:val="22"/>
          <w:szCs w:val="22"/>
          <w:lang w:val="en-GB"/>
        </w:rPr>
        <w:t xml:space="preserve"> to expectations</w:t>
      </w:r>
      <w:r w:rsidR="00E33FDC" w:rsidRPr="00C244B9">
        <w:rPr>
          <w:sz w:val="22"/>
          <w:szCs w:val="22"/>
          <w:lang w:val="en-GB"/>
        </w:rPr>
        <w:t>,</w:t>
      </w:r>
      <w:r w:rsidR="00435830" w:rsidRPr="00C244B9">
        <w:rPr>
          <w:sz w:val="22"/>
          <w:szCs w:val="22"/>
          <w:lang w:val="en-GB"/>
        </w:rPr>
        <w:t xml:space="preserve"> the coefficient of Distance * EE is negative and significant, and the coefficients of foreign-born pop * EE and Population * EE are positive and significant. However, similarly to our </w:t>
      </w:r>
      <w:r w:rsidR="006E403A" w:rsidRPr="00C244B9">
        <w:rPr>
          <w:sz w:val="22"/>
          <w:szCs w:val="22"/>
          <w:lang w:val="en-GB"/>
        </w:rPr>
        <w:t>C</w:t>
      </w:r>
      <w:r w:rsidR="00435830" w:rsidRPr="00C244B9">
        <w:rPr>
          <w:sz w:val="22"/>
          <w:szCs w:val="22"/>
          <w:lang w:val="en-GB"/>
        </w:rPr>
        <w:t>-logit results</w:t>
      </w:r>
      <w:r w:rsidR="00E33FDC" w:rsidRPr="00C244B9">
        <w:rPr>
          <w:sz w:val="22"/>
          <w:szCs w:val="22"/>
          <w:lang w:val="en-GB"/>
        </w:rPr>
        <w:t>,</w:t>
      </w:r>
      <w:r w:rsidR="00435830" w:rsidRPr="00C244B9">
        <w:rPr>
          <w:sz w:val="22"/>
          <w:szCs w:val="22"/>
          <w:lang w:val="en-GB"/>
        </w:rPr>
        <w:t xml:space="preserve"> we find that the coefficient of IPR * EE is negatively significant.</w:t>
      </w:r>
    </w:p>
    <w:p w14:paraId="1CB967BD" w14:textId="42830813" w:rsidR="00E4758F" w:rsidRPr="00C244B9" w:rsidRDefault="008D06BF" w:rsidP="00CF470B">
      <w:pPr>
        <w:spacing w:line="480" w:lineRule="auto"/>
        <w:ind w:firstLine="360"/>
        <w:rPr>
          <w:sz w:val="22"/>
          <w:szCs w:val="22"/>
          <w:lang w:val="en-GB"/>
        </w:rPr>
      </w:pPr>
      <w:r w:rsidRPr="00C244B9">
        <w:rPr>
          <w:sz w:val="22"/>
          <w:szCs w:val="22"/>
          <w:lang w:val="en-GB"/>
        </w:rPr>
        <w:t>Reg</w:t>
      </w:r>
      <w:r w:rsidR="000330AE" w:rsidRPr="00C244B9">
        <w:rPr>
          <w:sz w:val="22"/>
          <w:szCs w:val="22"/>
          <w:lang w:val="en-GB"/>
        </w:rPr>
        <w:t>arding the random coefficients,</w:t>
      </w:r>
      <w:r w:rsidRPr="00C244B9">
        <w:rPr>
          <w:sz w:val="22"/>
          <w:szCs w:val="22"/>
          <w:lang w:val="en-GB"/>
        </w:rPr>
        <w:t xml:space="preserve"> the standard deviation enters significantly for common language and manufacturing, </w:t>
      </w:r>
      <w:r w:rsidR="00AE0F0B" w:rsidRPr="00C244B9">
        <w:rPr>
          <w:sz w:val="22"/>
          <w:szCs w:val="22"/>
          <w:lang w:val="en-GB"/>
        </w:rPr>
        <w:t>indicating that the random specification is indeed valid for these two variables. However, the standard deviation</w:t>
      </w:r>
      <w:r w:rsidR="00744FF7">
        <w:rPr>
          <w:sz w:val="22"/>
          <w:szCs w:val="22"/>
          <w:lang w:val="en-GB"/>
        </w:rPr>
        <w:t>s</w:t>
      </w:r>
      <w:r w:rsidR="00AE0F0B" w:rsidRPr="00C244B9">
        <w:rPr>
          <w:sz w:val="22"/>
          <w:szCs w:val="22"/>
          <w:lang w:val="en-GB"/>
        </w:rPr>
        <w:t xml:space="preserve"> of the coefficient for</w:t>
      </w:r>
      <w:r w:rsidR="00EE76F7" w:rsidRPr="00C244B9">
        <w:rPr>
          <w:sz w:val="22"/>
          <w:szCs w:val="22"/>
          <w:lang w:val="en-GB"/>
        </w:rPr>
        <w:t xml:space="preserve"> GDP</w:t>
      </w:r>
      <w:r w:rsidR="000655C5" w:rsidRPr="00C244B9">
        <w:rPr>
          <w:sz w:val="22"/>
          <w:szCs w:val="22"/>
          <w:lang w:val="en-GB"/>
        </w:rPr>
        <w:t xml:space="preserve"> per capita and </w:t>
      </w:r>
      <w:r w:rsidR="00AE0F0B" w:rsidRPr="00C244B9">
        <w:rPr>
          <w:sz w:val="22"/>
          <w:szCs w:val="22"/>
          <w:lang w:val="en-GB"/>
        </w:rPr>
        <w:t xml:space="preserve">Agglomeration </w:t>
      </w:r>
      <w:r w:rsidR="00744FF7">
        <w:rPr>
          <w:sz w:val="22"/>
          <w:szCs w:val="22"/>
          <w:lang w:val="en-GB"/>
        </w:rPr>
        <w:t>are</w:t>
      </w:r>
      <w:r w:rsidR="00744FF7" w:rsidRPr="00C244B9">
        <w:rPr>
          <w:sz w:val="22"/>
          <w:szCs w:val="22"/>
          <w:lang w:val="en-GB"/>
        </w:rPr>
        <w:t xml:space="preserve"> </w:t>
      </w:r>
      <w:r w:rsidR="00AE0F0B" w:rsidRPr="00C244B9">
        <w:rPr>
          <w:sz w:val="22"/>
          <w:szCs w:val="22"/>
          <w:lang w:val="en-GB"/>
        </w:rPr>
        <w:t>not significant, indicating that</w:t>
      </w:r>
      <w:r w:rsidRPr="00C244B9">
        <w:rPr>
          <w:sz w:val="22"/>
          <w:szCs w:val="22"/>
          <w:lang w:val="en-GB"/>
        </w:rPr>
        <w:t xml:space="preserve"> </w:t>
      </w:r>
      <w:r w:rsidR="00AE0F0B" w:rsidRPr="00C244B9">
        <w:rPr>
          <w:sz w:val="22"/>
          <w:szCs w:val="22"/>
          <w:lang w:val="en-GB"/>
        </w:rPr>
        <w:t>the parameters of these two variables</w:t>
      </w:r>
      <w:r w:rsidRPr="00C244B9">
        <w:rPr>
          <w:sz w:val="22"/>
          <w:szCs w:val="22"/>
          <w:lang w:val="en-GB"/>
        </w:rPr>
        <w:t xml:space="preserve"> are not significantly dispersed ar</w:t>
      </w:r>
      <w:r w:rsidR="00AE0F0B" w:rsidRPr="00C244B9">
        <w:rPr>
          <w:sz w:val="22"/>
          <w:szCs w:val="22"/>
          <w:lang w:val="en-GB"/>
        </w:rPr>
        <w:t>ound the mean</w:t>
      </w:r>
      <w:r w:rsidR="00744FF7">
        <w:rPr>
          <w:sz w:val="22"/>
          <w:szCs w:val="22"/>
          <w:lang w:val="en-GB"/>
        </w:rPr>
        <w:t>;</w:t>
      </w:r>
      <w:r w:rsidR="00AE0F0B" w:rsidRPr="00C244B9">
        <w:rPr>
          <w:sz w:val="22"/>
          <w:szCs w:val="22"/>
          <w:lang w:val="en-GB"/>
        </w:rPr>
        <w:t xml:space="preserve"> in other words, they are relatively fixed</w:t>
      </w:r>
      <w:r w:rsidR="00D12481" w:rsidRPr="00C244B9">
        <w:rPr>
          <w:sz w:val="22"/>
          <w:szCs w:val="22"/>
          <w:lang w:val="en-GB"/>
        </w:rPr>
        <w:t>.</w:t>
      </w:r>
      <w:r w:rsidR="00CF470B" w:rsidRPr="00C244B9">
        <w:rPr>
          <w:sz w:val="22"/>
          <w:szCs w:val="22"/>
          <w:lang w:val="en-GB"/>
        </w:rPr>
        <w:t xml:space="preserve"> </w:t>
      </w:r>
      <w:r w:rsidR="00E4758F" w:rsidRPr="00C244B9">
        <w:rPr>
          <w:sz w:val="22"/>
          <w:szCs w:val="22"/>
          <w:lang w:val="en-GB"/>
        </w:rPr>
        <w:t>Ov</w:t>
      </w:r>
      <w:r w:rsidR="00FB4D06" w:rsidRPr="00C244B9">
        <w:rPr>
          <w:sz w:val="22"/>
          <w:szCs w:val="22"/>
          <w:lang w:val="en-GB"/>
        </w:rPr>
        <w:t>erall,</w:t>
      </w:r>
      <w:r w:rsidR="00CF470B" w:rsidRPr="00C244B9">
        <w:rPr>
          <w:sz w:val="22"/>
          <w:szCs w:val="22"/>
          <w:lang w:val="en-GB"/>
        </w:rPr>
        <w:t xml:space="preserve"> we conclude that</w:t>
      </w:r>
      <w:r w:rsidR="00FB4D06" w:rsidRPr="00C244B9">
        <w:rPr>
          <w:sz w:val="22"/>
          <w:szCs w:val="22"/>
          <w:lang w:val="en-GB"/>
        </w:rPr>
        <w:t xml:space="preserve"> the results from thes</w:t>
      </w:r>
      <w:r w:rsidR="00E4758F" w:rsidRPr="00C244B9">
        <w:rPr>
          <w:sz w:val="22"/>
          <w:szCs w:val="22"/>
          <w:lang w:val="en-GB"/>
        </w:rPr>
        <w:t xml:space="preserve">e robustness tests </w:t>
      </w:r>
      <w:r w:rsidR="00FB4D06" w:rsidRPr="00C244B9">
        <w:rPr>
          <w:sz w:val="22"/>
          <w:szCs w:val="22"/>
          <w:lang w:val="en-GB"/>
        </w:rPr>
        <w:t>confirm our main findings.</w:t>
      </w:r>
    </w:p>
    <w:p w14:paraId="7AD0AD06" w14:textId="77777777" w:rsidR="005C270A" w:rsidRPr="00C244B9" w:rsidRDefault="005C270A" w:rsidP="0018025D">
      <w:pPr>
        <w:spacing w:line="480" w:lineRule="auto"/>
        <w:jc w:val="center"/>
        <w:outlineLvl w:val="0"/>
        <w:rPr>
          <w:b/>
          <w:bCs/>
          <w:sz w:val="22"/>
          <w:szCs w:val="22"/>
          <w:lang w:val="en-GB"/>
        </w:rPr>
      </w:pPr>
      <w:r w:rsidRPr="00C244B9">
        <w:rPr>
          <w:b/>
          <w:bCs/>
          <w:sz w:val="22"/>
          <w:szCs w:val="22"/>
          <w:lang w:val="en-GB"/>
        </w:rPr>
        <w:t>DISCUSSION</w:t>
      </w:r>
    </w:p>
    <w:p w14:paraId="785A4357" w14:textId="458FA952" w:rsidR="00291C09" w:rsidRPr="00C244B9" w:rsidRDefault="005C270A" w:rsidP="0018025D">
      <w:pPr>
        <w:spacing w:line="480" w:lineRule="auto"/>
        <w:ind w:firstLine="284"/>
        <w:rPr>
          <w:sz w:val="22"/>
          <w:szCs w:val="22"/>
          <w:lang w:val="en-GB"/>
        </w:rPr>
      </w:pPr>
      <w:r w:rsidRPr="00C244B9">
        <w:rPr>
          <w:sz w:val="22"/>
          <w:szCs w:val="22"/>
          <w:lang w:val="en-GB"/>
        </w:rPr>
        <w:t>EE MNEs are different from AE MNE</w:t>
      </w:r>
      <w:r w:rsidR="00976956" w:rsidRPr="00C244B9">
        <w:rPr>
          <w:sz w:val="22"/>
          <w:szCs w:val="22"/>
          <w:lang w:val="en-GB"/>
        </w:rPr>
        <w:t>s</w:t>
      </w:r>
      <w:r w:rsidRPr="00C244B9">
        <w:rPr>
          <w:sz w:val="22"/>
          <w:szCs w:val="22"/>
          <w:lang w:val="en-GB"/>
        </w:rPr>
        <w:t xml:space="preserve">, but these </w:t>
      </w:r>
      <w:r w:rsidR="00591BDD" w:rsidRPr="00C244B9">
        <w:rPr>
          <w:sz w:val="22"/>
          <w:szCs w:val="22"/>
          <w:lang w:val="en-GB"/>
        </w:rPr>
        <w:t xml:space="preserve">differences </w:t>
      </w:r>
      <w:r w:rsidR="00327E47" w:rsidRPr="00C244B9">
        <w:rPr>
          <w:sz w:val="22"/>
          <w:szCs w:val="22"/>
          <w:lang w:val="en-GB"/>
        </w:rPr>
        <w:t xml:space="preserve">can be explained </w:t>
      </w:r>
      <w:r w:rsidR="005E0FDF" w:rsidRPr="00C244B9">
        <w:rPr>
          <w:sz w:val="22"/>
          <w:szCs w:val="22"/>
          <w:lang w:val="en-GB"/>
        </w:rPr>
        <w:t xml:space="preserve">as a consequence of </w:t>
      </w:r>
      <w:r w:rsidRPr="00C244B9">
        <w:rPr>
          <w:sz w:val="22"/>
          <w:szCs w:val="22"/>
          <w:lang w:val="en-GB"/>
        </w:rPr>
        <w:t xml:space="preserve">the lesser </w:t>
      </w:r>
      <w:r w:rsidR="008204CB" w:rsidRPr="00C244B9">
        <w:rPr>
          <w:sz w:val="22"/>
          <w:szCs w:val="22"/>
          <w:lang w:val="en-GB"/>
        </w:rPr>
        <w:t xml:space="preserve">munificence </w:t>
      </w:r>
      <w:r w:rsidRPr="00C244B9">
        <w:rPr>
          <w:sz w:val="22"/>
          <w:szCs w:val="22"/>
          <w:lang w:val="en-GB"/>
        </w:rPr>
        <w:t xml:space="preserve">of the business communities in </w:t>
      </w:r>
      <w:r w:rsidR="006E403A" w:rsidRPr="00C244B9">
        <w:rPr>
          <w:sz w:val="22"/>
          <w:szCs w:val="22"/>
          <w:lang w:val="en-GB"/>
        </w:rPr>
        <w:t xml:space="preserve">their </w:t>
      </w:r>
      <w:r w:rsidRPr="00C244B9">
        <w:rPr>
          <w:sz w:val="22"/>
          <w:szCs w:val="22"/>
          <w:lang w:val="en-GB"/>
        </w:rPr>
        <w:t xml:space="preserve">home economies. We have argued that the </w:t>
      </w:r>
      <w:r w:rsidR="002529B1" w:rsidRPr="00C244B9">
        <w:rPr>
          <w:sz w:val="22"/>
          <w:szCs w:val="22"/>
          <w:lang w:val="en-GB"/>
        </w:rPr>
        <w:t xml:space="preserve">institutional development and </w:t>
      </w:r>
      <w:r w:rsidR="00591BDD" w:rsidRPr="00C244B9">
        <w:rPr>
          <w:sz w:val="22"/>
          <w:szCs w:val="22"/>
          <w:lang w:val="en-GB"/>
        </w:rPr>
        <w:t xml:space="preserve">resource </w:t>
      </w:r>
      <w:r w:rsidRPr="00C244B9">
        <w:rPr>
          <w:sz w:val="22"/>
          <w:szCs w:val="22"/>
          <w:lang w:val="en-GB"/>
        </w:rPr>
        <w:t xml:space="preserve">endowment of the </w:t>
      </w:r>
      <w:r w:rsidR="002529B1" w:rsidRPr="00C244B9">
        <w:rPr>
          <w:sz w:val="22"/>
          <w:szCs w:val="22"/>
          <w:lang w:val="en-GB"/>
        </w:rPr>
        <w:t xml:space="preserve">home country </w:t>
      </w:r>
      <w:r w:rsidRPr="00C244B9">
        <w:rPr>
          <w:sz w:val="22"/>
          <w:szCs w:val="22"/>
          <w:lang w:val="en-GB"/>
        </w:rPr>
        <w:t>provide the foundation</w:t>
      </w:r>
      <w:r w:rsidR="002529B1" w:rsidRPr="00C244B9">
        <w:rPr>
          <w:sz w:val="22"/>
          <w:szCs w:val="22"/>
          <w:lang w:val="en-GB"/>
        </w:rPr>
        <w:t xml:space="preserve"> for firms to develop resources that they can deploy in their </w:t>
      </w:r>
      <w:r w:rsidRPr="00C244B9">
        <w:rPr>
          <w:sz w:val="22"/>
          <w:szCs w:val="22"/>
          <w:lang w:val="en-GB"/>
        </w:rPr>
        <w:t>international operations. We thus incorporate the home environment as a factor influenc</w:t>
      </w:r>
      <w:r w:rsidR="002529B1" w:rsidRPr="00C244B9">
        <w:rPr>
          <w:sz w:val="22"/>
          <w:szCs w:val="22"/>
          <w:lang w:val="en-GB"/>
        </w:rPr>
        <w:t xml:space="preserve">ing firms’ </w:t>
      </w:r>
      <w:r w:rsidRPr="00C244B9">
        <w:rPr>
          <w:sz w:val="22"/>
          <w:szCs w:val="22"/>
          <w:lang w:val="en-GB"/>
        </w:rPr>
        <w:t>initial resources and the</w:t>
      </w:r>
      <w:r w:rsidR="002529B1" w:rsidRPr="00C244B9">
        <w:rPr>
          <w:sz w:val="22"/>
          <w:szCs w:val="22"/>
          <w:lang w:val="en-GB"/>
        </w:rPr>
        <w:t>ir</w:t>
      </w:r>
      <w:r w:rsidRPr="00C244B9">
        <w:rPr>
          <w:sz w:val="22"/>
          <w:szCs w:val="22"/>
          <w:lang w:val="en-GB"/>
        </w:rPr>
        <w:t xml:space="preserve"> ability to accumulate </w:t>
      </w:r>
      <w:r w:rsidR="00871C5B" w:rsidRPr="00C244B9">
        <w:rPr>
          <w:sz w:val="22"/>
          <w:szCs w:val="22"/>
          <w:lang w:val="en-GB"/>
        </w:rPr>
        <w:t>international management</w:t>
      </w:r>
      <w:r w:rsidRPr="00C244B9">
        <w:rPr>
          <w:sz w:val="22"/>
          <w:szCs w:val="22"/>
          <w:lang w:val="en-GB"/>
        </w:rPr>
        <w:t xml:space="preserve"> </w:t>
      </w:r>
      <w:r w:rsidR="004D6CDC" w:rsidRPr="00C244B9">
        <w:rPr>
          <w:sz w:val="22"/>
          <w:szCs w:val="22"/>
          <w:lang w:val="en-GB"/>
        </w:rPr>
        <w:t>capabilities</w:t>
      </w:r>
      <w:r w:rsidRPr="00C244B9">
        <w:rPr>
          <w:sz w:val="22"/>
          <w:szCs w:val="22"/>
          <w:lang w:val="en-GB"/>
        </w:rPr>
        <w:t xml:space="preserve">. </w:t>
      </w:r>
      <w:r w:rsidR="005E0FDF" w:rsidRPr="00C244B9">
        <w:rPr>
          <w:sz w:val="22"/>
          <w:szCs w:val="22"/>
          <w:lang w:val="en-GB"/>
        </w:rPr>
        <w:t xml:space="preserve">In particular, we propose that the lesser munificence of the country of origin in effect increases the liability of foreignness of MNEs from EEs seeking to enter </w:t>
      </w:r>
      <w:r w:rsidR="006E403A" w:rsidRPr="00C244B9">
        <w:rPr>
          <w:sz w:val="22"/>
          <w:szCs w:val="22"/>
          <w:lang w:val="en-GB"/>
        </w:rPr>
        <w:t>AE</w:t>
      </w:r>
      <w:r w:rsidR="005E0FDF" w:rsidRPr="00C244B9">
        <w:rPr>
          <w:sz w:val="22"/>
          <w:szCs w:val="22"/>
          <w:lang w:val="en-GB"/>
        </w:rPr>
        <w:t xml:space="preserve">s. In consequence, they </w:t>
      </w:r>
      <w:r w:rsidR="006E403A" w:rsidRPr="00C244B9">
        <w:rPr>
          <w:sz w:val="22"/>
          <w:szCs w:val="22"/>
          <w:lang w:val="en-GB"/>
        </w:rPr>
        <w:t>ar</w:t>
      </w:r>
      <w:r w:rsidR="005E0FDF" w:rsidRPr="00C244B9">
        <w:rPr>
          <w:sz w:val="22"/>
          <w:szCs w:val="22"/>
          <w:lang w:val="en-GB"/>
        </w:rPr>
        <w:t xml:space="preserve">e relatively more deterred by barriers to entry such as distance or weak </w:t>
      </w:r>
      <w:r w:rsidR="00A564C7" w:rsidRPr="00C244B9">
        <w:rPr>
          <w:sz w:val="22"/>
          <w:szCs w:val="22"/>
          <w:lang w:val="en-GB"/>
        </w:rPr>
        <w:t>protection</w:t>
      </w:r>
      <w:r w:rsidR="005E0FDF" w:rsidRPr="00C244B9">
        <w:rPr>
          <w:sz w:val="22"/>
          <w:szCs w:val="22"/>
          <w:lang w:val="en-GB"/>
        </w:rPr>
        <w:t xml:space="preserve"> of intellectual property rights. On the other hand, they </w:t>
      </w:r>
      <w:r w:rsidR="006E403A" w:rsidRPr="00C244B9">
        <w:rPr>
          <w:sz w:val="22"/>
          <w:szCs w:val="22"/>
          <w:lang w:val="en-GB"/>
        </w:rPr>
        <w:t>a</w:t>
      </w:r>
      <w:r w:rsidR="005E0FDF" w:rsidRPr="00C244B9">
        <w:rPr>
          <w:sz w:val="22"/>
          <w:szCs w:val="22"/>
          <w:lang w:val="en-GB"/>
        </w:rPr>
        <w:t xml:space="preserve">re </w:t>
      </w:r>
      <w:r w:rsidR="00A564C7" w:rsidRPr="00C244B9">
        <w:rPr>
          <w:sz w:val="22"/>
          <w:szCs w:val="22"/>
          <w:lang w:val="en-GB"/>
        </w:rPr>
        <w:t>attracted</w:t>
      </w:r>
      <w:r w:rsidR="005E0FDF" w:rsidRPr="00C244B9">
        <w:rPr>
          <w:sz w:val="22"/>
          <w:szCs w:val="22"/>
          <w:lang w:val="en-GB"/>
        </w:rPr>
        <w:t xml:space="preserve"> than MNEs from AEs by positive characteristics of the host economy which can make up for their home country deficiencies, notably the </w:t>
      </w:r>
      <w:r w:rsidR="006E403A" w:rsidRPr="00C244B9">
        <w:rPr>
          <w:sz w:val="22"/>
          <w:szCs w:val="22"/>
          <w:lang w:val="en-GB"/>
        </w:rPr>
        <w:t xml:space="preserve">size </w:t>
      </w:r>
      <w:r w:rsidR="005E0FDF" w:rsidRPr="00C244B9">
        <w:rPr>
          <w:sz w:val="22"/>
          <w:szCs w:val="22"/>
          <w:lang w:val="en-GB"/>
        </w:rPr>
        <w:t xml:space="preserve">of a migrant diaspora and large and fast growing host </w:t>
      </w:r>
      <w:r w:rsidR="005E0FDF" w:rsidRPr="00C244B9">
        <w:rPr>
          <w:sz w:val="22"/>
          <w:szCs w:val="22"/>
          <w:lang w:val="en-GB"/>
        </w:rPr>
        <w:lastRenderedPageBreak/>
        <w:t xml:space="preserve">economy markets. </w:t>
      </w:r>
      <w:r w:rsidRPr="00C244B9" w:rsidDel="00942308">
        <w:rPr>
          <w:sz w:val="22"/>
          <w:szCs w:val="22"/>
          <w:lang w:val="en-GB"/>
        </w:rPr>
        <w:t xml:space="preserve">We have tested this </w:t>
      </w:r>
      <w:r w:rsidR="005E0FDF" w:rsidRPr="00C244B9">
        <w:rPr>
          <w:sz w:val="22"/>
          <w:szCs w:val="22"/>
          <w:lang w:val="en-GB"/>
        </w:rPr>
        <w:t xml:space="preserve">framework </w:t>
      </w:r>
      <w:r w:rsidRPr="00C244B9" w:rsidDel="00942308">
        <w:rPr>
          <w:sz w:val="22"/>
          <w:szCs w:val="22"/>
          <w:lang w:val="en-GB"/>
        </w:rPr>
        <w:t xml:space="preserve">with </w:t>
      </w:r>
      <w:r w:rsidR="005E0FDF" w:rsidRPr="00C244B9">
        <w:rPr>
          <w:sz w:val="22"/>
          <w:szCs w:val="22"/>
          <w:lang w:val="en-GB"/>
        </w:rPr>
        <w:t xml:space="preserve">four </w:t>
      </w:r>
      <w:r w:rsidRPr="00C244B9" w:rsidDel="00942308">
        <w:rPr>
          <w:sz w:val="22"/>
          <w:szCs w:val="22"/>
          <w:lang w:val="en-GB"/>
        </w:rPr>
        <w:t xml:space="preserve">hypotheses, and we find </w:t>
      </w:r>
      <w:r w:rsidR="004D6CDC" w:rsidRPr="00C244B9" w:rsidDel="00942308">
        <w:rPr>
          <w:sz w:val="22"/>
          <w:szCs w:val="22"/>
          <w:lang w:val="en-GB"/>
        </w:rPr>
        <w:t xml:space="preserve">strong </w:t>
      </w:r>
      <w:r w:rsidRPr="00C244B9" w:rsidDel="00942308">
        <w:rPr>
          <w:sz w:val="22"/>
          <w:szCs w:val="22"/>
          <w:lang w:val="en-GB"/>
        </w:rPr>
        <w:t>support for our argument</w:t>
      </w:r>
      <w:r w:rsidR="006E403A" w:rsidRPr="00C244B9">
        <w:rPr>
          <w:sz w:val="22"/>
          <w:szCs w:val="22"/>
          <w:lang w:val="en-GB"/>
        </w:rPr>
        <w:t>s</w:t>
      </w:r>
      <w:r w:rsidRPr="00C244B9" w:rsidDel="00942308">
        <w:rPr>
          <w:sz w:val="22"/>
          <w:szCs w:val="22"/>
          <w:lang w:val="en-GB"/>
        </w:rPr>
        <w:t xml:space="preserve">. </w:t>
      </w:r>
    </w:p>
    <w:p w14:paraId="417662A3" w14:textId="5505A907" w:rsidR="005C1228" w:rsidRPr="005C1228" w:rsidRDefault="00060EF2" w:rsidP="005C1228">
      <w:pPr>
        <w:spacing w:line="480" w:lineRule="auto"/>
        <w:ind w:firstLine="284"/>
        <w:rPr>
          <w:sz w:val="22"/>
          <w:szCs w:val="22"/>
          <w:lang w:val="en-GB"/>
        </w:rPr>
      </w:pPr>
      <w:r w:rsidRPr="00C244B9">
        <w:rPr>
          <w:sz w:val="22"/>
          <w:szCs w:val="22"/>
          <w:lang w:val="en-GB"/>
        </w:rPr>
        <w:t xml:space="preserve">Our analysis contributes to </w:t>
      </w:r>
      <w:r w:rsidR="002529B1" w:rsidRPr="00C244B9">
        <w:rPr>
          <w:sz w:val="22"/>
          <w:szCs w:val="22"/>
          <w:lang w:val="en-GB"/>
        </w:rPr>
        <w:t>three</w:t>
      </w:r>
      <w:r w:rsidRPr="00C244B9">
        <w:rPr>
          <w:sz w:val="22"/>
          <w:szCs w:val="22"/>
          <w:lang w:val="en-GB"/>
        </w:rPr>
        <w:t xml:space="preserve"> </w:t>
      </w:r>
      <w:r w:rsidR="00327E47" w:rsidRPr="00C244B9">
        <w:rPr>
          <w:sz w:val="22"/>
          <w:szCs w:val="22"/>
          <w:lang w:val="en-GB"/>
        </w:rPr>
        <w:t xml:space="preserve">important </w:t>
      </w:r>
      <w:r w:rsidRPr="00C244B9">
        <w:rPr>
          <w:sz w:val="22"/>
          <w:szCs w:val="22"/>
          <w:lang w:val="en-GB"/>
        </w:rPr>
        <w:t>debates in the field of international</w:t>
      </w:r>
      <w:r w:rsidR="00ED45F4" w:rsidRPr="00C244B9">
        <w:rPr>
          <w:sz w:val="22"/>
          <w:szCs w:val="22"/>
          <w:lang w:val="en-GB"/>
        </w:rPr>
        <w:t xml:space="preserve"> business</w:t>
      </w:r>
      <w:r w:rsidRPr="00C244B9">
        <w:rPr>
          <w:sz w:val="22"/>
          <w:szCs w:val="22"/>
          <w:lang w:val="en-GB"/>
        </w:rPr>
        <w:t xml:space="preserve">. </w:t>
      </w:r>
      <w:r w:rsidR="00291C09" w:rsidRPr="00C244B9">
        <w:rPr>
          <w:sz w:val="22"/>
          <w:szCs w:val="22"/>
          <w:lang w:val="en-GB"/>
        </w:rPr>
        <w:t>T</w:t>
      </w:r>
      <w:r w:rsidR="005C270A" w:rsidRPr="00C244B9">
        <w:rPr>
          <w:sz w:val="22"/>
          <w:szCs w:val="22"/>
          <w:lang w:val="en-GB"/>
        </w:rPr>
        <w:t>he</w:t>
      </w:r>
      <w:r w:rsidR="002529B1" w:rsidRPr="00C244B9">
        <w:rPr>
          <w:sz w:val="22"/>
          <w:szCs w:val="22"/>
          <w:lang w:val="en-GB"/>
        </w:rPr>
        <w:t xml:space="preserve"> first debate concerns the nature of organizational capability building by firms chasing international </w:t>
      </w:r>
      <w:r w:rsidR="00327E47" w:rsidRPr="00C244B9">
        <w:rPr>
          <w:sz w:val="22"/>
          <w:szCs w:val="22"/>
          <w:lang w:val="en-GB"/>
        </w:rPr>
        <w:t>catch-up</w:t>
      </w:r>
      <w:r w:rsidR="002529B1" w:rsidRPr="00C244B9">
        <w:rPr>
          <w:sz w:val="22"/>
          <w:szCs w:val="22"/>
          <w:lang w:val="en-GB"/>
        </w:rPr>
        <w:t xml:space="preserve"> (</w:t>
      </w:r>
      <w:r w:rsidR="003846E1" w:rsidRPr="00C244B9">
        <w:rPr>
          <w:sz w:val="22"/>
          <w:szCs w:val="22"/>
          <w:lang w:val="en-GB"/>
        </w:rPr>
        <w:t xml:space="preserve">Awate, </w:t>
      </w:r>
      <w:r w:rsidR="00D5322B" w:rsidRPr="00C244B9">
        <w:rPr>
          <w:sz w:val="22"/>
          <w:szCs w:val="22"/>
          <w:lang w:val="en-GB"/>
        </w:rPr>
        <w:t>et al.</w:t>
      </w:r>
      <w:r w:rsidR="003846E1" w:rsidRPr="00C244B9">
        <w:rPr>
          <w:sz w:val="22"/>
          <w:szCs w:val="22"/>
          <w:lang w:val="en-GB"/>
        </w:rPr>
        <w:t xml:space="preserve">, 2012; </w:t>
      </w:r>
      <w:r w:rsidR="002529B1" w:rsidRPr="00C244B9">
        <w:rPr>
          <w:sz w:val="22"/>
          <w:szCs w:val="22"/>
          <w:lang w:val="en-GB"/>
        </w:rPr>
        <w:t>Kumaraswamy et al., 2012</w:t>
      </w:r>
      <w:r w:rsidR="0036608C" w:rsidRPr="00C244B9">
        <w:rPr>
          <w:sz w:val="22"/>
          <w:szCs w:val="22"/>
          <w:lang w:val="en-GB"/>
        </w:rPr>
        <w:t xml:space="preserve">; </w:t>
      </w:r>
      <w:r w:rsidR="00454214" w:rsidRPr="00C244B9">
        <w:rPr>
          <w:sz w:val="22"/>
          <w:szCs w:val="22"/>
          <w:lang w:val="en-GB"/>
        </w:rPr>
        <w:t xml:space="preserve">Madhok </w:t>
      </w:r>
      <w:r w:rsidR="00ED45F4" w:rsidRPr="00C244B9">
        <w:rPr>
          <w:sz w:val="22"/>
          <w:szCs w:val="22"/>
          <w:lang w:val="en-GB"/>
        </w:rPr>
        <w:t xml:space="preserve">&amp; </w:t>
      </w:r>
      <w:r w:rsidR="00454214" w:rsidRPr="00C244B9">
        <w:rPr>
          <w:sz w:val="22"/>
          <w:szCs w:val="22"/>
          <w:lang w:val="en-GB"/>
        </w:rPr>
        <w:t>Keyhani, 2012</w:t>
      </w:r>
      <w:r w:rsidR="002529B1" w:rsidRPr="00C244B9">
        <w:rPr>
          <w:sz w:val="22"/>
          <w:szCs w:val="22"/>
          <w:lang w:val="en-GB"/>
        </w:rPr>
        <w:t>)</w:t>
      </w:r>
      <w:r w:rsidR="0036608C" w:rsidRPr="00C244B9">
        <w:rPr>
          <w:sz w:val="22"/>
          <w:szCs w:val="22"/>
          <w:lang w:val="en-GB"/>
        </w:rPr>
        <w:t xml:space="preserve">. </w:t>
      </w:r>
      <w:r w:rsidR="00DD28BF" w:rsidRPr="00C244B9">
        <w:rPr>
          <w:sz w:val="22"/>
          <w:szCs w:val="22"/>
          <w:lang w:val="en-GB"/>
        </w:rPr>
        <w:t xml:space="preserve">Such a process of capability upgrading can follow a gradual </w:t>
      </w:r>
      <w:r w:rsidR="00686C80" w:rsidRPr="00C244B9">
        <w:rPr>
          <w:sz w:val="22"/>
          <w:szCs w:val="22"/>
          <w:lang w:val="en-GB"/>
        </w:rPr>
        <w:t>pattern</w:t>
      </w:r>
      <w:r w:rsidR="00DD28BF" w:rsidRPr="00C244B9">
        <w:rPr>
          <w:sz w:val="22"/>
          <w:szCs w:val="22"/>
          <w:lang w:val="en-GB"/>
        </w:rPr>
        <w:t xml:space="preserve"> along the internationalization process model (</w:t>
      </w:r>
      <w:r w:rsidR="00744FF7">
        <w:rPr>
          <w:sz w:val="22"/>
          <w:szCs w:val="22"/>
          <w:lang w:val="en-GB"/>
        </w:rPr>
        <w:t>Johansen &amp; Vahlne, 2009</w:t>
      </w:r>
      <w:r w:rsidR="00435B70">
        <w:rPr>
          <w:sz w:val="22"/>
          <w:szCs w:val="22"/>
          <w:lang w:val="en-GB"/>
        </w:rPr>
        <w:t>), aspects of which have been observed in studies of EE MNEs (Buckley, et al., 2016</w:t>
      </w:r>
      <w:r w:rsidR="00744FF7">
        <w:rPr>
          <w:sz w:val="22"/>
          <w:szCs w:val="22"/>
          <w:lang w:val="en-GB"/>
        </w:rPr>
        <w:t xml:space="preserve">; </w:t>
      </w:r>
      <w:r w:rsidR="00E90A30">
        <w:rPr>
          <w:sz w:val="22"/>
          <w:szCs w:val="22"/>
          <w:lang w:val="en-GB"/>
        </w:rPr>
        <w:t xml:space="preserve">Kotabe &amp; Kothari, 2016; </w:t>
      </w:r>
      <w:r w:rsidR="00DD28BF" w:rsidRPr="00C244B9">
        <w:rPr>
          <w:sz w:val="22"/>
          <w:szCs w:val="22"/>
          <w:lang w:val="en-GB"/>
        </w:rPr>
        <w:t>Meyer &amp; Thaijongrak, 2013)</w:t>
      </w:r>
      <w:r w:rsidR="00E90A30">
        <w:rPr>
          <w:sz w:val="22"/>
          <w:szCs w:val="22"/>
          <w:lang w:val="en-GB"/>
        </w:rPr>
        <w:t xml:space="preserve">. </w:t>
      </w:r>
      <w:r w:rsidR="005C1228">
        <w:rPr>
          <w:sz w:val="22"/>
          <w:szCs w:val="22"/>
          <w:lang w:val="en-GB"/>
        </w:rPr>
        <w:t>Our theoretical framework suggest an interdependence between the home country eco-system and a focal firm. H</w:t>
      </w:r>
      <w:r w:rsidR="005C1228" w:rsidRPr="005C1228">
        <w:rPr>
          <w:sz w:val="22"/>
          <w:szCs w:val="22"/>
          <w:lang w:val="en-GB"/>
        </w:rPr>
        <w:t xml:space="preserve">ome country resource munificence provides a basis for the emergence of business ecosystems that help firms to create proprietary resources important in managing their international operations (Hobdari et al., 2017), and also to accelerate learning processes and to strengthen the absorptive capacity in corporate headquarters (Ambos et al., 2006; </w:t>
      </w:r>
      <w:r w:rsidR="00CA1A23">
        <w:rPr>
          <w:sz w:val="22"/>
          <w:szCs w:val="22"/>
          <w:lang w:val="en-GB"/>
        </w:rPr>
        <w:t xml:space="preserve">Cuervo-Cazurra and Rui, 2017; </w:t>
      </w:r>
      <w:r w:rsidR="005C1228" w:rsidRPr="005C1228">
        <w:rPr>
          <w:sz w:val="22"/>
          <w:szCs w:val="22"/>
          <w:lang w:val="en-GB"/>
        </w:rPr>
        <w:t>Kotabe et al., 2011). In consequence, MNEs from home countries that are relatively immature in terms of institutions and resource endowments are likely to be more deterred by barriers to entry and attracted by host economy characteristics such as migrant diaspora that reduce their obstacles to doing business internationally.</w:t>
      </w:r>
    </w:p>
    <w:p w14:paraId="0C6D4BED" w14:textId="2C08FB2D" w:rsidR="000C2997" w:rsidRPr="00C244B9" w:rsidRDefault="005C1228" w:rsidP="0018025D">
      <w:pPr>
        <w:spacing w:line="480" w:lineRule="auto"/>
        <w:ind w:firstLine="284"/>
        <w:rPr>
          <w:sz w:val="22"/>
          <w:szCs w:val="22"/>
          <w:lang w:val="en-GB"/>
        </w:rPr>
      </w:pPr>
      <w:r>
        <w:rPr>
          <w:sz w:val="22"/>
          <w:szCs w:val="22"/>
          <w:lang w:val="en-GB"/>
        </w:rPr>
        <w:t xml:space="preserve">Second, several studies of EE MNEs have highlighted the importance of </w:t>
      </w:r>
      <w:r w:rsidR="005C270A" w:rsidRPr="00C244B9">
        <w:rPr>
          <w:sz w:val="22"/>
          <w:szCs w:val="22"/>
          <w:lang w:val="en-GB"/>
        </w:rPr>
        <w:t xml:space="preserve">strategic asset seeking </w:t>
      </w:r>
      <w:r w:rsidR="000C2997" w:rsidRPr="00C244B9">
        <w:rPr>
          <w:sz w:val="22"/>
          <w:szCs w:val="22"/>
          <w:lang w:val="en-GB"/>
        </w:rPr>
        <w:t xml:space="preserve">investments </w:t>
      </w:r>
      <w:r w:rsidR="005C270A" w:rsidRPr="00C244B9">
        <w:rPr>
          <w:sz w:val="22"/>
          <w:szCs w:val="22"/>
          <w:lang w:val="en-GB"/>
        </w:rPr>
        <w:t>(</w:t>
      </w:r>
      <w:r>
        <w:rPr>
          <w:sz w:val="22"/>
          <w:szCs w:val="22"/>
          <w:lang w:val="en-GB"/>
        </w:rPr>
        <w:t xml:space="preserve">Cui &amp; Aulakh, 2018; </w:t>
      </w:r>
      <w:r w:rsidR="0036608C" w:rsidRPr="00C244B9">
        <w:rPr>
          <w:sz w:val="22"/>
          <w:szCs w:val="22"/>
          <w:lang w:val="en-GB"/>
        </w:rPr>
        <w:t xml:space="preserve">Cui, </w:t>
      </w:r>
      <w:r w:rsidR="0007292F" w:rsidRPr="00C244B9">
        <w:rPr>
          <w:sz w:val="22"/>
          <w:szCs w:val="22"/>
          <w:lang w:val="en-GB"/>
        </w:rPr>
        <w:t>et al.</w:t>
      </w:r>
      <w:r w:rsidR="0036608C" w:rsidRPr="00C244B9">
        <w:rPr>
          <w:sz w:val="22"/>
          <w:szCs w:val="22"/>
          <w:lang w:val="en-GB"/>
        </w:rPr>
        <w:t xml:space="preserve">, 2014; </w:t>
      </w:r>
      <w:r w:rsidR="005C270A" w:rsidRPr="00C244B9">
        <w:rPr>
          <w:sz w:val="22"/>
          <w:szCs w:val="22"/>
          <w:lang w:val="en-GB"/>
        </w:rPr>
        <w:t xml:space="preserve">Deng, 2009; Rui </w:t>
      </w:r>
      <w:r w:rsidR="00ED45F4" w:rsidRPr="00C244B9">
        <w:rPr>
          <w:sz w:val="22"/>
          <w:szCs w:val="22"/>
          <w:lang w:val="en-GB"/>
        </w:rPr>
        <w:t xml:space="preserve">&amp; </w:t>
      </w:r>
      <w:r w:rsidR="005C270A" w:rsidRPr="00C244B9">
        <w:rPr>
          <w:sz w:val="22"/>
          <w:szCs w:val="22"/>
          <w:lang w:val="en-GB"/>
        </w:rPr>
        <w:t xml:space="preserve">Yip, 2008). </w:t>
      </w:r>
      <w:r w:rsidR="000C2997" w:rsidRPr="00C244B9">
        <w:rPr>
          <w:sz w:val="22"/>
          <w:szCs w:val="22"/>
          <w:lang w:val="en-GB"/>
        </w:rPr>
        <w:t xml:space="preserve">Hence, recent </w:t>
      </w:r>
      <w:r w:rsidR="005C270A" w:rsidRPr="00C244B9">
        <w:rPr>
          <w:iCs/>
          <w:sz w:val="22"/>
          <w:szCs w:val="22"/>
          <w:lang w:val="en-GB"/>
        </w:rPr>
        <w:t>theoretical work suggest</w:t>
      </w:r>
      <w:r w:rsidR="000C2997" w:rsidRPr="00C244B9">
        <w:rPr>
          <w:iCs/>
          <w:sz w:val="22"/>
          <w:szCs w:val="22"/>
          <w:lang w:val="en-GB"/>
        </w:rPr>
        <w:t>s</w:t>
      </w:r>
      <w:r w:rsidR="005C270A" w:rsidRPr="00C244B9">
        <w:rPr>
          <w:iCs/>
          <w:sz w:val="22"/>
          <w:szCs w:val="22"/>
          <w:lang w:val="en-GB"/>
        </w:rPr>
        <w:t xml:space="preserve"> that</w:t>
      </w:r>
      <w:r w:rsidR="00327E47" w:rsidRPr="00C244B9">
        <w:rPr>
          <w:iCs/>
          <w:sz w:val="22"/>
          <w:szCs w:val="22"/>
          <w:lang w:val="en-GB"/>
        </w:rPr>
        <w:t xml:space="preserve"> MNEs from </w:t>
      </w:r>
      <w:r w:rsidR="00DD4D5F" w:rsidRPr="00C244B9">
        <w:rPr>
          <w:iCs/>
          <w:sz w:val="22"/>
          <w:szCs w:val="22"/>
          <w:lang w:val="en-GB"/>
        </w:rPr>
        <w:t>EEs</w:t>
      </w:r>
      <w:r w:rsidR="00327E47" w:rsidRPr="00C244B9">
        <w:rPr>
          <w:iCs/>
          <w:sz w:val="22"/>
          <w:szCs w:val="22"/>
          <w:lang w:val="en-GB"/>
        </w:rPr>
        <w:t xml:space="preserve"> </w:t>
      </w:r>
      <w:r w:rsidR="005C270A" w:rsidRPr="00C244B9">
        <w:rPr>
          <w:iCs/>
          <w:sz w:val="22"/>
          <w:szCs w:val="22"/>
          <w:lang w:val="en-GB"/>
        </w:rPr>
        <w:t>use</w:t>
      </w:r>
      <w:r w:rsidR="00ED45F4" w:rsidRPr="00C244B9">
        <w:rPr>
          <w:iCs/>
          <w:sz w:val="22"/>
          <w:szCs w:val="22"/>
          <w:lang w:val="en-GB"/>
        </w:rPr>
        <w:t xml:space="preserve"> FDI</w:t>
      </w:r>
      <w:r w:rsidR="005C270A" w:rsidRPr="00C244B9">
        <w:rPr>
          <w:iCs/>
          <w:sz w:val="22"/>
          <w:szCs w:val="22"/>
          <w:lang w:val="en-GB"/>
        </w:rPr>
        <w:t xml:space="preserve"> to </w:t>
      </w:r>
      <w:r w:rsidR="005C270A" w:rsidRPr="00C244B9">
        <w:rPr>
          <w:i/>
          <w:iCs/>
          <w:sz w:val="22"/>
          <w:szCs w:val="22"/>
          <w:lang w:val="en-GB"/>
        </w:rPr>
        <w:t>create</w:t>
      </w:r>
      <w:r w:rsidR="005C270A" w:rsidRPr="00C244B9">
        <w:rPr>
          <w:iCs/>
          <w:sz w:val="22"/>
          <w:szCs w:val="22"/>
          <w:lang w:val="en-GB"/>
        </w:rPr>
        <w:t xml:space="preserve"> firm-specific assets, rather than to </w:t>
      </w:r>
      <w:r w:rsidR="005C270A" w:rsidRPr="00C244B9">
        <w:rPr>
          <w:i/>
          <w:iCs/>
          <w:sz w:val="22"/>
          <w:szCs w:val="22"/>
          <w:lang w:val="en-GB"/>
        </w:rPr>
        <w:t>exploit</w:t>
      </w:r>
      <w:r w:rsidR="005C270A" w:rsidRPr="00C244B9">
        <w:rPr>
          <w:iCs/>
          <w:sz w:val="22"/>
          <w:szCs w:val="22"/>
          <w:lang w:val="en-GB"/>
        </w:rPr>
        <w:t xml:space="preserve"> them (Gubbi, Aulakh, Ray, Sarkar, </w:t>
      </w:r>
      <w:r w:rsidR="00ED45F4" w:rsidRPr="00C244B9">
        <w:rPr>
          <w:iCs/>
          <w:sz w:val="22"/>
          <w:szCs w:val="22"/>
          <w:lang w:val="en-GB"/>
        </w:rPr>
        <w:t xml:space="preserve">&amp; </w:t>
      </w:r>
      <w:r w:rsidR="005C270A" w:rsidRPr="00C244B9">
        <w:rPr>
          <w:iCs/>
          <w:sz w:val="22"/>
          <w:szCs w:val="22"/>
          <w:lang w:val="en-GB"/>
        </w:rPr>
        <w:t>Chittoor, 2010</w:t>
      </w:r>
      <w:r w:rsidR="00791526" w:rsidRPr="00C244B9">
        <w:rPr>
          <w:sz w:val="22"/>
          <w:szCs w:val="22"/>
          <w:lang w:val="en-GB"/>
        </w:rPr>
        <w:t xml:space="preserve">; Madhok </w:t>
      </w:r>
      <w:r w:rsidR="00ED45F4" w:rsidRPr="00C244B9">
        <w:rPr>
          <w:sz w:val="22"/>
          <w:szCs w:val="22"/>
          <w:lang w:val="en-GB"/>
        </w:rPr>
        <w:t xml:space="preserve">&amp; </w:t>
      </w:r>
      <w:r w:rsidR="00791526" w:rsidRPr="00C244B9">
        <w:rPr>
          <w:sz w:val="22"/>
          <w:szCs w:val="22"/>
          <w:lang w:val="en-GB"/>
        </w:rPr>
        <w:t>Keyhani, 2012</w:t>
      </w:r>
      <w:r w:rsidR="005C270A" w:rsidRPr="00C244B9">
        <w:rPr>
          <w:iCs/>
          <w:sz w:val="22"/>
          <w:szCs w:val="22"/>
          <w:lang w:val="en-GB"/>
        </w:rPr>
        <w:t xml:space="preserve">). </w:t>
      </w:r>
      <w:r w:rsidR="005C270A" w:rsidRPr="00C244B9">
        <w:rPr>
          <w:sz w:val="22"/>
          <w:szCs w:val="22"/>
          <w:lang w:val="en-GB"/>
        </w:rPr>
        <w:t xml:space="preserve">For </w:t>
      </w:r>
      <w:r w:rsidR="00557C1C" w:rsidRPr="00C244B9">
        <w:rPr>
          <w:sz w:val="22"/>
          <w:szCs w:val="22"/>
          <w:lang w:val="en-GB"/>
        </w:rPr>
        <w:t>example,</w:t>
      </w:r>
      <w:r w:rsidR="005C270A" w:rsidRPr="00C244B9">
        <w:rPr>
          <w:sz w:val="22"/>
          <w:szCs w:val="22"/>
          <w:lang w:val="en-GB"/>
        </w:rPr>
        <w:t xml:space="preserve"> advanced technologies or brand names acquired overseas </w:t>
      </w:r>
      <w:r w:rsidR="00327E47" w:rsidRPr="00C244B9">
        <w:rPr>
          <w:sz w:val="22"/>
          <w:szCs w:val="22"/>
          <w:lang w:val="en-GB"/>
        </w:rPr>
        <w:t xml:space="preserve">might </w:t>
      </w:r>
      <w:r w:rsidR="005C270A" w:rsidRPr="00C244B9">
        <w:rPr>
          <w:sz w:val="22"/>
          <w:szCs w:val="22"/>
          <w:lang w:val="en-GB"/>
        </w:rPr>
        <w:t>strengthen a firm’s competitive position vis-</w:t>
      </w:r>
      <w:r w:rsidR="003C534E">
        <w:rPr>
          <w:sz w:val="22"/>
          <w:szCs w:val="22"/>
          <w:lang w:val="en-GB"/>
        </w:rPr>
        <w:t>à</w:t>
      </w:r>
      <w:r w:rsidR="005C270A" w:rsidRPr="00C244B9">
        <w:rPr>
          <w:sz w:val="22"/>
          <w:szCs w:val="22"/>
          <w:lang w:val="en-GB"/>
        </w:rPr>
        <w:t>-vis its competitors back home (</w:t>
      </w:r>
      <w:r w:rsidR="0036608C" w:rsidRPr="00C244B9">
        <w:rPr>
          <w:sz w:val="22"/>
          <w:szCs w:val="22"/>
          <w:lang w:val="en-GB"/>
        </w:rPr>
        <w:t xml:space="preserve">Li, </w:t>
      </w:r>
      <w:r w:rsidR="00D5322B" w:rsidRPr="00C244B9">
        <w:rPr>
          <w:sz w:val="22"/>
          <w:szCs w:val="22"/>
          <w:lang w:val="en-GB"/>
        </w:rPr>
        <w:t>et al.</w:t>
      </w:r>
      <w:r w:rsidR="0036608C" w:rsidRPr="00C244B9">
        <w:rPr>
          <w:sz w:val="22"/>
          <w:szCs w:val="22"/>
          <w:lang w:val="en-GB"/>
        </w:rPr>
        <w:t>, 2012</w:t>
      </w:r>
      <w:r w:rsidR="005C270A" w:rsidRPr="00C244B9">
        <w:rPr>
          <w:sz w:val="22"/>
          <w:szCs w:val="22"/>
          <w:lang w:val="en-GB"/>
        </w:rPr>
        <w:t xml:space="preserve">; Luo </w:t>
      </w:r>
      <w:r w:rsidR="00ED45F4" w:rsidRPr="00C244B9">
        <w:rPr>
          <w:sz w:val="22"/>
          <w:szCs w:val="22"/>
          <w:lang w:val="en-GB"/>
        </w:rPr>
        <w:t xml:space="preserve">&amp; </w:t>
      </w:r>
      <w:r w:rsidR="005C270A" w:rsidRPr="00C244B9">
        <w:rPr>
          <w:sz w:val="22"/>
          <w:szCs w:val="22"/>
          <w:lang w:val="en-GB"/>
        </w:rPr>
        <w:t>Tung, 2007)</w:t>
      </w:r>
      <w:r w:rsidR="00454214" w:rsidRPr="00C244B9">
        <w:rPr>
          <w:sz w:val="22"/>
          <w:szCs w:val="22"/>
          <w:lang w:val="en-GB"/>
        </w:rPr>
        <w:t>.</w:t>
      </w:r>
      <w:r w:rsidR="005C270A" w:rsidRPr="00C244B9">
        <w:rPr>
          <w:sz w:val="22"/>
          <w:szCs w:val="22"/>
          <w:lang w:val="en-GB"/>
        </w:rPr>
        <w:t xml:space="preserve"> </w:t>
      </w:r>
    </w:p>
    <w:p w14:paraId="58067825" w14:textId="61DF1BF3" w:rsidR="005C270A" w:rsidRPr="00C244B9" w:rsidRDefault="00686C80" w:rsidP="0018025D">
      <w:pPr>
        <w:spacing w:line="480" w:lineRule="auto"/>
        <w:ind w:firstLine="284"/>
        <w:rPr>
          <w:sz w:val="22"/>
          <w:szCs w:val="22"/>
          <w:lang w:val="en-GB"/>
        </w:rPr>
      </w:pPr>
      <w:r w:rsidRPr="00C244B9">
        <w:rPr>
          <w:sz w:val="22"/>
          <w:szCs w:val="22"/>
          <w:lang w:val="en-GB"/>
        </w:rPr>
        <w:lastRenderedPageBreak/>
        <w:t>We would expect s</w:t>
      </w:r>
      <w:r w:rsidR="000C2997" w:rsidRPr="00C244B9">
        <w:rPr>
          <w:sz w:val="22"/>
          <w:szCs w:val="22"/>
          <w:lang w:val="en-GB"/>
        </w:rPr>
        <w:t xml:space="preserve">trategic-asset seeking investors </w:t>
      </w:r>
      <w:r w:rsidRPr="00C244B9">
        <w:rPr>
          <w:sz w:val="22"/>
          <w:szCs w:val="22"/>
          <w:lang w:val="en-GB"/>
        </w:rPr>
        <w:t xml:space="preserve">to </w:t>
      </w:r>
      <w:r w:rsidR="000C2997" w:rsidRPr="00C244B9">
        <w:rPr>
          <w:sz w:val="22"/>
          <w:szCs w:val="22"/>
          <w:lang w:val="en-GB"/>
        </w:rPr>
        <w:t>be particular</w:t>
      </w:r>
      <w:r w:rsidRPr="00C244B9">
        <w:rPr>
          <w:sz w:val="22"/>
          <w:szCs w:val="22"/>
          <w:lang w:val="en-GB"/>
        </w:rPr>
        <w:t>ly</w:t>
      </w:r>
      <w:r w:rsidR="000C2997" w:rsidRPr="00C244B9">
        <w:rPr>
          <w:sz w:val="22"/>
          <w:szCs w:val="22"/>
          <w:lang w:val="en-GB"/>
        </w:rPr>
        <w:t xml:space="preserve"> attracted by </w:t>
      </w:r>
      <w:r w:rsidR="005E0FDF" w:rsidRPr="00C244B9">
        <w:rPr>
          <w:sz w:val="22"/>
          <w:szCs w:val="22"/>
          <w:lang w:val="en-GB"/>
        </w:rPr>
        <w:t xml:space="preserve">protection of IPR </w:t>
      </w:r>
      <w:r w:rsidR="000C2997" w:rsidRPr="00C244B9">
        <w:rPr>
          <w:sz w:val="22"/>
          <w:szCs w:val="22"/>
          <w:lang w:val="en-GB"/>
        </w:rPr>
        <w:t xml:space="preserve">in a host country, </w:t>
      </w:r>
      <w:r w:rsidR="000C12AA" w:rsidRPr="00C244B9">
        <w:rPr>
          <w:sz w:val="22"/>
          <w:szCs w:val="22"/>
          <w:lang w:val="en-GB"/>
        </w:rPr>
        <w:t xml:space="preserve">while </w:t>
      </w:r>
      <w:r w:rsidR="000C2997" w:rsidRPr="00C244B9">
        <w:rPr>
          <w:sz w:val="22"/>
          <w:szCs w:val="22"/>
          <w:lang w:val="en-GB"/>
        </w:rPr>
        <w:t xml:space="preserve">the traditional model would </w:t>
      </w:r>
      <w:r w:rsidR="000C12AA" w:rsidRPr="00C244B9">
        <w:rPr>
          <w:sz w:val="22"/>
          <w:szCs w:val="22"/>
          <w:lang w:val="en-GB"/>
        </w:rPr>
        <w:t xml:space="preserve">put more emphasis on </w:t>
      </w:r>
      <w:r w:rsidR="004D6CDC" w:rsidRPr="00C244B9">
        <w:rPr>
          <w:sz w:val="22"/>
          <w:szCs w:val="22"/>
          <w:lang w:val="en-GB"/>
        </w:rPr>
        <w:t xml:space="preserve">standard </w:t>
      </w:r>
      <w:r w:rsidR="000C2997" w:rsidRPr="00C244B9">
        <w:rPr>
          <w:sz w:val="22"/>
          <w:szCs w:val="22"/>
          <w:lang w:val="en-GB"/>
        </w:rPr>
        <w:t>attractors and barriers</w:t>
      </w:r>
      <w:r w:rsidR="004D6CDC" w:rsidRPr="00C244B9">
        <w:rPr>
          <w:sz w:val="22"/>
          <w:szCs w:val="22"/>
          <w:lang w:val="en-GB"/>
        </w:rPr>
        <w:t>,</w:t>
      </w:r>
      <w:r w:rsidR="000C2997" w:rsidRPr="00C244B9">
        <w:rPr>
          <w:sz w:val="22"/>
          <w:szCs w:val="22"/>
          <w:lang w:val="en-GB"/>
        </w:rPr>
        <w:t xml:space="preserve"> such as markets and dista</w:t>
      </w:r>
      <w:r w:rsidR="000C12AA" w:rsidRPr="00C244B9">
        <w:rPr>
          <w:sz w:val="22"/>
          <w:szCs w:val="22"/>
          <w:lang w:val="en-GB"/>
        </w:rPr>
        <w:t>nc</w:t>
      </w:r>
      <w:r w:rsidR="000C2997" w:rsidRPr="00C244B9">
        <w:rPr>
          <w:sz w:val="22"/>
          <w:szCs w:val="22"/>
          <w:lang w:val="en-GB"/>
        </w:rPr>
        <w:t xml:space="preserve">e. </w:t>
      </w:r>
      <w:r w:rsidR="00235818" w:rsidRPr="00C244B9">
        <w:rPr>
          <w:sz w:val="22"/>
          <w:szCs w:val="22"/>
          <w:lang w:val="en-GB"/>
        </w:rPr>
        <w:t xml:space="preserve">We </w:t>
      </w:r>
      <w:r w:rsidR="000C2997" w:rsidRPr="00C244B9">
        <w:rPr>
          <w:sz w:val="22"/>
          <w:szCs w:val="22"/>
          <w:lang w:val="en-GB"/>
        </w:rPr>
        <w:t xml:space="preserve">find support for markets and distance to be more important for EE MNEs, </w:t>
      </w:r>
      <w:r w:rsidR="00CB70A7" w:rsidRPr="00C244B9">
        <w:rPr>
          <w:sz w:val="22"/>
          <w:szCs w:val="22"/>
          <w:lang w:val="en-GB"/>
        </w:rPr>
        <w:t xml:space="preserve">and </w:t>
      </w:r>
      <w:r w:rsidR="00235818" w:rsidRPr="00C244B9">
        <w:rPr>
          <w:sz w:val="22"/>
          <w:szCs w:val="22"/>
          <w:lang w:val="en-GB"/>
        </w:rPr>
        <w:t xml:space="preserve">also greater sensitivity to IPR protection, at least in most EEs, </w:t>
      </w:r>
      <w:r w:rsidR="00A564C7" w:rsidRPr="00C244B9">
        <w:rPr>
          <w:sz w:val="22"/>
          <w:szCs w:val="22"/>
          <w:lang w:val="en-GB"/>
        </w:rPr>
        <w:t>which suggests</w:t>
      </w:r>
      <w:r w:rsidR="000C2997" w:rsidRPr="00C244B9">
        <w:rPr>
          <w:sz w:val="22"/>
          <w:szCs w:val="22"/>
          <w:lang w:val="en-GB"/>
        </w:rPr>
        <w:t xml:space="preserve"> that EE MNEs indeed pursue both types of catch-up strategies.</w:t>
      </w:r>
      <w:r w:rsidR="00437EB6" w:rsidRPr="00C244B9">
        <w:rPr>
          <w:sz w:val="22"/>
          <w:szCs w:val="22"/>
          <w:lang w:val="en-GB"/>
        </w:rPr>
        <w:t xml:space="preserve"> </w:t>
      </w:r>
      <w:r w:rsidR="00235818" w:rsidRPr="00C244B9">
        <w:rPr>
          <w:sz w:val="22"/>
          <w:szCs w:val="22"/>
          <w:lang w:val="en-GB"/>
        </w:rPr>
        <w:t>However</w:t>
      </w:r>
      <w:r w:rsidR="006E403A" w:rsidRPr="00C244B9">
        <w:rPr>
          <w:sz w:val="22"/>
          <w:szCs w:val="22"/>
          <w:lang w:val="en-GB"/>
        </w:rPr>
        <w:t>,</w:t>
      </w:r>
      <w:r w:rsidR="00235818" w:rsidRPr="00C244B9">
        <w:rPr>
          <w:sz w:val="22"/>
          <w:szCs w:val="22"/>
          <w:lang w:val="en-GB"/>
        </w:rPr>
        <w:t xml:space="preserve"> note that our control for technological sophistication, R&amp;D as a share of GDP, has very similar negative coefficient</w:t>
      </w:r>
      <w:r w:rsidR="006E403A" w:rsidRPr="00C244B9">
        <w:rPr>
          <w:sz w:val="22"/>
          <w:szCs w:val="22"/>
          <w:lang w:val="en-GB"/>
        </w:rPr>
        <w:t>s</w:t>
      </w:r>
      <w:r w:rsidR="00235818" w:rsidRPr="00C244B9">
        <w:rPr>
          <w:sz w:val="22"/>
          <w:szCs w:val="22"/>
          <w:lang w:val="en-GB"/>
        </w:rPr>
        <w:t xml:space="preserve"> for both EEs and AEs. This implies that the technological sophistication of the host economy acts as a barrier to all MNEs, presumably because it indicates the quality, efficiency and effectiveness </w:t>
      </w:r>
      <w:r w:rsidR="00CB70A7" w:rsidRPr="00C244B9">
        <w:rPr>
          <w:sz w:val="22"/>
          <w:szCs w:val="22"/>
          <w:lang w:val="en-GB"/>
        </w:rPr>
        <w:t>of domestic</w:t>
      </w:r>
      <w:r w:rsidR="00235818" w:rsidRPr="00C244B9">
        <w:rPr>
          <w:sz w:val="22"/>
          <w:szCs w:val="22"/>
          <w:lang w:val="en-GB"/>
        </w:rPr>
        <w:t xml:space="preserve"> competition.  </w:t>
      </w:r>
      <w:r w:rsidR="00ED45F4" w:rsidRPr="00C244B9">
        <w:rPr>
          <w:sz w:val="22"/>
          <w:szCs w:val="22"/>
          <w:lang w:val="en-GB"/>
        </w:rPr>
        <w:t>Thus, s</w:t>
      </w:r>
      <w:r w:rsidR="000C2997" w:rsidRPr="00C244B9">
        <w:rPr>
          <w:sz w:val="22"/>
          <w:szCs w:val="22"/>
          <w:lang w:val="en-GB"/>
        </w:rPr>
        <w:t xml:space="preserve">trategic asset seeking investors </w:t>
      </w:r>
      <w:r w:rsidR="00ED45F4" w:rsidRPr="00C244B9">
        <w:rPr>
          <w:sz w:val="22"/>
          <w:szCs w:val="22"/>
          <w:lang w:val="en-GB"/>
        </w:rPr>
        <w:t xml:space="preserve">FDI represents a theoretically interesting type of strategy, but it is </w:t>
      </w:r>
      <w:r w:rsidR="000C2997" w:rsidRPr="00C244B9">
        <w:rPr>
          <w:sz w:val="22"/>
          <w:szCs w:val="22"/>
          <w:lang w:val="en-GB"/>
        </w:rPr>
        <w:t xml:space="preserve">only part of a bigger trend of EE MNEs catch up. </w:t>
      </w:r>
    </w:p>
    <w:p w14:paraId="1B2E250F" w14:textId="0A827665" w:rsidR="00BD5517" w:rsidRPr="00C244B9" w:rsidRDefault="003A730A" w:rsidP="0018025D">
      <w:pPr>
        <w:spacing w:line="480" w:lineRule="auto"/>
        <w:ind w:firstLine="284"/>
        <w:rPr>
          <w:sz w:val="22"/>
          <w:szCs w:val="22"/>
          <w:lang w:val="en-GB"/>
        </w:rPr>
      </w:pPr>
      <w:r w:rsidRPr="00C244B9">
        <w:rPr>
          <w:sz w:val="22"/>
          <w:szCs w:val="22"/>
          <w:lang w:val="en-GB"/>
        </w:rPr>
        <w:t xml:space="preserve">Third, together, these contributions </w:t>
      </w:r>
      <w:r w:rsidR="00437EB6" w:rsidRPr="00C244B9">
        <w:rPr>
          <w:sz w:val="22"/>
          <w:szCs w:val="22"/>
          <w:lang w:val="en-GB"/>
        </w:rPr>
        <w:t xml:space="preserve">help to </w:t>
      </w:r>
      <w:r w:rsidRPr="00C244B9">
        <w:rPr>
          <w:sz w:val="22"/>
          <w:szCs w:val="22"/>
          <w:lang w:val="en-GB"/>
        </w:rPr>
        <w:t xml:space="preserve">answer whether or not explaining </w:t>
      </w:r>
      <w:r w:rsidR="00BD5517" w:rsidRPr="00C244B9">
        <w:rPr>
          <w:sz w:val="22"/>
          <w:szCs w:val="22"/>
          <w:lang w:val="en-GB"/>
        </w:rPr>
        <w:t xml:space="preserve">the strategies of </w:t>
      </w:r>
      <w:r w:rsidRPr="00C244B9">
        <w:rPr>
          <w:sz w:val="22"/>
          <w:szCs w:val="22"/>
          <w:lang w:val="en-GB"/>
        </w:rPr>
        <w:t xml:space="preserve">MNEs </w:t>
      </w:r>
      <w:r w:rsidR="00BD5517" w:rsidRPr="00C244B9">
        <w:rPr>
          <w:sz w:val="22"/>
          <w:szCs w:val="22"/>
          <w:lang w:val="en-GB"/>
        </w:rPr>
        <w:t xml:space="preserve">from EE </w:t>
      </w:r>
      <w:r w:rsidRPr="00C244B9">
        <w:rPr>
          <w:sz w:val="22"/>
          <w:szCs w:val="22"/>
          <w:lang w:val="en-GB"/>
        </w:rPr>
        <w:t xml:space="preserve">requires new theories </w:t>
      </w:r>
      <w:r w:rsidR="002529B1" w:rsidRPr="00C244B9">
        <w:rPr>
          <w:sz w:val="22"/>
          <w:szCs w:val="22"/>
          <w:lang w:val="en-GB"/>
        </w:rPr>
        <w:t xml:space="preserve">(Luo </w:t>
      </w:r>
      <w:r w:rsidR="00D5322B" w:rsidRPr="00C244B9">
        <w:rPr>
          <w:sz w:val="22"/>
          <w:szCs w:val="22"/>
          <w:lang w:val="en-GB"/>
        </w:rPr>
        <w:t xml:space="preserve">&amp; </w:t>
      </w:r>
      <w:r w:rsidR="002529B1" w:rsidRPr="00C244B9">
        <w:rPr>
          <w:sz w:val="22"/>
          <w:szCs w:val="22"/>
          <w:lang w:val="en-GB"/>
        </w:rPr>
        <w:t xml:space="preserve">Tung, 2007; Ramamurti, 2012). Some scholars argue that systematic differences in the investment process require new theories to explain the characteristics of EE MNEs (Child </w:t>
      </w:r>
      <w:r w:rsidR="00D5322B" w:rsidRPr="00C244B9">
        <w:rPr>
          <w:sz w:val="22"/>
          <w:szCs w:val="22"/>
          <w:lang w:val="en-GB"/>
        </w:rPr>
        <w:t xml:space="preserve">&amp; </w:t>
      </w:r>
      <w:r w:rsidR="002529B1" w:rsidRPr="00C244B9">
        <w:rPr>
          <w:sz w:val="22"/>
          <w:szCs w:val="22"/>
          <w:lang w:val="en-GB"/>
        </w:rPr>
        <w:t>Rodgrigue</w:t>
      </w:r>
      <w:r w:rsidR="00D76364" w:rsidRPr="00C244B9">
        <w:rPr>
          <w:sz w:val="22"/>
          <w:szCs w:val="22"/>
          <w:lang w:val="en-GB"/>
        </w:rPr>
        <w:t>s</w:t>
      </w:r>
      <w:r w:rsidR="002529B1" w:rsidRPr="00C244B9">
        <w:rPr>
          <w:sz w:val="22"/>
          <w:szCs w:val="22"/>
          <w:lang w:val="en-GB"/>
        </w:rPr>
        <w:t xml:space="preserve"> 2005; Guillén </w:t>
      </w:r>
      <w:r w:rsidR="00D5322B" w:rsidRPr="00C244B9">
        <w:rPr>
          <w:sz w:val="22"/>
          <w:szCs w:val="22"/>
          <w:lang w:val="en-GB"/>
        </w:rPr>
        <w:t xml:space="preserve">&amp; </w:t>
      </w:r>
      <w:r w:rsidR="002529B1" w:rsidRPr="00C244B9">
        <w:rPr>
          <w:sz w:val="22"/>
          <w:szCs w:val="22"/>
          <w:lang w:val="en-GB"/>
        </w:rPr>
        <w:t xml:space="preserve">Garcia-Canal, 2009; Mathews 2006; Rugman </w:t>
      </w:r>
      <w:r w:rsidR="00D5322B" w:rsidRPr="00C244B9">
        <w:rPr>
          <w:sz w:val="22"/>
          <w:szCs w:val="22"/>
          <w:lang w:val="en-GB"/>
        </w:rPr>
        <w:t xml:space="preserve">&amp; </w:t>
      </w:r>
      <w:r w:rsidR="002529B1" w:rsidRPr="00C244B9">
        <w:rPr>
          <w:sz w:val="22"/>
          <w:szCs w:val="22"/>
          <w:lang w:val="en-GB"/>
        </w:rPr>
        <w:t>Nguyen, 2014). In contrast, others propose that the established theories should not be prematurely abandoned since they retain the capacity to explain the principal features of EE MNEs (Hennart, 2009; Narula, 2012; Ramamurti, 2012).</w:t>
      </w:r>
      <w:r w:rsidRPr="00C244B9">
        <w:rPr>
          <w:sz w:val="22"/>
          <w:szCs w:val="22"/>
          <w:lang w:val="en-GB"/>
        </w:rPr>
        <w:t xml:space="preserve"> Our </w:t>
      </w:r>
      <w:r w:rsidR="00BD5517" w:rsidRPr="00C244B9">
        <w:rPr>
          <w:sz w:val="22"/>
          <w:szCs w:val="22"/>
          <w:lang w:val="en-GB"/>
        </w:rPr>
        <w:t xml:space="preserve">take on </w:t>
      </w:r>
      <w:r w:rsidRPr="00C244B9">
        <w:rPr>
          <w:sz w:val="22"/>
          <w:szCs w:val="22"/>
          <w:lang w:val="en-GB"/>
        </w:rPr>
        <w:t>this debate is that existing theories are quite powerful in explaining the pattern of location choices by EE MNEs, as long as the theoretical frame</w:t>
      </w:r>
      <w:r w:rsidR="007E55B4" w:rsidRPr="00C244B9">
        <w:rPr>
          <w:sz w:val="22"/>
          <w:szCs w:val="22"/>
          <w:lang w:val="en-GB"/>
        </w:rPr>
        <w:t>work</w:t>
      </w:r>
      <w:r w:rsidRPr="00C244B9">
        <w:rPr>
          <w:sz w:val="22"/>
          <w:szCs w:val="22"/>
          <w:lang w:val="en-GB"/>
        </w:rPr>
        <w:t xml:space="preserve"> incorporates the </w:t>
      </w:r>
      <w:r w:rsidRPr="00C244B9">
        <w:rPr>
          <w:i/>
          <w:sz w:val="22"/>
          <w:szCs w:val="22"/>
          <w:lang w:val="en-GB"/>
        </w:rPr>
        <w:t>relative</w:t>
      </w:r>
      <w:r w:rsidRPr="00C244B9">
        <w:rPr>
          <w:sz w:val="22"/>
          <w:szCs w:val="22"/>
          <w:lang w:val="en-GB"/>
        </w:rPr>
        <w:t xml:space="preserve"> </w:t>
      </w:r>
      <w:r w:rsidR="00ED45F4" w:rsidRPr="00C244B9">
        <w:rPr>
          <w:sz w:val="22"/>
          <w:szCs w:val="22"/>
          <w:lang w:val="en-GB"/>
        </w:rPr>
        <w:t xml:space="preserve">weakness </w:t>
      </w:r>
      <w:r w:rsidRPr="00C244B9">
        <w:rPr>
          <w:sz w:val="22"/>
          <w:szCs w:val="22"/>
          <w:lang w:val="en-GB"/>
        </w:rPr>
        <w:t xml:space="preserve">of </w:t>
      </w:r>
      <w:r w:rsidR="00871C5B" w:rsidRPr="00C244B9">
        <w:rPr>
          <w:sz w:val="22"/>
          <w:szCs w:val="22"/>
          <w:lang w:val="en-GB"/>
        </w:rPr>
        <w:t>international management</w:t>
      </w:r>
      <w:r w:rsidRPr="00C244B9">
        <w:rPr>
          <w:sz w:val="22"/>
          <w:szCs w:val="22"/>
          <w:lang w:val="en-GB"/>
        </w:rPr>
        <w:t xml:space="preserve"> capabilities</w:t>
      </w:r>
      <w:r w:rsidR="00BD5517" w:rsidRPr="00C244B9">
        <w:rPr>
          <w:sz w:val="22"/>
          <w:szCs w:val="22"/>
          <w:lang w:val="en-GB"/>
        </w:rPr>
        <w:t xml:space="preserve"> </w:t>
      </w:r>
      <w:r w:rsidR="00EA3BD1" w:rsidRPr="00C244B9">
        <w:rPr>
          <w:sz w:val="22"/>
          <w:szCs w:val="22"/>
          <w:lang w:val="en-GB"/>
        </w:rPr>
        <w:t xml:space="preserve">as a consequence of resource munificence </w:t>
      </w:r>
      <w:r w:rsidR="00BD5517" w:rsidRPr="00C244B9">
        <w:rPr>
          <w:sz w:val="22"/>
          <w:szCs w:val="22"/>
          <w:lang w:val="en-GB"/>
        </w:rPr>
        <w:t>in these home economies</w:t>
      </w:r>
      <w:r w:rsidRPr="00C244B9">
        <w:rPr>
          <w:sz w:val="22"/>
          <w:szCs w:val="22"/>
          <w:lang w:val="en-GB"/>
        </w:rPr>
        <w:t xml:space="preserve">. </w:t>
      </w:r>
    </w:p>
    <w:p w14:paraId="7F5BF8BA" w14:textId="3F8A48BD" w:rsidR="002529B1" w:rsidRPr="00C244B9" w:rsidRDefault="00575A57" w:rsidP="0018025D">
      <w:pPr>
        <w:spacing w:line="480" w:lineRule="auto"/>
        <w:ind w:firstLine="284"/>
        <w:rPr>
          <w:sz w:val="22"/>
          <w:szCs w:val="22"/>
          <w:lang w:val="en-GB"/>
        </w:rPr>
      </w:pPr>
      <w:r w:rsidRPr="00C244B9">
        <w:rPr>
          <w:sz w:val="22"/>
          <w:szCs w:val="22"/>
          <w:lang w:val="en-GB"/>
        </w:rPr>
        <w:t xml:space="preserve">Extrapolating to the future, our theoretical </w:t>
      </w:r>
      <w:r w:rsidR="007E55B4" w:rsidRPr="00C244B9">
        <w:rPr>
          <w:sz w:val="22"/>
          <w:szCs w:val="22"/>
          <w:lang w:val="en-GB"/>
        </w:rPr>
        <w:t xml:space="preserve">analysis suggests that as </w:t>
      </w:r>
      <w:r w:rsidR="00DD4D5F" w:rsidRPr="00C244B9">
        <w:rPr>
          <w:sz w:val="22"/>
          <w:szCs w:val="22"/>
          <w:lang w:val="en-GB"/>
        </w:rPr>
        <w:t>EE</w:t>
      </w:r>
      <w:r w:rsidR="007E55B4" w:rsidRPr="00C244B9">
        <w:rPr>
          <w:sz w:val="22"/>
          <w:szCs w:val="22"/>
          <w:lang w:val="en-GB"/>
        </w:rPr>
        <w:t xml:space="preserve">s </w:t>
      </w:r>
      <w:r w:rsidR="00D40A59" w:rsidRPr="00C244B9">
        <w:rPr>
          <w:sz w:val="22"/>
          <w:szCs w:val="22"/>
          <w:lang w:val="en-GB"/>
        </w:rPr>
        <w:t>g</w:t>
      </w:r>
      <w:r w:rsidRPr="00C244B9">
        <w:rPr>
          <w:sz w:val="22"/>
          <w:szCs w:val="22"/>
          <w:lang w:val="en-GB"/>
        </w:rPr>
        <w:t>row</w:t>
      </w:r>
      <w:r w:rsidR="00D5322B" w:rsidRPr="00C244B9">
        <w:rPr>
          <w:sz w:val="22"/>
          <w:szCs w:val="22"/>
          <w:lang w:val="en-GB"/>
        </w:rPr>
        <w:t>,</w:t>
      </w:r>
      <w:r w:rsidRPr="00C244B9">
        <w:rPr>
          <w:sz w:val="22"/>
          <w:szCs w:val="22"/>
          <w:lang w:val="en-GB"/>
        </w:rPr>
        <w:t xml:space="preserve"> </w:t>
      </w:r>
      <w:r w:rsidR="007E55B4" w:rsidRPr="00C244B9">
        <w:rPr>
          <w:sz w:val="22"/>
          <w:szCs w:val="22"/>
          <w:lang w:val="en-GB"/>
        </w:rPr>
        <w:t xml:space="preserve">their MNEs become more experienced in </w:t>
      </w:r>
      <w:r w:rsidR="00871C5B" w:rsidRPr="00C244B9">
        <w:rPr>
          <w:sz w:val="22"/>
          <w:szCs w:val="22"/>
          <w:lang w:val="en-GB"/>
        </w:rPr>
        <w:t>international management</w:t>
      </w:r>
      <w:r w:rsidR="007E55B4" w:rsidRPr="00C244B9">
        <w:rPr>
          <w:sz w:val="22"/>
          <w:szCs w:val="22"/>
          <w:lang w:val="en-GB"/>
        </w:rPr>
        <w:t xml:space="preserve">, </w:t>
      </w:r>
      <w:r w:rsidR="00D5322B" w:rsidRPr="00C244B9">
        <w:rPr>
          <w:sz w:val="22"/>
          <w:szCs w:val="22"/>
          <w:lang w:val="en-GB"/>
        </w:rPr>
        <w:t xml:space="preserve">such that </w:t>
      </w:r>
      <w:r w:rsidR="007E55B4" w:rsidRPr="00C244B9">
        <w:rPr>
          <w:sz w:val="22"/>
          <w:szCs w:val="22"/>
          <w:lang w:val="en-GB"/>
        </w:rPr>
        <w:t xml:space="preserve">the differences between AE and EE MNEs </w:t>
      </w:r>
      <w:r w:rsidR="000E740F" w:rsidRPr="00C244B9">
        <w:rPr>
          <w:sz w:val="22"/>
          <w:szCs w:val="22"/>
          <w:lang w:val="en-GB"/>
        </w:rPr>
        <w:t xml:space="preserve">will </w:t>
      </w:r>
      <w:r w:rsidR="007E55B4" w:rsidRPr="00C244B9">
        <w:rPr>
          <w:sz w:val="22"/>
          <w:szCs w:val="22"/>
          <w:lang w:val="en-GB"/>
        </w:rPr>
        <w:t>decline. Our framework is th</w:t>
      </w:r>
      <w:r w:rsidR="00744FF7">
        <w:rPr>
          <w:sz w:val="22"/>
          <w:szCs w:val="22"/>
          <w:lang w:val="en-GB"/>
        </w:rPr>
        <w:t>us</w:t>
      </w:r>
      <w:r w:rsidR="007E55B4" w:rsidRPr="00C244B9">
        <w:rPr>
          <w:sz w:val="22"/>
          <w:szCs w:val="22"/>
          <w:lang w:val="en-GB"/>
        </w:rPr>
        <w:t xml:space="preserve"> consistent with the broader institutional void</w:t>
      </w:r>
      <w:r w:rsidR="00EC5B64" w:rsidRPr="00C244B9">
        <w:rPr>
          <w:sz w:val="22"/>
          <w:szCs w:val="22"/>
          <w:lang w:val="en-GB"/>
        </w:rPr>
        <w:t>s</w:t>
      </w:r>
      <w:r w:rsidR="007E55B4" w:rsidRPr="00C244B9">
        <w:rPr>
          <w:sz w:val="22"/>
          <w:szCs w:val="22"/>
          <w:lang w:val="en-GB"/>
        </w:rPr>
        <w:t xml:space="preserve"> framework (Khanna </w:t>
      </w:r>
      <w:r w:rsidR="00D5322B" w:rsidRPr="00C244B9">
        <w:rPr>
          <w:sz w:val="22"/>
          <w:szCs w:val="22"/>
          <w:lang w:val="en-GB"/>
        </w:rPr>
        <w:t xml:space="preserve">&amp; </w:t>
      </w:r>
      <w:r w:rsidR="007E55B4" w:rsidRPr="00C244B9">
        <w:rPr>
          <w:sz w:val="22"/>
          <w:szCs w:val="22"/>
          <w:lang w:val="en-GB"/>
        </w:rPr>
        <w:t>Palepu, 2000</w:t>
      </w:r>
      <w:r w:rsidR="00C17418" w:rsidRPr="00C244B9">
        <w:rPr>
          <w:sz w:val="22"/>
          <w:szCs w:val="22"/>
          <w:lang w:val="en-GB"/>
        </w:rPr>
        <w:t>;</w:t>
      </w:r>
      <w:r w:rsidR="00045445" w:rsidRPr="00C244B9">
        <w:rPr>
          <w:sz w:val="22"/>
          <w:szCs w:val="22"/>
          <w:lang w:val="en-GB"/>
        </w:rPr>
        <w:t xml:space="preserve"> </w:t>
      </w:r>
      <w:r w:rsidR="005847D7" w:rsidRPr="00C244B9">
        <w:rPr>
          <w:sz w:val="22"/>
          <w:szCs w:val="22"/>
          <w:lang w:val="en-GB"/>
        </w:rPr>
        <w:t xml:space="preserve">Carney, van Essen, Estrin and </w:t>
      </w:r>
      <w:r w:rsidR="005847D7" w:rsidRPr="00C244B9">
        <w:rPr>
          <w:sz w:val="22"/>
          <w:szCs w:val="22"/>
          <w:lang w:val="en-GB"/>
        </w:rPr>
        <w:lastRenderedPageBreak/>
        <w:t>Shapiro, 2017</w:t>
      </w:r>
      <w:r w:rsidR="007E55B4" w:rsidRPr="00C244B9">
        <w:rPr>
          <w:sz w:val="22"/>
          <w:szCs w:val="22"/>
          <w:lang w:val="en-GB"/>
        </w:rPr>
        <w:t xml:space="preserve">), in which business </w:t>
      </w:r>
      <w:r w:rsidR="00BE1F08" w:rsidRPr="00C244B9">
        <w:rPr>
          <w:sz w:val="22"/>
          <w:szCs w:val="22"/>
          <w:lang w:val="en-GB"/>
        </w:rPr>
        <w:t>behavior</w:t>
      </w:r>
      <w:r w:rsidR="007E55B4" w:rsidRPr="00C244B9">
        <w:rPr>
          <w:sz w:val="22"/>
          <w:szCs w:val="22"/>
          <w:lang w:val="en-GB"/>
        </w:rPr>
        <w:t xml:space="preserve"> in EEs become </w:t>
      </w:r>
      <w:r w:rsidR="00744FF7">
        <w:rPr>
          <w:sz w:val="22"/>
          <w:szCs w:val="22"/>
          <w:lang w:val="en-GB"/>
        </w:rPr>
        <w:t>more</w:t>
      </w:r>
      <w:r w:rsidR="00744FF7" w:rsidRPr="00C244B9">
        <w:rPr>
          <w:sz w:val="22"/>
          <w:szCs w:val="22"/>
          <w:lang w:val="en-GB"/>
        </w:rPr>
        <w:t xml:space="preserve"> </w:t>
      </w:r>
      <w:r w:rsidR="007E55B4" w:rsidRPr="00C244B9">
        <w:rPr>
          <w:sz w:val="22"/>
          <w:szCs w:val="22"/>
          <w:lang w:val="en-GB"/>
        </w:rPr>
        <w:t xml:space="preserve">similar to those in AEs as the level of </w:t>
      </w:r>
      <w:r w:rsidRPr="00C244B9">
        <w:rPr>
          <w:sz w:val="22"/>
          <w:szCs w:val="22"/>
          <w:lang w:val="en-GB"/>
        </w:rPr>
        <w:t xml:space="preserve">institutional </w:t>
      </w:r>
      <w:r w:rsidR="007E55B4" w:rsidRPr="00C244B9">
        <w:rPr>
          <w:sz w:val="22"/>
          <w:szCs w:val="22"/>
          <w:lang w:val="en-GB"/>
        </w:rPr>
        <w:t>development rises</w:t>
      </w:r>
      <w:r w:rsidR="00E64112" w:rsidRPr="00C244B9">
        <w:rPr>
          <w:sz w:val="22"/>
          <w:szCs w:val="22"/>
          <w:lang w:val="en-GB"/>
        </w:rPr>
        <w:t>.</w:t>
      </w:r>
    </w:p>
    <w:p w14:paraId="0661EC76" w14:textId="77777777" w:rsidR="00136F21" w:rsidRPr="00C244B9" w:rsidRDefault="005C270A" w:rsidP="005A3198">
      <w:pPr>
        <w:spacing w:line="480" w:lineRule="auto"/>
        <w:ind w:firstLine="284"/>
        <w:rPr>
          <w:b/>
          <w:sz w:val="22"/>
          <w:szCs w:val="22"/>
          <w:lang w:val="en-GB"/>
        </w:rPr>
      </w:pPr>
      <w:r w:rsidRPr="00C244B9">
        <w:rPr>
          <w:b/>
          <w:sz w:val="22"/>
          <w:szCs w:val="22"/>
          <w:lang w:val="en-GB"/>
        </w:rPr>
        <w:t xml:space="preserve">Empirical </w:t>
      </w:r>
      <w:r w:rsidR="00136F21" w:rsidRPr="00C244B9">
        <w:rPr>
          <w:b/>
          <w:sz w:val="22"/>
          <w:szCs w:val="22"/>
          <w:lang w:val="en-GB"/>
        </w:rPr>
        <w:t>Limitations</w:t>
      </w:r>
      <w:r w:rsidR="000E740F" w:rsidRPr="00C244B9">
        <w:rPr>
          <w:b/>
          <w:sz w:val="22"/>
          <w:szCs w:val="22"/>
          <w:lang w:val="en-GB"/>
        </w:rPr>
        <w:t xml:space="preserve"> and Future Research</w:t>
      </w:r>
    </w:p>
    <w:p w14:paraId="5BDECFD8" w14:textId="4C697429" w:rsidR="009B5E49" w:rsidRDefault="00F85A47">
      <w:pPr>
        <w:spacing w:line="480" w:lineRule="auto"/>
        <w:ind w:firstLine="284"/>
        <w:rPr>
          <w:sz w:val="22"/>
          <w:szCs w:val="22"/>
          <w:lang w:val="en-GB"/>
        </w:rPr>
      </w:pPr>
      <w:r w:rsidRPr="00C244B9">
        <w:rPr>
          <w:sz w:val="22"/>
          <w:szCs w:val="22"/>
          <w:lang w:val="en-GB"/>
        </w:rPr>
        <w:t xml:space="preserve">One of the limitation of our approach is that although we can examine the “extensive margin” of FDI by analysing the </w:t>
      </w:r>
      <w:r w:rsidR="001C72EE" w:rsidRPr="00C244B9">
        <w:rPr>
          <w:sz w:val="22"/>
          <w:szCs w:val="22"/>
          <w:lang w:val="en-GB"/>
        </w:rPr>
        <w:t xml:space="preserve">decision </w:t>
      </w:r>
      <w:r w:rsidRPr="00C244B9">
        <w:rPr>
          <w:sz w:val="22"/>
          <w:szCs w:val="22"/>
          <w:lang w:val="en-GB"/>
        </w:rPr>
        <w:t xml:space="preserve">of firms to invest in a foreign country, we are not able to examine the </w:t>
      </w:r>
      <w:r w:rsidR="001C72EE" w:rsidRPr="00C244B9">
        <w:rPr>
          <w:sz w:val="22"/>
          <w:szCs w:val="22"/>
          <w:lang w:val="en-GB"/>
        </w:rPr>
        <w:t>“intensive margin” of FDI (volume of foreign affiliate sale</w:t>
      </w:r>
      <w:r w:rsidR="00744FF7">
        <w:rPr>
          <w:sz w:val="22"/>
          <w:szCs w:val="22"/>
          <w:lang w:val="en-GB"/>
        </w:rPr>
        <w:t>s</w:t>
      </w:r>
      <w:r w:rsidR="001C72EE" w:rsidRPr="00C244B9">
        <w:rPr>
          <w:sz w:val="22"/>
          <w:szCs w:val="22"/>
          <w:lang w:val="en-GB"/>
        </w:rPr>
        <w:t>), nor the volume</w:t>
      </w:r>
      <w:r w:rsidR="008110A3" w:rsidRPr="00C244B9">
        <w:rPr>
          <w:sz w:val="22"/>
          <w:szCs w:val="22"/>
          <w:lang w:val="en-GB"/>
        </w:rPr>
        <w:t xml:space="preserve"> </w:t>
      </w:r>
      <w:r w:rsidR="001C72EE" w:rsidRPr="00C244B9">
        <w:rPr>
          <w:sz w:val="22"/>
          <w:szCs w:val="22"/>
          <w:lang w:val="en-GB"/>
        </w:rPr>
        <w:t>or value of FDI</w:t>
      </w:r>
      <w:r w:rsidR="008110A3" w:rsidRPr="00C244B9">
        <w:rPr>
          <w:sz w:val="22"/>
          <w:szCs w:val="22"/>
          <w:lang w:val="en-GB"/>
        </w:rPr>
        <w:t xml:space="preserve"> </w:t>
      </w:r>
      <w:r w:rsidR="009B5E49" w:rsidRPr="00C244B9">
        <w:rPr>
          <w:sz w:val="22"/>
          <w:szCs w:val="22"/>
          <w:lang w:val="en-GB"/>
        </w:rPr>
        <w:t xml:space="preserve">flows. </w:t>
      </w:r>
      <w:r w:rsidR="008110A3" w:rsidRPr="00C244B9">
        <w:rPr>
          <w:sz w:val="22"/>
          <w:szCs w:val="22"/>
          <w:lang w:val="en-GB"/>
        </w:rPr>
        <w:t xml:space="preserve">As such we can only tell one part of the FDI story, and this also limits our ability to draw </w:t>
      </w:r>
      <w:r w:rsidR="005724BF" w:rsidRPr="00C244B9">
        <w:rPr>
          <w:sz w:val="22"/>
          <w:szCs w:val="22"/>
          <w:lang w:val="en-GB"/>
        </w:rPr>
        <w:t xml:space="preserve">policy </w:t>
      </w:r>
      <w:r w:rsidR="008110A3" w:rsidRPr="00C244B9">
        <w:rPr>
          <w:sz w:val="22"/>
          <w:szCs w:val="22"/>
          <w:lang w:val="en-GB"/>
        </w:rPr>
        <w:t>conclusions</w:t>
      </w:r>
      <w:r w:rsidR="005724BF" w:rsidRPr="00C244B9">
        <w:rPr>
          <w:sz w:val="22"/>
          <w:szCs w:val="22"/>
          <w:lang w:val="en-GB"/>
        </w:rPr>
        <w:t xml:space="preserve"> in terms of the differential impact of EE MNEs and AE MNEs on the host economy. </w:t>
      </w:r>
      <w:r w:rsidR="00CA199B" w:rsidRPr="00C244B9">
        <w:rPr>
          <w:sz w:val="22"/>
          <w:szCs w:val="22"/>
          <w:lang w:val="en-GB"/>
        </w:rPr>
        <w:t xml:space="preserve">In particular, our framework does not capture the determinants of the small number of very large projects that often receive media or case study attention.  </w:t>
      </w:r>
      <w:r w:rsidR="009B5E49" w:rsidRPr="00C244B9">
        <w:rPr>
          <w:sz w:val="22"/>
          <w:szCs w:val="22"/>
          <w:lang w:val="en-GB"/>
        </w:rPr>
        <w:t xml:space="preserve">Scholars interested in the policy implications of FDI </w:t>
      </w:r>
      <w:r w:rsidR="00575A57" w:rsidRPr="00C244B9">
        <w:rPr>
          <w:i/>
          <w:sz w:val="22"/>
          <w:szCs w:val="22"/>
          <w:lang w:val="en-GB"/>
        </w:rPr>
        <w:t>capital</w:t>
      </w:r>
      <w:r w:rsidR="00575A57" w:rsidRPr="00C244B9">
        <w:rPr>
          <w:sz w:val="22"/>
          <w:szCs w:val="22"/>
          <w:lang w:val="en-GB"/>
        </w:rPr>
        <w:t xml:space="preserve"> </w:t>
      </w:r>
      <w:r w:rsidR="009B5E49" w:rsidRPr="00C244B9">
        <w:rPr>
          <w:sz w:val="22"/>
          <w:szCs w:val="22"/>
          <w:lang w:val="en-GB"/>
        </w:rPr>
        <w:t>inflow</w:t>
      </w:r>
      <w:r w:rsidR="00CA199B" w:rsidRPr="00C244B9">
        <w:rPr>
          <w:sz w:val="22"/>
          <w:szCs w:val="22"/>
          <w:lang w:val="en-GB"/>
        </w:rPr>
        <w:t xml:space="preserve"> </w:t>
      </w:r>
      <w:r w:rsidR="00A564C7" w:rsidRPr="00C244B9">
        <w:rPr>
          <w:sz w:val="22"/>
          <w:szCs w:val="22"/>
          <w:lang w:val="en-GB"/>
        </w:rPr>
        <w:t>volumes may</w:t>
      </w:r>
      <w:r w:rsidR="009B5E49" w:rsidRPr="00C244B9">
        <w:rPr>
          <w:sz w:val="22"/>
          <w:szCs w:val="22"/>
          <w:lang w:val="en-GB"/>
        </w:rPr>
        <w:t xml:space="preserve"> </w:t>
      </w:r>
      <w:r w:rsidR="00575A57" w:rsidRPr="00C244B9">
        <w:rPr>
          <w:sz w:val="22"/>
          <w:szCs w:val="22"/>
          <w:lang w:val="en-GB"/>
        </w:rPr>
        <w:t xml:space="preserve">thus </w:t>
      </w:r>
      <w:r w:rsidR="009B5E49" w:rsidRPr="00C244B9">
        <w:rPr>
          <w:sz w:val="22"/>
          <w:szCs w:val="22"/>
          <w:lang w:val="en-GB"/>
        </w:rPr>
        <w:t xml:space="preserve">want to </w:t>
      </w:r>
      <w:r w:rsidR="003A730A" w:rsidRPr="00C244B9">
        <w:rPr>
          <w:sz w:val="22"/>
          <w:szCs w:val="22"/>
          <w:lang w:val="en-GB"/>
        </w:rPr>
        <w:t>study</w:t>
      </w:r>
      <w:r w:rsidR="009B5E49" w:rsidRPr="00C244B9">
        <w:rPr>
          <w:sz w:val="22"/>
          <w:szCs w:val="22"/>
          <w:lang w:val="en-GB"/>
        </w:rPr>
        <w:t xml:space="preserve"> different dependent variables. </w:t>
      </w:r>
    </w:p>
    <w:p w14:paraId="7EE24EA3" w14:textId="6EFC3996" w:rsidR="0032163F" w:rsidRPr="007627D5" w:rsidRDefault="00635821">
      <w:pPr>
        <w:spacing w:line="480" w:lineRule="auto"/>
        <w:ind w:firstLine="284"/>
        <w:rPr>
          <w:rFonts w:ascii="Arial" w:hAnsi="Arial" w:cs="Arial"/>
          <w:b/>
          <w:color w:val="222222"/>
          <w:sz w:val="19"/>
          <w:szCs w:val="19"/>
          <w:shd w:val="clear" w:color="auto" w:fill="FFFFFF"/>
        </w:rPr>
      </w:pPr>
      <w:r>
        <w:rPr>
          <w:sz w:val="22"/>
          <w:szCs w:val="22"/>
          <w:lang w:val="en-GB"/>
        </w:rPr>
        <w:t xml:space="preserve">Another limitation of our approach is that we are </w:t>
      </w:r>
      <w:r w:rsidR="005C1228">
        <w:rPr>
          <w:sz w:val="22"/>
          <w:szCs w:val="22"/>
          <w:lang w:val="en-GB"/>
        </w:rPr>
        <w:t xml:space="preserve">only considering majority owned FDI but not </w:t>
      </w:r>
      <w:r>
        <w:rPr>
          <w:sz w:val="22"/>
          <w:szCs w:val="22"/>
          <w:lang w:val="en-GB"/>
        </w:rPr>
        <w:t xml:space="preserve">minority </w:t>
      </w:r>
      <w:r w:rsidR="00E67234">
        <w:rPr>
          <w:sz w:val="22"/>
          <w:szCs w:val="22"/>
          <w:lang w:val="en-GB"/>
        </w:rPr>
        <w:t>equity stakes</w:t>
      </w:r>
      <w:r>
        <w:rPr>
          <w:sz w:val="22"/>
          <w:szCs w:val="22"/>
          <w:lang w:val="en-GB"/>
        </w:rPr>
        <w:t>.</w:t>
      </w:r>
      <w:r w:rsidR="005C1228">
        <w:rPr>
          <w:sz w:val="22"/>
          <w:szCs w:val="22"/>
          <w:lang w:val="en-GB"/>
        </w:rPr>
        <w:t xml:space="preserve"> </w:t>
      </w:r>
      <w:r>
        <w:rPr>
          <w:sz w:val="22"/>
          <w:szCs w:val="22"/>
          <w:lang w:val="en-GB"/>
        </w:rPr>
        <w:t xml:space="preserve">This means that </w:t>
      </w:r>
      <w:r w:rsidR="00580BF9">
        <w:rPr>
          <w:sz w:val="22"/>
          <w:szCs w:val="22"/>
          <w:lang w:val="en-GB"/>
        </w:rPr>
        <w:t>if the economic</w:t>
      </w:r>
      <w:r w:rsidR="005C1228">
        <w:rPr>
          <w:sz w:val="22"/>
          <w:szCs w:val="22"/>
          <w:lang w:val="en-GB"/>
        </w:rPr>
        <w:t xml:space="preserve"> or </w:t>
      </w:r>
      <w:r w:rsidR="00580BF9">
        <w:rPr>
          <w:sz w:val="22"/>
          <w:szCs w:val="22"/>
          <w:lang w:val="en-GB"/>
        </w:rPr>
        <w:t>institutional characteristics of certain host countries made them more likely to receive minority investments –</w:t>
      </w:r>
      <w:r w:rsidR="005C1228">
        <w:rPr>
          <w:sz w:val="22"/>
          <w:szCs w:val="22"/>
          <w:lang w:val="en-GB"/>
        </w:rPr>
        <w:t xml:space="preserve"> a common concerns when EEs are considered as host countries – then </w:t>
      </w:r>
      <w:r w:rsidR="00580BF9">
        <w:rPr>
          <w:sz w:val="22"/>
          <w:szCs w:val="22"/>
          <w:lang w:val="en-GB"/>
        </w:rPr>
        <w:t xml:space="preserve">these characteristics </w:t>
      </w:r>
      <w:r w:rsidR="005C1228">
        <w:rPr>
          <w:sz w:val="22"/>
          <w:szCs w:val="22"/>
          <w:lang w:val="en-GB"/>
        </w:rPr>
        <w:t xml:space="preserve">might interact with </w:t>
      </w:r>
      <w:r w:rsidR="00580BF9">
        <w:rPr>
          <w:sz w:val="22"/>
          <w:szCs w:val="22"/>
          <w:lang w:val="en-GB"/>
        </w:rPr>
        <w:t>the likelihood of investing</w:t>
      </w:r>
      <w:r w:rsidR="00D06239">
        <w:rPr>
          <w:sz w:val="22"/>
          <w:szCs w:val="22"/>
          <w:lang w:val="en-GB"/>
        </w:rPr>
        <w:t xml:space="preserve"> and cause selection biases. We chose 50% as cut-off because lower cut-offs bring into the study non-strategic (i.e. financial) investors as well as substitution effects with non-equity modes of serving foreign markets, which complicate the theoretical framing of the study. Future research may thus further explore investments into minority ventures.</w:t>
      </w:r>
    </w:p>
    <w:p w14:paraId="0DD87401" w14:textId="6F194A64" w:rsidR="001519D7" w:rsidRPr="00C244B9" w:rsidRDefault="00B54676">
      <w:pPr>
        <w:spacing w:line="480" w:lineRule="auto"/>
        <w:ind w:firstLine="284"/>
        <w:rPr>
          <w:sz w:val="22"/>
          <w:szCs w:val="22"/>
          <w:lang w:val="en-GB"/>
        </w:rPr>
      </w:pPr>
      <w:r w:rsidRPr="00C244B9">
        <w:rPr>
          <w:sz w:val="22"/>
          <w:szCs w:val="22"/>
          <w:lang w:val="en-GB"/>
        </w:rPr>
        <w:t>Moreover, the choice s</w:t>
      </w:r>
      <w:r w:rsidR="001222A8" w:rsidRPr="00C244B9">
        <w:rPr>
          <w:sz w:val="22"/>
          <w:szCs w:val="22"/>
          <w:lang w:val="en-GB"/>
        </w:rPr>
        <w:t>et in our study is limited to 31</w:t>
      </w:r>
      <w:r w:rsidRPr="00C244B9">
        <w:rPr>
          <w:sz w:val="22"/>
          <w:szCs w:val="22"/>
          <w:lang w:val="en-GB"/>
        </w:rPr>
        <w:t xml:space="preserve"> OECD countries. This </w:t>
      </w:r>
      <w:r w:rsidR="00405101" w:rsidRPr="00C244B9">
        <w:rPr>
          <w:sz w:val="22"/>
          <w:szCs w:val="22"/>
          <w:lang w:val="en-GB"/>
        </w:rPr>
        <w:t>represents wide</w:t>
      </w:r>
      <w:r w:rsidRPr="00C244B9">
        <w:rPr>
          <w:sz w:val="22"/>
          <w:szCs w:val="22"/>
          <w:lang w:val="en-GB"/>
        </w:rPr>
        <w:t xml:space="preserve"> variety</w:t>
      </w:r>
      <w:r w:rsidR="00FE1A48" w:rsidRPr="00C244B9">
        <w:rPr>
          <w:sz w:val="22"/>
          <w:szCs w:val="22"/>
          <w:lang w:val="en-GB"/>
        </w:rPr>
        <w:t xml:space="preserve"> for </w:t>
      </w:r>
      <w:r w:rsidR="00ED45F4" w:rsidRPr="00C244B9">
        <w:rPr>
          <w:sz w:val="22"/>
          <w:szCs w:val="22"/>
          <w:lang w:val="en-GB"/>
        </w:rPr>
        <w:t xml:space="preserve">business </w:t>
      </w:r>
      <w:r w:rsidR="00FE1A48" w:rsidRPr="00C244B9">
        <w:rPr>
          <w:sz w:val="22"/>
          <w:szCs w:val="22"/>
          <w:lang w:val="en-GB"/>
        </w:rPr>
        <w:t>research</w:t>
      </w:r>
      <w:r w:rsidRPr="00C244B9">
        <w:rPr>
          <w:sz w:val="22"/>
          <w:szCs w:val="22"/>
          <w:lang w:val="en-GB"/>
        </w:rPr>
        <w:t>, and covers the locations most relevant to our research question</w:t>
      </w:r>
      <w:r w:rsidR="00744FF7">
        <w:rPr>
          <w:sz w:val="22"/>
          <w:szCs w:val="22"/>
          <w:lang w:val="en-GB"/>
        </w:rPr>
        <w:t>, i.e. the anomaly of FDI against the traditional flow of capital from advanced to developing countries</w:t>
      </w:r>
      <w:r w:rsidRPr="00C244B9">
        <w:rPr>
          <w:sz w:val="22"/>
          <w:szCs w:val="22"/>
          <w:lang w:val="en-GB"/>
        </w:rPr>
        <w:t xml:space="preserve">. However, </w:t>
      </w:r>
      <w:r w:rsidR="00FE1A48" w:rsidRPr="00C244B9">
        <w:rPr>
          <w:sz w:val="22"/>
          <w:szCs w:val="22"/>
          <w:lang w:val="en-GB"/>
        </w:rPr>
        <w:t>FDI between</w:t>
      </w:r>
      <w:r w:rsidR="00405101" w:rsidRPr="00C244B9">
        <w:rPr>
          <w:sz w:val="22"/>
          <w:szCs w:val="22"/>
          <w:lang w:val="en-GB"/>
        </w:rPr>
        <w:t xml:space="preserve"> different EEs</w:t>
      </w:r>
      <w:r w:rsidR="00FE1A48" w:rsidRPr="00C244B9">
        <w:rPr>
          <w:sz w:val="22"/>
          <w:szCs w:val="22"/>
          <w:lang w:val="en-GB"/>
        </w:rPr>
        <w:t xml:space="preserve"> (so called </w:t>
      </w:r>
      <w:r w:rsidRPr="00C244B9">
        <w:rPr>
          <w:sz w:val="22"/>
          <w:szCs w:val="22"/>
          <w:lang w:val="en-GB"/>
        </w:rPr>
        <w:t xml:space="preserve">‘South-South’ </w:t>
      </w:r>
      <w:r w:rsidR="00136F21" w:rsidRPr="00C244B9">
        <w:rPr>
          <w:sz w:val="22"/>
          <w:szCs w:val="22"/>
          <w:lang w:val="en-GB"/>
        </w:rPr>
        <w:t>FDI</w:t>
      </w:r>
      <w:r w:rsidR="00FE1A48" w:rsidRPr="00C244B9">
        <w:rPr>
          <w:sz w:val="22"/>
          <w:szCs w:val="22"/>
          <w:lang w:val="en-GB"/>
        </w:rPr>
        <w:t xml:space="preserve">) </w:t>
      </w:r>
      <w:r w:rsidR="00136F21" w:rsidRPr="00C244B9">
        <w:rPr>
          <w:sz w:val="22"/>
          <w:szCs w:val="22"/>
          <w:lang w:val="en-GB"/>
        </w:rPr>
        <w:t xml:space="preserve">also entails interesting questions, </w:t>
      </w:r>
      <w:r w:rsidR="00FE1A48" w:rsidRPr="00C244B9">
        <w:rPr>
          <w:sz w:val="22"/>
          <w:szCs w:val="22"/>
          <w:lang w:val="en-GB"/>
        </w:rPr>
        <w:t xml:space="preserve">highlighted </w:t>
      </w:r>
      <w:r w:rsidR="00136F21" w:rsidRPr="00C244B9">
        <w:rPr>
          <w:sz w:val="22"/>
          <w:szCs w:val="22"/>
          <w:lang w:val="en-GB"/>
        </w:rPr>
        <w:t xml:space="preserve">for example </w:t>
      </w:r>
      <w:r w:rsidR="00FE1A48" w:rsidRPr="00C244B9">
        <w:rPr>
          <w:sz w:val="22"/>
          <w:szCs w:val="22"/>
          <w:lang w:val="en-GB"/>
        </w:rPr>
        <w:t xml:space="preserve">by </w:t>
      </w:r>
      <w:r w:rsidR="00136F21" w:rsidRPr="00C244B9">
        <w:rPr>
          <w:sz w:val="22"/>
          <w:szCs w:val="22"/>
          <w:lang w:val="en-GB"/>
        </w:rPr>
        <w:t xml:space="preserve">Chinese investment in Africa </w:t>
      </w:r>
      <w:r w:rsidR="00136F21" w:rsidRPr="00C244B9">
        <w:rPr>
          <w:sz w:val="22"/>
          <w:szCs w:val="22"/>
          <w:lang w:val="en-GB"/>
        </w:rPr>
        <w:lastRenderedPageBreak/>
        <w:t>(</w:t>
      </w:r>
      <w:r w:rsidR="0005708D" w:rsidRPr="00C244B9">
        <w:rPr>
          <w:sz w:val="22"/>
          <w:szCs w:val="22"/>
          <w:lang w:val="en-GB"/>
        </w:rPr>
        <w:t>Li et al., 201</w:t>
      </w:r>
      <w:r w:rsidR="0042579F" w:rsidRPr="00C244B9">
        <w:rPr>
          <w:sz w:val="22"/>
          <w:szCs w:val="22"/>
          <w:lang w:val="en-GB"/>
        </w:rPr>
        <w:t>5</w:t>
      </w:r>
      <w:r w:rsidR="0005708D" w:rsidRPr="00C244B9">
        <w:rPr>
          <w:sz w:val="22"/>
          <w:szCs w:val="22"/>
          <w:lang w:val="en-GB"/>
        </w:rPr>
        <w:t xml:space="preserve">; </w:t>
      </w:r>
      <w:r w:rsidR="002D7E73" w:rsidRPr="00C244B9">
        <w:rPr>
          <w:sz w:val="22"/>
          <w:szCs w:val="22"/>
          <w:lang w:val="en-GB"/>
        </w:rPr>
        <w:t>Ram</w:t>
      </w:r>
      <w:r w:rsidR="00136F21" w:rsidRPr="00C244B9">
        <w:rPr>
          <w:sz w:val="22"/>
          <w:szCs w:val="22"/>
          <w:lang w:val="en-GB"/>
        </w:rPr>
        <w:t>asamy et al., 2012).</w:t>
      </w:r>
      <w:r w:rsidR="005E525B" w:rsidRPr="00C244B9">
        <w:rPr>
          <w:sz w:val="22"/>
          <w:szCs w:val="22"/>
          <w:lang w:val="en-GB"/>
        </w:rPr>
        <w:t xml:space="preserve"> </w:t>
      </w:r>
      <w:r w:rsidR="00744FF7">
        <w:rPr>
          <w:sz w:val="22"/>
          <w:szCs w:val="22"/>
          <w:lang w:val="en-GB"/>
        </w:rPr>
        <w:t>F</w:t>
      </w:r>
      <w:r w:rsidR="00136F21" w:rsidRPr="00C244B9">
        <w:rPr>
          <w:sz w:val="22"/>
          <w:szCs w:val="22"/>
          <w:lang w:val="en-GB"/>
        </w:rPr>
        <w:t xml:space="preserve">uture research may </w:t>
      </w:r>
      <w:r w:rsidR="00A44C6D">
        <w:rPr>
          <w:sz w:val="22"/>
          <w:szCs w:val="22"/>
          <w:lang w:val="en-GB"/>
        </w:rPr>
        <w:t>t</w:t>
      </w:r>
      <w:r w:rsidR="00744FF7">
        <w:rPr>
          <w:sz w:val="22"/>
          <w:szCs w:val="22"/>
          <w:lang w:val="en-GB"/>
        </w:rPr>
        <w:t xml:space="preserve">hus </w:t>
      </w:r>
      <w:r w:rsidR="00136F21" w:rsidRPr="00C244B9">
        <w:rPr>
          <w:sz w:val="22"/>
          <w:szCs w:val="22"/>
          <w:lang w:val="en-GB"/>
        </w:rPr>
        <w:t xml:space="preserve">investigate </w:t>
      </w:r>
      <w:r w:rsidR="00405101" w:rsidRPr="00C244B9">
        <w:rPr>
          <w:sz w:val="22"/>
          <w:szCs w:val="22"/>
          <w:lang w:val="en-GB"/>
        </w:rPr>
        <w:t xml:space="preserve">in addition </w:t>
      </w:r>
      <w:r w:rsidR="00136F21" w:rsidRPr="00C244B9">
        <w:rPr>
          <w:sz w:val="22"/>
          <w:szCs w:val="22"/>
          <w:lang w:val="en-GB"/>
        </w:rPr>
        <w:t xml:space="preserve">the locational determinants of </w:t>
      </w:r>
      <w:r w:rsidR="00FE1A48" w:rsidRPr="00C244B9">
        <w:rPr>
          <w:sz w:val="22"/>
          <w:szCs w:val="22"/>
          <w:lang w:val="en-GB"/>
        </w:rPr>
        <w:t xml:space="preserve">South- South </w:t>
      </w:r>
      <w:r w:rsidR="00136F21" w:rsidRPr="00C244B9">
        <w:rPr>
          <w:sz w:val="22"/>
          <w:szCs w:val="22"/>
          <w:lang w:val="en-GB"/>
        </w:rPr>
        <w:t xml:space="preserve">FDI. </w:t>
      </w:r>
      <w:r w:rsidR="001B5667" w:rsidRPr="00C244B9">
        <w:rPr>
          <w:sz w:val="22"/>
          <w:szCs w:val="22"/>
          <w:lang w:val="en-GB"/>
        </w:rPr>
        <w:t xml:space="preserve"> </w:t>
      </w:r>
      <w:r w:rsidR="00136F21" w:rsidRPr="00C244B9">
        <w:rPr>
          <w:sz w:val="22"/>
          <w:szCs w:val="22"/>
          <w:lang w:val="en-GB"/>
        </w:rPr>
        <w:t xml:space="preserve"> </w:t>
      </w:r>
    </w:p>
    <w:p w14:paraId="43E6F85F" w14:textId="54F57EBE" w:rsidR="002D7E73" w:rsidRPr="00C244B9" w:rsidRDefault="002D7E73" w:rsidP="0018025D">
      <w:pPr>
        <w:spacing w:line="480" w:lineRule="auto"/>
        <w:ind w:firstLine="284"/>
        <w:rPr>
          <w:sz w:val="22"/>
          <w:szCs w:val="22"/>
          <w:lang w:val="en-GB"/>
        </w:rPr>
      </w:pPr>
      <w:r w:rsidRPr="00C244B9">
        <w:rPr>
          <w:sz w:val="22"/>
          <w:szCs w:val="22"/>
          <w:lang w:val="en-GB"/>
        </w:rPr>
        <w:t xml:space="preserve">Further limitations arise from the database of the Bureau van Dyck itself. This database covers all firms registered in the respective country and obliged to publish their financial reports. However, </w:t>
      </w:r>
      <w:r w:rsidR="00B54676" w:rsidRPr="00C244B9">
        <w:rPr>
          <w:sz w:val="22"/>
          <w:szCs w:val="22"/>
          <w:lang w:val="en-GB"/>
        </w:rPr>
        <w:t xml:space="preserve">while the database is commonly used in </w:t>
      </w:r>
      <w:r w:rsidR="00405101" w:rsidRPr="00C244B9">
        <w:rPr>
          <w:sz w:val="22"/>
          <w:szCs w:val="22"/>
          <w:lang w:val="en-GB"/>
        </w:rPr>
        <w:t>international business research</w:t>
      </w:r>
      <w:r w:rsidR="00B54676" w:rsidRPr="00C244B9">
        <w:rPr>
          <w:sz w:val="22"/>
          <w:szCs w:val="22"/>
          <w:lang w:val="en-GB"/>
        </w:rPr>
        <w:t xml:space="preserve"> (</w:t>
      </w:r>
      <w:r w:rsidR="0092364D">
        <w:rPr>
          <w:sz w:val="22"/>
          <w:szCs w:val="22"/>
          <w:lang w:val="en-GB"/>
        </w:rPr>
        <w:t xml:space="preserve">e.g. </w:t>
      </w:r>
      <w:r w:rsidR="008C7276" w:rsidRPr="00C244B9">
        <w:rPr>
          <w:sz w:val="22"/>
          <w:szCs w:val="22"/>
          <w:lang w:val="en-GB"/>
        </w:rPr>
        <w:t>Brouthers, Brouthers</w:t>
      </w:r>
      <w:r w:rsidR="00D5322B" w:rsidRPr="00C244B9">
        <w:rPr>
          <w:sz w:val="22"/>
          <w:szCs w:val="22"/>
          <w:lang w:val="en-GB"/>
        </w:rPr>
        <w:t>,</w:t>
      </w:r>
      <w:r w:rsidR="008C7276" w:rsidRPr="00C244B9">
        <w:rPr>
          <w:sz w:val="22"/>
          <w:szCs w:val="22"/>
          <w:lang w:val="en-GB"/>
        </w:rPr>
        <w:t xml:space="preserve"> </w:t>
      </w:r>
      <w:r w:rsidR="00D5322B" w:rsidRPr="00C244B9">
        <w:rPr>
          <w:sz w:val="22"/>
          <w:szCs w:val="22"/>
          <w:lang w:val="en-GB"/>
        </w:rPr>
        <w:t xml:space="preserve">&amp; </w:t>
      </w:r>
      <w:r w:rsidR="008C7276" w:rsidRPr="00C244B9">
        <w:rPr>
          <w:sz w:val="22"/>
          <w:szCs w:val="22"/>
          <w:lang w:val="en-GB"/>
        </w:rPr>
        <w:t xml:space="preserve">Werner, 2003; </w:t>
      </w:r>
      <w:r w:rsidR="00575A57" w:rsidRPr="00C244B9">
        <w:rPr>
          <w:sz w:val="22"/>
          <w:szCs w:val="22"/>
          <w:lang w:val="en-GB"/>
        </w:rPr>
        <w:t xml:space="preserve">Shinkle </w:t>
      </w:r>
      <w:r w:rsidR="00D5322B" w:rsidRPr="00C244B9">
        <w:rPr>
          <w:sz w:val="22"/>
          <w:szCs w:val="22"/>
          <w:lang w:val="en-GB"/>
        </w:rPr>
        <w:t xml:space="preserve">&amp; </w:t>
      </w:r>
      <w:r w:rsidR="00575A57" w:rsidRPr="00C244B9">
        <w:rPr>
          <w:sz w:val="22"/>
          <w:szCs w:val="22"/>
          <w:lang w:val="en-GB"/>
        </w:rPr>
        <w:t>Kriauciunas, 2012</w:t>
      </w:r>
      <w:r w:rsidR="00B54676" w:rsidRPr="00C244B9">
        <w:rPr>
          <w:sz w:val="22"/>
          <w:szCs w:val="22"/>
          <w:lang w:val="en-GB"/>
        </w:rPr>
        <w:t xml:space="preserve">), the </w:t>
      </w:r>
      <w:r w:rsidRPr="00C244B9">
        <w:rPr>
          <w:sz w:val="22"/>
          <w:szCs w:val="22"/>
          <w:lang w:val="en-GB"/>
        </w:rPr>
        <w:t xml:space="preserve">reporting requirements vary </w:t>
      </w:r>
      <w:r w:rsidR="0005708D" w:rsidRPr="00C244B9">
        <w:rPr>
          <w:sz w:val="22"/>
          <w:szCs w:val="22"/>
          <w:lang w:val="en-GB"/>
        </w:rPr>
        <w:t xml:space="preserve">slightly </w:t>
      </w:r>
      <w:r w:rsidRPr="00C244B9">
        <w:rPr>
          <w:sz w:val="22"/>
          <w:szCs w:val="22"/>
          <w:lang w:val="en-GB"/>
        </w:rPr>
        <w:t xml:space="preserve">across countries, for example for minimum size </w:t>
      </w:r>
      <w:r w:rsidR="0005708D" w:rsidRPr="00C244B9">
        <w:rPr>
          <w:sz w:val="22"/>
          <w:szCs w:val="22"/>
          <w:lang w:val="en-GB"/>
        </w:rPr>
        <w:t xml:space="preserve">threshold </w:t>
      </w:r>
      <w:r w:rsidRPr="00C244B9">
        <w:rPr>
          <w:sz w:val="22"/>
          <w:szCs w:val="22"/>
          <w:lang w:val="en-GB"/>
        </w:rPr>
        <w:t xml:space="preserve">for </w:t>
      </w:r>
      <w:r w:rsidR="003A730A" w:rsidRPr="00C244B9">
        <w:rPr>
          <w:sz w:val="22"/>
          <w:szCs w:val="22"/>
          <w:lang w:val="en-GB"/>
        </w:rPr>
        <w:t>inclusion</w:t>
      </w:r>
      <w:r w:rsidRPr="00C244B9">
        <w:rPr>
          <w:sz w:val="22"/>
          <w:szCs w:val="22"/>
          <w:lang w:val="en-GB"/>
        </w:rPr>
        <w:t xml:space="preserve">. This bias can affect cross-country comparisons, but </w:t>
      </w:r>
      <w:r w:rsidR="006B3149" w:rsidRPr="00C244B9">
        <w:rPr>
          <w:sz w:val="22"/>
          <w:szCs w:val="22"/>
          <w:lang w:val="en-GB"/>
        </w:rPr>
        <w:t>as</w:t>
      </w:r>
      <w:r w:rsidRPr="00C244B9">
        <w:rPr>
          <w:sz w:val="22"/>
          <w:szCs w:val="22"/>
          <w:lang w:val="en-GB"/>
        </w:rPr>
        <w:t xml:space="preserve"> it is not systematically related to our explanatory variables</w:t>
      </w:r>
      <w:r w:rsidR="00744FF7">
        <w:rPr>
          <w:sz w:val="22"/>
          <w:szCs w:val="22"/>
          <w:lang w:val="en-GB"/>
        </w:rPr>
        <w:t>,</w:t>
      </w:r>
      <w:r w:rsidR="00A44C6D">
        <w:rPr>
          <w:sz w:val="22"/>
          <w:szCs w:val="22"/>
          <w:lang w:val="en-GB"/>
        </w:rPr>
        <w:t xml:space="preserve"> </w:t>
      </w:r>
      <w:r w:rsidR="006B3149" w:rsidRPr="00C244B9">
        <w:rPr>
          <w:sz w:val="22"/>
          <w:szCs w:val="22"/>
          <w:lang w:val="en-GB"/>
        </w:rPr>
        <w:t xml:space="preserve">it </w:t>
      </w:r>
      <w:r w:rsidRPr="00C244B9">
        <w:rPr>
          <w:sz w:val="22"/>
          <w:szCs w:val="22"/>
          <w:lang w:val="en-GB"/>
        </w:rPr>
        <w:t xml:space="preserve">would not affect our results.  </w:t>
      </w:r>
    </w:p>
    <w:p w14:paraId="53EE63AA" w14:textId="0F4F31A1" w:rsidR="009B5E49" w:rsidRPr="00C244B9" w:rsidRDefault="009B5E49" w:rsidP="00032263">
      <w:pPr>
        <w:spacing w:line="480" w:lineRule="auto"/>
        <w:jc w:val="center"/>
        <w:rPr>
          <w:b/>
          <w:caps/>
          <w:sz w:val="22"/>
          <w:szCs w:val="22"/>
          <w:lang w:val="en-GB"/>
        </w:rPr>
      </w:pPr>
      <w:r w:rsidRPr="00C244B9">
        <w:rPr>
          <w:b/>
          <w:caps/>
          <w:sz w:val="22"/>
          <w:szCs w:val="22"/>
          <w:lang w:val="en-GB"/>
        </w:rPr>
        <w:t>Managerial implications</w:t>
      </w:r>
      <w:r w:rsidR="006E403A" w:rsidRPr="00C244B9">
        <w:rPr>
          <w:b/>
          <w:caps/>
          <w:sz w:val="22"/>
          <w:szCs w:val="22"/>
          <w:lang w:val="en-GB"/>
        </w:rPr>
        <w:t xml:space="preserve"> and Conclusions</w:t>
      </w:r>
    </w:p>
    <w:p w14:paraId="7B7249FE" w14:textId="684010A8" w:rsidR="00523FF1" w:rsidRPr="00C244B9" w:rsidRDefault="00E64112" w:rsidP="00182DA9">
      <w:pPr>
        <w:spacing w:line="480" w:lineRule="auto"/>
        <w:ind w:firstLine="284"/>
        <w:rPr>
          <w:sz w:val="22"/>
          <w:szCs w:val="22"/>
          <w:lang w:val="en-GB"/>
        </w:rPr>
      </w:pPr>
      <w:r w:rsidRPr="00C244B9">
        <w:rPr>
          <w:sz w:val="22"/>
          <w:szCs w:val="22"/>
          <w:lang w:val="en-GB"/>
        </w:rPr>
        <w:t xml:space="preserve">Our findings have implications for managers of MNEs from </w:t>
      </w:r>
      <w:r w:rsidR="00523FF1" w:rsidRPr="00C244B9">
        <w:rPr>
          <w:sz w:val="22"/>
          <w:szCs w:val="22"/>
          <w:lang w:val="en-GB"/>
        </w:rPr>
        <w:t>AEs</w:t>
      </w:r>
      <w:r w:rsidRPr="00C244B9">
        <w:rPr>
          <w:sz w:val="22"/>
          <w:szCs w:val="22"/>
          <w:lang w:val="en-GB"/>
        </w:rPr>
        <w:t xml:space="preserve"> and from </w:t>
      </w:r>
      <w:r w:rsidR="00523FF1" w:rsidRPr="00C244B9">
        <w:rPr>
          <w:sz w:val="22"/>
          <w:szCs w:val="22"/>
          <w:lang w:val="en-GB"/>
        </w:rPr>
        <w:t>EEs</w:t>
      </w:r>
      <w:r w:rsidR="000E740F" w:rsidRPr="00C244B9">
        <w:rPr>
          <w:sz w:val="22"/>
          <w:szCs w:val="22"/>
          <w:lang w:val="en-GB"/>
        </w:rPr>
        <w:t xml:space="preserve"> </w:t>
      </w:r>
      <w:r w:rsidR="00523FF1" w:rsidRPr="00C244B9">
        <w:rPr>
          <w:sz w:val="22"/>
          <w:szCs w:val="22"/>
          <w:lang w:val="en-GB"/>
        </w:rPr>
        <w:t xml:space="preserve">as well as </w:t>
      </w:r>
      <w:r w:rsidRPr="00C244B9">
        <w:rPr>
          <w:sz w:val="22"/>
          <w:szCs w:val="22"/>
          <w:lang w:val="en-GB"/>
        </w:rPr>
        <w:t xml:space="preserve">for policy makers in </w:t>
      </w:r>
      <w:r w:rsidR="00523FF1" w:rsidRPr="00C244B9">
        <w:rPr>
          <w:sz w:val="22"/>
          <w:szCs w:val="22"/>
          <w:lang w:val="en-GB"/>
        </w:rPr>
        <w:t>EEs</w:t>
      </w:r>
      <w:r w:rsidRPr="00C244B9">
        <w:rPr>
          <w:sz w:val="22"/>
          <w:szCs w:val="22"/>
          <w:lang w:val="en-GB"/>
        </w:rPr>
        <w:t xml:space="preserve">. Managers </w:t>
      </w:r>
      <w:r w:rsidR="00ED45F4" w:rsidRPr="00C244B9">
        <w:rPr>
          <w:sz w:val="22"/>
          <w:szCs w:val="22"/>
          <w:lang w:val="en-GB"/>
        </w:rPr>
        <w:t xml:space="preserve">of </w:t>
      </w:r>
      <w:r w:rsidR="000E740F" w:rsidRPr="00C244B9">
        <w:rPr>
          <w:sz w:val="22"/>
          <w:szCs w:val="22"/>
          <w:lang w:val="en-GB"/>
        </w:rPr>
        <w:t>MNE</w:t>
      </w:r>
      <w:r w:rsidR="000D50AD" w:rsidRPr="00C244B9">
        <w:rPr>
          <w:sz w:val="22"/>
          <w:szCs w:val="22"/>
          <w:lang w:val="en-GB"/>
        </w:rPr>
        <w:t>s</w:t>
      </w:r>
      <w:r w:rsidR="000E740F" w:rsidRPr="00C244B9">
        <w:rPr>
          <w:sz w:val="22"/>
          <w:szCs w:val="22"/>
          <w:lang w:val="en-GB"/>
        </w:rPr>
        <w:t xml:space="preserve"> in AEs </w:t>
      </w:r>
      <w:r w:rsidRPr="00C244B9">
        <w:rPr>
          <w:sz w:val="22"/>
          <w:szCs w:val="22"/>
          <w:lang w:val="en-GB"/>
        </w:rPr>
        <w:t xml:space="preserve">are becoming increasingly aware of competitors from </w:t>
      </w:r>
      <w:r w:rsidR="00523FF1" w:rsidRPr="00C244B9">
        <w:rPr>
          <w:sz w:val="22"/>
          <w:szCs w:val="22"/>
          <w:lang w:val="en-GB"/>
        </w:rPr>
        <w:t>EEs</w:t>
      </w:r>
      <w:r w:rsidRPr="00C244B9">
        <w:rPr>
          <w:sz w:val="22"/>
          <w:szCs w:val="22"/>
          <w:lang w:val="en-GB"/>
        </w:rPr>
        <w:t xml:space="preserve"> </w:t>
      </w:r>
      <w:r w:rsidR="00D73D22" w:rsidRPr="00C244B9">
        <w:rPr>
          <w:sz w:val="22"/>
          <w:szCs w:val="22"/>
          <w:lang w:val="en-GB"/>
        </w:rPr>
        <w:t xml:space="preserve">in their markets (Accenture, 2008). High profile examples include Haier or Beko in white goods, </w:t>
      </w:r>
      <w:r w:rsidR="00D2772D" w:rsidRPr="00C244B9">
        <w:rPr>
          <w:bCs/>
          <w:sz w:val="22"/>
          <w:szCs w:val="22"/>
        </w:rPr>
        <w:t xml:space="preserve">Huawei </w:t>
      </w:r>
      <w:r w:rsidR="002E7886" w:rsidRPr="00C244B9">
        <w:rPr>
          <w:bCs/>
          <w:sz w:val="22"/>
          <w:szCs w:val="22"/>
        </w:rPr>
        <w:t xml:space="preserve">or ZTE </w:t>
      </w:r>
      <w:r w:rsidR="00D2772D" w:rsidRPr="00C244B9">
        <w:rPr>
          <w:bCs/>
          <w:sz w:val="22"/>
          <w:szCs w:val="22"/>
        </w:rPr>
        <w:t>in telecoms;</w:t>
      </w:r>
      <w:r w:rsidR="00D2772D" w:rsidRPr="00C244B9">
        <w:rPr>
          <w:b/>
          <w:bCs/>
          <w:sz w:val="22"/>
          <w:szCs w:val="22"/>
        </w:rPr>
        <w:t xml:space="preserve"> </w:t>
      </w:r>
      <w:r w:rsidR="00D73D22" w:rsidRPr="00C244B9">
        <w:rPr>
          <w:sz w:val="22"/>
          <w:szCs w:val="22"/>
          <w:lang w:val="en-GB"/>
        </w:rPr>
        <w:t xml:space="preserve">Embraer </w:t>
      </w:r>
      <w:r w:rsidR="002E7886" w:rsidRPr="00C244B9">
        <w:rPr>
          <w:sz w:val="22"/>
          <w:szCs w:val="22"/>
          <w:lang w:val="en-GB"/>
        </w:rPr>
        <w:t xml:space="preserve">and COMAC </w:t>
      </w:r>
      <w:r w:rsidR="00D73D22" w:rsidRPr="00C244B9">
        <w:rPr>
          <w:sz w:val="22"/>
          <w:szCs w:val="22"/>
          <w:lang w:val="en-GB"/>
        </w:rPr>
        <w:t xml:space="preserve">in aircraft; and Lenovo </w:t>
      </w:r>
      <w:r w:rsidR="002E7886" w:rsidRPr="00C244B9">
        <w:rPr>
          <w:sz w:val="22"/>
          <w:szCs w:val="22"/>
          <w:lang w:val="en-GB"/>
        </w:rPr>
        <w:t xml:space="preserve">and Xiaomi </w:t>
      </w:r>
      <w:r w:rsidR="00D73D22" w:rsidRPr="00C244B9">
        <w:rPr>
          <w:sz w:val="22"/>
          <w:szCs w:val="22"/>
          <w:lang w:val="en-GB"/>
        </w:rPr>
        <w:t xml:space="preserve">in </w:t>
      </w:r>
      <w:r w:rsidR="002E7886" w:rsidRPr="00C244B9">
        <w:rPr>
          <w:sz w:val="22"/>
          <w:szCs w:val="22"/>
          <w:lang w:val="en-GB"/>
        </w:rPr>
        <w:t>mobile phones</w:t>
      </w:r>
      <w:r w:rsidR="00D73D22" w:rsidRPr="00C244B9">
        <w:rPr>
          <w:sz w:val="22"/>
          <w:szCs w:val="22"/>
          <w:lang w:val="en-GB"/>
        </w:rPr>
        <w:t>. E</w:t>
      </w:r>
      <w:r w:rsidR="00ED45F4" w:rsidRPr="00C244B9">
        <w:rPr>
          <w:sz w:val="22"/>
          <w:szCs w:val="22"/>
          <w:lang w:val="en-GB"/>
        </w:rPr>
        <w:t>E MNE</w:t>
      </w:r>
      <w:r w:rsidR="00D73D22" w:rsidRPr="00C244B9">
        <w:rPr>
          <w:sz w:val="22"/>
          <w:szCs w:val="22"/>
          <w:lang w:val="en-GB"/>
        </w:rPr>
        <w:t xml:space="preserve">s have also been buying Western brands and competing in developed markets; for </w:t>
      </w:r>
      <w:r w:rsidR="000D50AD" w:rsidRPr="00C244B9">
        <w:rPr>
          <w:sz w:val="22"/>
          <w:szCs w:val="22"/>
          <w:lang w:val="en-GB"/>
        </w:rPr>
        <w:t>example,</w:t>
      </w:r>
      <w:r w:rsidR="00D73D22" w:rsidRPr="00C244B9">
        <w:rPr>
          <w:sz w:val="22"/>
          <w:szCs w:val="22"/>
          <w:lang w:val="en-GB"/>
        </w:rPr>
        <w:t xml:space="preserve"> </w:t>
      </w:r>
      <w:r w:rsidR="00523FF1" w:rsidRPr="00C244B9">
        <w:rPr>
          <w:sz w:val="22"/>
          <w:szCs w:val="22"/>
          <w:lang w:val="en-GB"/>
        </w:rPr>
        <w:t>India</w:t>
      </w:r>
      <w:r w:rsidR="000E740F" w:rsidRPr="00C244B9">
        <w:rPr>
          <w:sz w:val="22"/>
          <w:szCs w:val="22"/>
          <w:lang w:val="en-GB"/>
        </w:rPr>
        <w:t>n</w:t>
      </w:r>
      <w:r w:rsidR="00523FF1" w:rsidRPr="00C244B9">
        <w:rPr>
          <w:sz w:val="22"/>
          <w:szCs w:val="22"/>
          <w:lang w:val="en-GB"/>
        </w:rPr>
        <w:t xml:space="preserve"> Tata (</w:t>
      </w:r>
      <w:r w:rsidR="00D73D22" w:rsidRPr="00C244B9">
        <w:rPr>
          <w:sz w:val="22"/>
          <w:szCs w:val="22"/>
          <w:lang w:val="en-GB"/>
        </w:rPr>
        <w:t xml:space="preserve">Jaguar </w:t>
      </w:r>
      <w:r w:rsidR="00523FF1" w:rsidRPr="00C244B9">
        <w:rPr>
          <w:sz w:val="22"/>
          <w:szCs w:val="22"/>
          <w:lang w:val="en-GB"/>
        </w:rPr>
        <w:t>Land Rover</w:t>
      </w:r>
      <w:r w:rsidR="00ED45F4" w:rsidRPr="00C244B9">
        <w:rPr>
          <w:sz w:val="22"/>
          <w:szCs w:val="22"/>
          <w:lang w:val="en-GB"/>
        </w:rPr>
        <w:t xml:space="preserve">, </w:t>
      </w:r>
      <w:r w:rsidR="00523FF1" w:rsidRPr="00C244B9">
        <w:rPr>
          <w:sz w:val="22"/>
          <w:szCs w:val="22"/>
          <w:lang w:val="en-GB"/>
        </w:rPr>
        <w:t>Tetley Tea</w:t>
      </w:r>
      <w:r w:rsidR="00D2772D" w:rsidRPr="00C244B9">
        <w:rPr>
          <w:sz w:val="22"/>
          <w:szCs w:val="22"/>
          <w:lang w:val="en-GB"/>
        </w:rPr>
        <w:t>)</w:t>
      </w:r>
      <w:r w:rsidR="00D73D22" w:rsidRPr="00C244B9">
        <w:rPr>
          <w:sz w:val="22"/>
          <w:szCs w:val="22"/>
          <w:lang w:val="en-GB"/>
        </w:rPr>
        <w:t xml:space="preserve">; </w:t>
      </w:r>
      <w:r w:rsidR="00523FF1" w:rsidRPr="00C244B9">
        <w:rPr>
          <w:sz w:val="22"/>
          <w:szCs w:val="22"/>
          <w:lang w:val="en-GB"/>
        </w:rPr>
        <w:t xml:space="preserve">Chinese </w:t>
      </w:r>
      <w:r w:rsidR="00E67234">
        <w:rPr>
          <w:sz w:val="22"/>
          <w:szCs w:val="22"/>
          <w:lang w:val="en-GB"/>
        </w:rPr>
        <w:t>Geely in cars (London Taxi, Volvo, Lotus)</w:t>
      </w:r>
      <w:r w:rsidR="00523FF1" w:rsidRPr="00C244B9">
        <w:rPr>
          <w:sz w:val="22"/>
          <w:szCs w:val="22"/>
          <w:lang w:val="en-GB"/>
        </w:rPr>
        <w:t xml:space="preserve"> </w:t>
      </w:r>
      <w:r w:rsidR="00D2772D" w:rsidRPr="00C244B9">
        <w:rPr>
          <w:sz w:val="22"/>
          <w:szCs w:val="22"/>
          <w:lang w:val="en-GB"/>
        </w:rPr>
        <w:t xml:space="preserve">and </w:t>
      </w:r>
      <w:r w:rsidR="00523FF1" w:rsidRPr="00C244B9">
        <w:rPr>
          <w:sz w:val="22"/>
          <w:szCs w:val="22"/>
          <w:lang w:val="en-GB"/>
        </w:rPr>
        <w:t xml:space="preserve">Turkish Ulker </w:t>
      </w:r>
      <w:r w:rsidR="00D2772D" w:rsidRPr="00C244B9">
        <w:rPr>
          <w:sz w:val="22"/>
          <w:szCs w:val="22"/>
          <w:lang w:val="en-GB"/>
        </w:rPr>
        <w:t>in confectionary</w:t>
      </w:r>
      <w:r w:rsidR="00523FF1" w:rsidRPr="00C244B9">
        <w:rPr>
          <w:sz w:val="22"/>
          <w:szCs w:val="22"/>
          <w:lang w:val="en-GB"/>
        </w:rPr>
        <w:t xml:space="preserve"> (Godiva</w:t>
      </w:r>
      <w:r w:rsidR="00ED45F4" w:rsidRPr="00C244B9">
        <w:rPr>
          <w:sz w:val="22"/>
          <w:szCs w:val="22"/>
          <w:lang w:val="en-GB"/>
        </w:rPr>
        <w:t>, United Biscuits</w:t>
      </w:r>
      <w:r w:rsidR="00523FF1" w:rsidRPr="00C244B9">
        <w:rPr>
          <w:sz w:val="22"/>
          <w:szCs w:val="22"/>
          <w:lang w:val="en-GB"/>
        </w:rPr>
        <w:t>)</w:t>
      </w:r>
      <w:r w:rsidR="00D2772D" w:rsidRPr="00C244B9">
        <w:rPr>
          <w:sz w:val="22"/>
          <w:szCs w:val="22"/>
          <w:lang w:val="en-GB"/>
        </w:rPr>
        <w:t xml:space="preserve">.  </w:t>
      </w:r>
      <w:r w:rsidR="00FE7D64" w:rsidRPr="00C244B9">
        <w:rPr>
          <w:sz w:val="22"/>
          <w:szCs w:val="22"/>
          <w:lang w:val="en-GB"/>
        </w:rPr>
        <w:t xml:space="preserve">However, AE firms for the most part remain somewhat complacent about their ability to </w:t>
      </w:r>
      <w:r w:rsidR="00FE1A48" w:rsidRPr="00C244B9">
        <w:rPr>
          <w:sz w:val="22"/>
          <w:szCs w:val="22"/>
          <w:lang w:val="en-GB"/>
        </w:rPr>
        <w:t xml:space="preserve">counteract </w:t>
      </w:r>
      <w:r w:rsidR="00FE7D64" w:rsidRPr="00C244B9">
        <w:rPr>
          <w:sz w:val="22"/>
          <w:szCs w:val="22"/>
          <w:lang w:val="en-GB"/>
        </w:rPr>
        <w:t xml:space="preserve">threats from these new competitors (Khanna </w:t>
      </w:r>
      <w:r w:rsidR="00D5322B" w:rsidRPr="00C244B9">
        <w:rPr>
          <w:sz w:val="22"/>
          <w:szCs w:val="22"/>
          <w:lang w:val="en-GB"/>
        </w:rPr>
        <w:t xml:space="preserve">&amp; </w:t>
      </w:r>
      <w:r w:rsidR="00FE7D64" w:rsidRPr="00C244B9">
        <w:rPr>
          <w:sz w:val="22"/>
          <w:szCs w:val="22"/>
          <w:lang w:val="en-GB"/>
        </w:rPr>
        <w:t>Palepu, 2010), perhaps because they view these new entrants as niche players without global strategy (Guill</w:t>
      </w:r>
      <w:r w:rsidR="0042579F" w:rsidRPr="00C244B9">
        <w:rPr>
          <w:sz w:val="22"/>
          <w:szCs w:val="22"/>
          <w:lang w:val="en-GB"/>
        </w:rPr>
        <w:t>é</w:t>
      </w:r>
      <w:r w:rsidR="00FE7D64" w:rsidRPr="00C244B9">
        <w:rPr>
          <w:sz w:val="22"/>
          <w:szCs w:val="22"/>
          <w:lang w:val="en-GB"/>
        </w:rPr>
        <w:t xml:space="preserve">n </w:t>
      </w:r>
      <w:r w:rsidR="00D5322B" w:rsidRPr="00C244B9">
        <w:rPr>
          <w:sz w:val="22"/>
          <w:szCs w:val="22"/>
          <w:lang w:val="en-GB"/>
        </w:rPr>
        <w:t xml:space="preserve">&amp; </w:t>
      </w:r>
      <w:r w:rsidR="00FE7D64" w:rsidRPr="00C244B9">
        <w:rPr>
          <w:sz w:val="22"/>
          <w:szCs w:val="22"/>
          <w:lang w:val="en-GB"/>
        </w:rPr>
        <w:t xml:space="preserve">Garcia-Canal, 2013).    </w:t>
      </w:r>
      <w:r w:rsidR="00D73D22" w:rsidRPr="00C244B9">
        <w:rPr>
          <w:sz w:val="22"/>
          <w:szCs w:val="22"/>
          <w:lang w:val="en-GB"/>
        </w:rPr>
        <w:t xml:space="preserve"> </w:t>
      </w:r>
      <w:r w:rsidRPr="00C244B9">
        <w:rPr>
          <w:sz w:val="22"/>
          <w:szCs w:val="22"/>
          <w:lang w:val="en-GB"/>
        </w:rPr>
        <w:t xml:space="preserve"> </w:t>
      </w:r>
    </w:p>
    <w:p w14:paraId="6A8DA249" w14:textId="124448C9" w:rsidR="009B5E49" w:rsidRPr="00C244B9" w:rsidRDefault="000E740F" w:rsidP="00182DA9">
      <w:pPr>
        <w:spacing w:line="480" w:lineRule="auto"/>
        <w:ind w:firstLine="284"/>
        <w:rPr>
          <w:sz w:val="22"/>
          <w:szCs w:val="22"/>
          <w:lang w:val="en-GB"/>
        </w:rPr>
      </w:pPr>
      <w:r w:rsidRPr="00C244B9">
        <w:rPr>
          <w:sz w:val="22"/>
          <w:szCs w:val="22"/>
          <w:lang w:val="en-GB"/>
        </w:rPr>
        <w:t>O</w:t>
      </w:r>
      <w:r w:rsidR="00FE7D64" w:rsidRPr="00C244B9">
        <w:rPr>
          <w:sz w:val="22"/>
          <w:szCs w:val="22"/>
          <w:lang w:val="en-GB"/>
        </w:rPr>
        <w:t>ur research warns against complacency on this score. O</w:t>
      </w:r>
      <w:r w:rsidR="009B5E49" w:rsidRPr="00C244B9">
        <w:rPr>
          <w:sz w:val="22"/>
          <w:szCs w:val="22"/>
          <w:lang w:val="en-GB"/>
        </w:rPr>
        <w:t>ur theoretical framework suggests that differences</w:t>
      </w:r>
      <w:r w:rsidR="00FE7D64" w:rsidRPr="00C244B9">
        <w:rPr>
          <w:sz w:val="22"/>
          <w:szCs w:val="22"/>
          <w:lang w:val="en-GB"/>
        </w:rPr>
        <w:t xml:space="preserve"> between AE and EE MNEs in</w:t>
      </w:r>
      <w:r w:rsidR="009B5E49" w:rsidRPr="00C244B9">
        <w:rPr>
          <w:sz w:val="22"/>
          <w:szCs w:val="22"/>
          <w:lang w:val="en-GB"/>
        </w:rPr>
        <w:t xml:space="preserve"> </w:t>
      </w:r>
      <w:r w:rsidR="00FE7D64" w:rsidRPr="00C244B9">
        <w:rPr>
          <w:sz w:val="22"/>
          <w:szCs w:val="22"/>
          <w:lang w:val="en-GB"/>
        </w:rPr>
        <w:t xml:space="preserve">terms of </w:t>
      </w:r>
      <w:r w:rsidR="009B5E49" w:rsidRPr="00C244B9">
        <w:rPr>
          <w:sz w:val="22"/>
          <w:szCs w:val="22"/>
          <w:lang w:val="en-GB"/>
        </w:rPr>
        <w:t xml:space="preserve">their international investment </w:t>
      </w:r>
      <w:r w:rsidR="00ED45F4" w:rsidRPr="00C244B9">
        <w:rPr>
          <w:sz w:val="22"/>
          <w:szCs w:val="22"/>
          <w:lang w:val="en-GB"/>
        </w:rPr>
        <w:t xml:space="preserve">strategies </w:t>
      </w:r>
      <w:r w:rsidR="00FE7D64" w:rsidRPr="00C244B9">
        <w:rPr>
          <w:sz w:val="22"/>
          <w:szCs w:val="22"/>
          <w:lang w:val="en-GB"/>
        </w:rPr>
        <w:t xml:space="preserve">will </w:t>
      </w:r>
      <w:r w:rsidR="009B5E49" w:rsidRPr="00C244B9">
        <w:rPr>
          <w:sz w:val="22"/>
          <w:szCs w:val="22"/>
          <w:lang w:val="en-GB"/>
        </w:rPr>
        <w:t>gradually diminish as EE MNEs build</w:t>
      </w:r>
      <w:r w:rsidR="00593468" w:rsidRPr="00C244B9">
        <w:rPr>
          <w:sz w:val="22"/>
          <w:szCs w:val="22"/>
          <w:lang w:val="en-GB"/>
        </w:rPr>
        <w:t xml:space="preserve"> resource munificence in their home business environments and from this</w:t>
      </w:r>
      <w:r w:rsidR="002E7886" w:rsidRPr="00C244B9">
        <w:rPr>
          <w:sz w:val="22"/>
          <w:szCs w:val="22"/>
          <w:lang w:val="en-GB"/>
        </w:rPr>
        <w:t xml:space="preserve"> </w:t>
      </w:r>
      <w:r w:rsidR="00593468" w:rsidRPr="00C244B9">
        <w:rPr>
          <w:sz w:val="22"/>
          <w:szCs w:val="22"/>
          <w:lang w:val="en-GB"/>
        </w:rPr>
        <w:t>develop capabilities</w:t>
      </w:r>
      <w:r w:rsidR="00FE7D64" w:rsidRPr="00C244B9">
        <w:rPr>
          <w:sz w:val="22"/>
          <w:szCs w:val="22"/>
          <w:lang w:val="en-GB"/>
        </w:rPr>
        <w:t xml:space="preserve"> and skills </w:t>
      </w:r>
      <w:r w:rsidR="00593468" w:rsidRPr="00C244B9">
        <w:rPr>
          <w:sz w:val="22"/>
          <w:szCs w:val="22"/>
          <w:lang w:val="en-GB"/>
        </w:rPr>
        <w:t xml:space="preserve">in internationalisation. </w:t>
      </w:r>
      <w:r w:rsidR="00C77592" w:rsidRPr="00C244B9">
        <w:rPr>
          <w:sz w:val="22"/>
          <w:szCs w:val="22"/>
          <w:lang w:val="en-GB"/>
        </w:rPr>
        <w:t xml:space="preserve">We </w:t>
      </w:r>
      <w:r w:rsidRPr="00C244B9">
        <w:rPr>
          <w:sz w:val="22"/>
          <w:szCs w:val="22"/>
          <w:lang w:val="en-GB"/>
        </w:rPr>
        <w:t xml:space="preserve">argue </w:t>
      </w:r>
      <w:r w:rsidR="00C77592" w:rsidRPr="00C244B9">
        <w:rPr>
          <w:sz w:val="22"/>
          <w:szCs w:val="22"/>
          <w:lang w:val="en-GB"/>
        </w:rPr>
        <w:t>that current</w:t>
      </w:r>
      <w:r w:rsidR="00ED45F4" w:rsidRPr="00C244B9">
        <w:rPr>
          <w:sz w:val="22"/>
          <w:szCs w:val="22"/>
          <w:lang w:val="en-GB"/>
        </w:rPr>
        <w:t>ly</w:t>
      </w:r>
      <w:r w:rsidR="00C77592" w:rsidRPr="00C244B9">
        <w:rPr>
          <w:sz w:val="22"/>
          <w:szCs w:val="22"/>
          <w:lang w:val="en-GB"/>
        </w:rPr>
        <w:t xml:space="preserve"> observed differences in strategies and behavior </w:t>
      </w:r>
      <w:r w:rsidR="00ED45F4" w:rsidRPr="00C244B9">
        <w:rPr>
          <w:sz w:val="22"/>
          <w:szCs w:val="22"/>
          <w:lang w:val="en-GB"/>
        </w:rPr>
        <w:lastRenderedPageBreak/>
        <w:t xml:space="preserve">arise </w:t>
      </w:r>
      <w:r w:rsidR="00C77592" w:rsidRPr="00C244B9">
        <w:rPr>
          <w:sz w:val="22"/>
          <w:szCs w:val="22"/>
          <w:lang w:val="en-GB"/>
        </w:rPr>
        <w:t>primarily from differences in</w:t>
      </w:r>
      <w:r w:rsidR="00593468" w:rsidRPr="00C244B9">
        <w:rPr>
          <w:sz w:val="22"/>
          <w:szCs w:val="22"/>
          <w:lang w:val="en-GB"/>
        </w:rPr>
        <w:t xml:space="preserve"> home country resource </w:t>
      </w:r>
      <w:r w:rsidR="00A564C7" w:rsidRPr="00C244B9">
        <w:rPr>
          <w:sz w:val="22"/>
          <w:szCs w:val="22"/>
          <w:lang w:val="en-GB"/>
        </w:rPr>
        <w:t>munificence</w:t>
      </w:r>
      <w:r w:rsidR="00523FF1" w:rsidRPr="00C244B9">
        <w:rPr>
          <w:sz w:val="22"/>
          <w:szCs w:val="22"/>
          <w:lang w:val="en-GB"/>
        </w:rPr>
        <w:t xml:space="preserve">. Consequently, we predict </w:t>
      </w:r>
      <w:r w:rsidR="00C77592" w:rsidRPr="00C244B9">
        <w:rPr>
          <w:sz w:val="22"/>
          <w:szCs w:val="22"/>
          <w:lang w:val="en-GB"/>
        </w:rPr>
        <w:t xml:space="preserve">that these </w:t>
      </w:r>
      <w:r w:rsidR="00523FF1" w:rsidRPr="00C244B9">
        <w:rPr>
          <w:sz w:val="22"/>
          <w:szCs w:val="22"/>
          <w:lang w:val="en-GB"/>
        </w:rPr>
        <w:t xml:space="preserve">differences </w:t>
      </w:r>
      <w:r w:rsidR="00C77592" w:rsidRPr="00C244B9">
        <w:rPr>
          <w:sz w:val="22"/>
          <w:szCs w:val="22"/>
          <w:lang w:val="en-GB"/>
        </w:rPr>
        <w:t xml:space="preserve">will </w:t>
      </w:r>
      <w:r w:rsidRPr="00C244B9">
        <w:rPr>
          <w:sz w:val="22"/>
          <w:szCs w:val="22"/>
          <w:lang w:val="en-GB"/>
        </w:rPr>
        <w:t>diminish</w:t>
      </w:r>
      <w:r w:rsidR="00C77592" w:rsidRPr="00C244B9">
        <w:rPr>
          <w:sz w:val="22"/>
          <w:szCs w:val="22"/>
          <w:lang w:val="en-GB"/>
        </w:rPr>
        <w:t xml:space="preserve"> as EE</w:t>
      </w:r>
      <w:r w:rsidR="00744FF7">
        <w:rPr>
          <w:sz w:val="22"/>
          <w:szCs w:val="22"/>
          <w:lang w:val="en-GB"/>
        </w:rPr>
        <w:t>s</w:t>
      </w:r>
      <w:r w:rsidR="00C77592" w:rsidRPr="00C244B9">
        <w:rPr>
          <w:sz w:val="22"/>
          <w:szCs w:val="22"/>
          <w:lang w:val="en-GB"/>
        </w:rPr>
        <w:t xml:space="preserve"> become more</w:t>
      </w:r>
      <w:r w:rsidR="00593468" w:rsidRPr="00C244B9">
        <w:rPr>
          <w:sz w:val="22"/>
          <w:szCs w:val="22"/>
          <w:lang w:val="en-GB"/>
        </w:rPr>
        <w:t xml:space="preserve"> advanced</w:t>
      </w:r>
      <w:r w:rsidR="00C77592" w:rsidRPr="00C244B9">
        <w:rPr>
          <w:sz w:val="22"/>
          <w:szCs w:val="22"/>
          <w:lang w:val="en-GB"/>
        </w:rPr>
        <w:t>. Hence, AE MNEs will face ever increasingly competitive environments</w:t>
      </w:r>
      <w:r w:rsidR="00593468" w:rsidRPr="00C244B9">
        <w:rPr>
          <w:sz w:val="22"/>
          <w:szCs w:val="22"/>
          <w:lang w:val="en-GB"/>
        </w:rPr>
        <w:t xml:space="preserve"> at home or in similar economies</w:t>
      </w:r>
      <w:r w:rsidR="00C77592" w:rsidRPr="00C244B9">
        <w:rPr>
          <w:sz w:val="22"/>
          <w:szCs w:val="22"/>
          <w:lang w:val="en-GB"/>
        </w:rPr>
        <w:t xml:space="preserve"> and need to address in their strategizing the disruptive effect</w:t>
      </w:r>
      <w:r w:rsidR="00D5322B" w:rsidRPr="00C244B9">
        <w:rPr>
          <w:sz w:val="22"/>
          <w:szCs w:val="22"/>
          <w:lang w:val="en-GB"/>
        </w:rPr>
        <w:t xml:space="preserve">s of </w:t>
      </w:r>
      <w:r w:rsidR="00C77592" w:rsidRPr="00C244B9">
        <w:rPr>
          <w:sz w:val="22"/>
          <w:szCs w:val="22"/>
          <w:lang w:val="en-GB"/>
        </w:rPr>
        <w:t xml:space="preserve">new competitors from </w:t>
      </w:r>
      <w:r w:rsidR="002E7886" w:rsidRPr="00C244B9">
        <w:rPr>
          <w:sz w:val="22"/>
          <w:szCs w:val="22"/>
          <w:lang w:val="en-GB"/>
        </w:rPr>
        <w:t>EE</w:t>
      </w:r>
      <w:r w:rsidR="00C77592" w:rsidRPr="00C244B9">
        <w:rPr>
          <w:sz w:val="22"/>
          <w:szCs w:val="22"/>
          <w:lang w:val="en-GB"/>
        </w:rPr>
        <w:t>s.</w:t>
      </w:r>
    </w:p>
    <w:p w14:paraId="5697C507" w14:textId="3C38C017" w:rsidR="00632C67" w:rsidRPr="00C244B9" w:rsidRDefault="009B5E49" w:rsidP="00182DA9">
      <w:pPr>
        <w:spacing w:line="480" w:lineRule="auto"/>
        <w:ind w:firstLine="284"/>
        <w:rPr>
          <w:sz w:val="22"/>
          <w:szCs w:val="22"/>
          <w:lang w:val="en-GB"/>
        </w:rPr>
      </w:pPr>
      <w:r w:rsidRPr="00C244B9">
        <w:rPr>
          <w:sz w:val="22"/>
          <w:szCs w:val="22"/>
          <w:lang w:val="en-GB"/>
        </w:rPr>
        <w:t>Second, for EE MNE managers the main implication is to be clear about their own limitations</w:t>
      </w:r>
      <w:r w:rsidR="00757BE2" w:rsidRPr="00C244B9">
        <w:rPr>
          <w:sz w:val="22"/>
          <w:szCs w:val="22"/>
          <w:lang w:val="en-GB"/>
        </w:rPr>
        <w:t>. S</w:t>
      </w:r>
      <w:r w:rsidRPr="00C244B9">
        <w:rPr>
          <w:sz w:val="22"/>
          <w:szCs w:val="22"/>
          <w:lang w:val="en-GB"/>
        </w:rPr>
        <w:t>pecifically</w:t>
      </w:r>
      <w:r w:rsidR="00757BE2" w:rsidRPr="00C244B9">
        <w:rPr>
          <w:sz w:val="22"/>
          <w:szCs w:val="22"/>
          <w:lang w:val="en-GB"/>
        </w:rPr>
        <w:t>,</w:t>
      </w:r>
      <w:r w:rsidRPr="00C244B9">
        <w:rPr>
          <w:sz w:val="22"/>
          <w:szCs w:val="22"/>
          <w:lang w:val="en-GB"/>
        </w:rPr>
        <w:t xml:space="preserve"> the</w:t>
      </w:r>
      <w:r w:rsidR="00757BE2" w:rsidRPr="00C244B9">
        <w:rPr>
          <w:sz w:val="22"/>
          <w:szCs w:val="22"/>
          <w:lang w:val="en-GB"/>
        </w:rPr>
        <w:t>y</w:t>
      </w:r>
      <w:r w:rsidRPr="00C244B9">
        <w:rPr>
          <w:sz w:val="22"/>
          <w:szCs w:val="22"/>
          <w:lang w:val="en-GB"/>
        </w:rPr>
        <w:t xml:space="preserve"> </w:t>
      </w:r>
      <w:r w:rsidR="00744FF7">
        <w:rPr>
          <w:sz w:val="22"/>
          <w:szCs w:val="22"/>
          <w:lang w:val="en-GB"/>
        </w:rPr>
        <w:t xml:space="preserve">likely </w:t>
      </w:r>
      <w:r w:rsidR="00593468" w:rsidRPr="00C244B9">
        <w:rPr>
          <w:sz w:val="22"/>
          <w:szCs w:val="22"/>
          <w:lang w:val="en-GB"/>
        </w:rPr>
        <w:t xml:space="preserve">are limited by the </w:t>
      </w:r>
      <w:r w:rsidR="00C77592" w:rsidRPr="00C244B9">
        <w:rPr>
          <w:sz w:val="22"/>
          <w:szCs w:val="22"/>
          <w:lang w:val="en-GB"/>
        </w:rPr>
        <w:t xml:space="preserve">quality and availability </w:t>
      </w:r>
      <w:r w:rsidRPr="00C244B9">
        <w:rPr>
          <w:sz w:val="22"/>
          <w:szCs w:val="22"/>
          <w:lang w:val="en-GB"/>
        </w:rPr>
        <w:t xml:space="preserve">of the resources they can draw upon in their home </w:t>
      </w:r>
      <w:r w:rsidR="00593468" w:rsidRPr="00C244B9">
        <w:rPr>
          <w:sz w:val="22"/>
          <w:szCs w:val="22"/>
          <w:lang w:val="en-GB"/>
        </w:rPr>
        <w:t>business ecosystem</w:t>
      </w:r>
      <w:r w:rsidR="00C77592" w:rsidRPr="00C244B9">
        <w:rPr>
          <w:sz w:val="22"/>
          <w:szCs w:val="22"/>
          <w:lang w:val="en-GB"/>
        </w:rPr>
        <w:t xml:space="preserve">. Our </w:t>
      </w:r>
      <w:r w:rsidR="00D5322B" w:rsidRPr="00C244B9">
        <w:rPr>
          <w:sz w:val="22"/>
          <w:szCs w:val="22"/>
          <w:lang w:val="en-GB"/>
        </w:rPr>
        <w:t xml:space="preserve">theoretical arguments </w:t>
      </w:r>
      <w:r w:rsidR="00C77592" w:rsidRPr="00C244B9">
        <w:rPr>
          <w:sz w:val="22"/>
          <w:szCs w:val="22"/>
          <w:lang w:val="en-GB"/>
        </w:rPr>
        <w:t xml:space="preserve">suggest that managers should </w:t>
      </w:r>
      <w:r w:rsidR="000E2BAF" w:rsidRPr="00C244B9">
        <w:rPr>
          <w:sz w:val="22"/>
          <w:szCs w:val="22"/>
          <w:lang w:val="en-GB"/>
        </w:rPr>
        <w:t xml:space="preserve">develop </w:t>
      </w:r>
      <w:r w:rsidRPr="00C244B9">
        <w:rPr>
          <w:sz w:val="22"/>
          <w:szCs w:val="22"/>
          <w:lang w:val="en-GB"/>
        </w:rPr>
        <w:t>their strategies</w:t>
      </w:r>
      <w:r w:rsidR="00C77592" w:rsidRPr="00C244B9">
        <w:rPr>
          <w:sz w:val="22"/>
          <w:szCs w:val="22"/>
          <w:lang w:val="en-GB"/>
        </w:rPr>
        <w:t xml:space="preserve"> for internationalization</w:t>
      </w:r>
      <w:r w:rsidRPr="00C244B9">
        <w:rPr>
          <w:sz w:val="22"/>
          <w:szCs w:val="22"/>
          <w:lang w:val="en-GB"/>
        </w:rPr>
        <w:t xml:space="preserve"> </w:t>
      </w:r>
      <w:r w:rsidR="00593468" w:rsidRPr="00C244B9">
        <w:rPr>
          <w:sz w:val="22"/>
          <w:szCs w:val="22"/>
          <w:lang w:val="en-GB"/>
        </w:rPr>
        <w:t>with this in mind; t</w:t>
      </w:r>
      <w:r w:rsidR="00C77592" w:rsidRPr="00C244B9">
        <w:rPr>
          <w:sz w:val="22"/>
          <w:szCs w:val="22"/>
          <w:lang w:val="en-GB"/>
        </w:rPr>
        <w:t xml:space="preserve">hey should seek to build resources to </w:t>
      </w:r>
      <w:r w:rsidR="00744FF7">
        <w:rPr>
          <w:sz w:val="22"/>
          <w:szCs w:val="22"/>
          <w:lang w:val="en-GB"/>
        </w:rPr>
        <w:t>overcome</w:t>
      </w:r>
      <w:r w:rsidR="00744FF7" w:rsidRPr="00C244B9">
        <w:rPr>
          <w:sz w:val="22"/>
          <w:szCs w:val="22"/>
          <w:lang w:val="en-GB"/>
        </w:rPr>
        <w:t xml:space="preserve"> </w:t>
      </w:r>
      <w:r w:rsidR="00C77592" w:rsidRPr="00C244B9">
        <w:rPr>
          <w:sz w:val="22"/>
          <w:szCs w:val="22"/>
          <w:lang w:val="en-GB"/>
        </w:rPr>
        <w:t>home country deficiencies</w:t>
      </w:r>
      <w:r w:rsidR="00BD37DD" w:rsidRPr="00C244B9">
        <w:rPr>
          <w:sz w:val="22"/>
          <w:szCs w:val="22"/>
          <w:lang w:val="en-GB"/>
        </w:rPr>
        <w:t>, working</w:t>
      </w:r>
      <w:r w:rsidR="000E2BAF" w:rsidRPr="00C244B9">
        <w:rPr>
          <w:sz w:val="22"/>
          <w:szCs w:val="22"/>
          <w:lang w:val="en-GB"/>
        </w:rPr>
        <w:t xml:space="preserve"> within local ecosystems</w:t>
      </w:r>
      <w:r w:rsidR="00C77592" w:rsidRPr="00C244B9">
        <w:rPr>
          <w:sz w:val="22"/>
          <w:szCs w:val="22"/>
          <w:lang w:val="en-GB"/>
        </w:rPr>
        <w:t>. The</w:t>
      </w:r>
      <w:r w:rsidR="00744FF7">
        <w:rPr>
          <w:sz w:val="22"/>
          <w:szCs w:val="22"/>
          <w:lang w:val="en-GB"/>
        </w:rPr>
        <w:t>y</w:t>
      </w:r>
      <w:r w:rsidR="00C77592" w:rsidRPr="00C244B9">
        <w:rPr>
          <w:sz w:val="22"/>
          <w:szCs w:val="22"/>
          <w:lang w:val="en-GB"/>
        </w:rPr>
        <w:t xml:space="preserve"> should specifically focus</w:t>
      </w:r>
      <w:r w:rsidR="000E740F" w:rsidRPr="00C244B9">
        <w:rPr>
          <w:sz w:val="22"/>
          <w:szCs w:val="22"/>
          <w:lang w:val="en-GB"/>
        </w:rPr>
        <w:t xml:space="preserve"> on </w:t>
      </w:r>
      <w:r w:rsidR="00C77592" w:rsidRPr="00C244B9">
        <w:rPr>
          <w:sz w:val="22"/>
          <w:szCs w:val="22"/>
          <w:lang w:val="en-GB"/>
        </w:rPr>
        <w:t xml:space="preserve">developing absorptive capacity </w:t>
      </w:r>
      <w:r w:rsidR="00744FF7">
        <w:rPr>
          <w:sz w:val="22"/>
          <w:szCs w:val="22"/>
          <w:lang w:val="en-GB"/>
        </w:rPr>
        <w:t>for</w:t>
      </w:r>
      <w:r w:rsidR="00C77592" w:rsidRPr="00C244B9">
        <w:rPr>
          <w:sz w:val="22"/>
          <w:szCs w:val="22"/>
          <w:lang w:val="en-GB"/>
        </w:rPr>
        <w:t xml:space="preserve"> international experiences in order to counter</w:t>
      </w:r>
      <w:r w:rsidR="00632C67" w:rsidRPr="00C244B9">
        <w:rPr>
          <w:sz w:val="22"/>
          <w:szCs w:val="22"/>
          <w:lang w:val="en-GB"/>
        </w:rPr>
        <w:t xml:space="preserve"> the impact of home country immaturity. </w:t>
      </w:r>
      <w:r w:rsidR="00C77592" w:rsidRPr="00C244B9">
        <w:rPr>
          <w:sz w:val="22"/>
          <w:szCs w:val="22"/>
          <w:lang w:val="en-GB"/>
        </w:rPr>
        <w:t xml:space="preserve"> </w:t>
      </w:r>
      <w:r w:rsidR="00E67234">
        <w:rPr>
          <w:sz w:val="22"/>
          <w:szCs w:val="22"/>
          <w:lang w:val="en-GB"/>
        </w:rPr>
        <w:t>A major aspect of this would be a forward looking talent management strategy</w:t>
      </w:r>
      <w:r w:rsidR="000C63E8">
        <w:rPr>
          <w:sz w:val="22"/>
          <w:szCs w:val="22"/>
          <w:lang w:val="en-GB"/>
        </w:rPr>
        <w:t xml:space="preserve"> that addresses future leadership challenges (Meyer &amp; Xin, 2018).</w:t>
      </w:r>
    </w:p>
    <w:p w14:paraId="03CCDD71" w14:textId="1063D2BE" w:rsidR="005C270A" w:rsidRPr="00C244B9" w:rsidRDefault="009B5E49" w:rsidP="00C46F54">
      <w:pPr>
        <w:spacing w:line="480" w:lineRule="auto"/>
        <w:ind w:firstLine="284"/>
        <w:rPr>
          <w:sz w:val="22"/>
          <w:szCs w:val="22"/>
          <w:lang w:val="en-GB"/>
        </w:rPr>
      </w:pPr>
      <w:r w:rsidRPr="00C244B9">
        <w:rPr>
          <w:sz w:val="22"/>
          <w:szCs w:val="22"/>
          <w:lang w:val="en-GB"/>
        </w:rPr>
        <w:t>Third, experience from Japan, Korea, Singapore and others shows that government policy framework</w:t>
      </w:r>
      <w:r w:rsidR="006B3149" w:rsidRPr="00C244B9">
        <w:rPr>
          <w:sz w:val="22"/>
          <w:szCs w:val="22"/>
          <w:lang w:val="en-GB"/>
        </w:rPr>
        <w:t>s</w:t>
      </w:r>
      <w:r w:rsidRPr="00C244B9">
        <w:rPr>
          <w:sz w:val="22"/>
          <w:szCs w:val="22"/>
          <w:lang w:val="en-GB"/>
        </w:rPr>
        <w:t xml:space="preserve"> may play a helpful role in developing</w:t>
      </w:r>
      <w:r w:rsidR="000E2BAF" w:rsidRPr="00C244B9">
        <w:rPr>
          <w:sz w:val="22"/>
          <w:szCs w:val="22"/>
          <w:lang w:val="en-GB"/>
        </w:rPr>
        <w:t xml:space="preserve"> a more munificent business environment </w:t>
      </w:r>
      <w:r w:rsidRPr="00C244B9">
        <w:rPr>
          <w:sz w:val="22"/>
          <w:szCs w:val="22"/>
          <w:lang w:val="en-GB"/>
        </w:rPr>
        <w:t>that eventually support</w:t>
      </w:r>
      <w:r w:rsidR="000E2BAF" w:rsidRPr="00C244B9">
        <w:rPr>
          <w:sz w:val="22"/>
          <w:szCs w:val="22"/>
          <w:lang w:val="en-GB"/>
        </w:rPr>
        <w:t>s</w:t>
      </w:r>
      <w:r w:rsidRPr="00C244B9">
        <w:rPr>
          <w:sz w:val="22"/>
          <w:szCs w:val="22"/>
          <w:lang w:val="en-GB"/>
        </w:rPr>
        <w:t xml:space="preserve"> international competitiveness</w:t>
      </w:r>
      <w:r w:rsidR="004026E5">
        <w:rPr>
          <w:sz w:val="22"/>
          <w:szCs w:val="22"/>
          <w:lang w:val="en-GB"/>
        </w:rPr>
        <w:t xml:space="preserve"> (Wade, 1990)</w:t>
      </w:r>
      <w:r w:rsidR="00632C67" w:rsidRPr="00C244B9">
        <w:rPr>
          <w:sz w:val="22"/>
          <w:szCs w:val="22"/>
          <w:lang w:val="en-GB"/>
        </w:rPr>
        <w:t xml:space="preserve">. In these countries, institutions were put in place to build human capital and organizational capabilities to assist firms in their internationalization process. These might include embassies providing commercial information, facilitating the creation of Chambers of Commerce abroad, </w:t>
      </w:r>
      <w:r w:rsidR="00760BD6" w:rsidRPr="00C244B9">
        <w:rPr>
          <w:sz w:val="22"/>
          <w:szCs w:val="22"/>
          <w:lang w:val="en-GB"/>
        </w:rPr>
        <w:t>or</w:t>
      </w:r>
      <w:r w:rsidR="00632C67" w:rsidRPr="00C244B9">
        <w:rPr>
          <w:sz w:val="22"/>
          <w:szCs w:val="22"/>
          <w:lang w:val="en-GB"/>
        </w:rPr>
        <w:t xml:space="preserve"> building education in areas su</w:t>
      </w:r>
      <w:r w:rsidR="006B3149" w:rsidRPr="00C244B9">
        <w:rPr>
          <w:sz w:val="22"/>
          <w:szCs w:val="22"/>
          <w:lang w:val="en-GB"/>
        </w:rPr>
        <w:t xml:space="preserve">ch as </w:t>
      </w:r>
      <w:r w:rsidR="00760BD6" w:rsidRPr="00C244B9">
        <w:rPr>
          <w:sz w:val="22"/>
          <w:szCs w:val="22"/>
          <w:lang w:val="en-GB"/>
        </w:rPr>
        <w:t xml:space="preserve">foreign </w:t>
      </w:r>
      <w:r w:rsidR="00632C67" w:rsidRPr="00C244B9">
        <w:rPr>
          <w:sz w:val="22"/>
          <w:szCs w:val="22"/>
          <w:lang w:val="en-GB"/>
        </w:rPr>
        <w:t>languages</w:t>
      </w:r>
      <w:r w:rsidR="006B3149" w:rsidRPr="00C244B9">
        <w:rPr>
          <w:sz w:val="22"/>
          <w:szCs w:val="22"/>
          <w:lang w:val="en-GB"/>
        </w:rPr>
        <w:t>, culture studies</w:t>
      </w:r>
      <w:r w:rsidR="00632C67" w:rsidRPr="00C244B9">
        <w:rPr>
          <w:sz w:val="22"/>
          <w:szCs w:val="22"/>
          <w:lang w:val="en-GB"/>
        </w:rPr>
        <w:t xml:space="preserve">, and cross cultural management. </w:t>
      </w:r>
      <w:r w:rsidRPr="00C244B9">
        <w:rPr>
          <w:sz w:val="22"/>
          <w:szCs w:val="22"/>
          <w:lang w:val="en-GB"/>
        </w:rPr>
        <w:t xml:space="preserve"> </w:t>
      </w:r>
    </w:p>
    <w:p w14:paraId="712E0A6F" w14:textId="77777777" w:rsidR="00000990" w:rsidRDefault="00000990" w:rsidP="00C46F54">
      <w:pPr>
        <w:spacing w:line="480" w:lineRule="auto"/>
        <w:ind w:firstLine="284"/>
        <w:rPr>
          <w:lang w:val="en-GB"/>
        </w:rPr>
      </w:pPr>
    </w:p>
    <w:p w14:paraId="53308649" w14:textId="77777777" w:rsidR="00DF7A56" w:rsidRDefault="00DF7A56">
      <w:pPr>
        <w:rPr>
          <w:b/>
          <w:bCs/>
          <w:lang w:val="en-GB"/>
        </w:rPr>
      </w:pPr>
      <w:r>
        <w:rPr>
          <w:b/>
          <w:bCs/>
          <w:lang w:val="en-GB"/>
        </w:rPr>
        <w:br w:type="page"/>
      </w:r>
    </w:p>
    <w:p w14:paraId="4524A162" w14:textId="7CA7FA0C" w:rsidR="00D11FB6" w:rsidRPr="0042579F" w:rsidRDefault="00D11FB6" w:rsidP="00C46F54">
      <w:pPr>
        <w:spacing w:line="480" w:lineRule="auto"/>
        <w:ind w:firstLine="284"/>
        <w:outlineLvl w:val="0"/>
        <w:rPr>
          <w:b/>
          <w:bCs/>
          <w:lang w:val="en-GB"/>
        </w:rPr>
      </w:pPr>
      <w:r w:rsidRPr="0042579F">
        <w:rPr>
          <w:b/>
          <w:bCs/>
          <w:lang w:val="en-GB"/>
        </w:rPr>
        <w:lastRenderedPageBreak/>
        <w:t>REFERENCES</w:t>
      </w:r>
    </w:p>
    <w:p w14:paraId="2EF6FCD7" w14:textId="29F22889" w:rsidR="00DB4A89" w:rsidRDefault="00DB4A89" w:rsidP="00E64112">
      <w:pPr>
        <w:autoSpaceDE w:val="0"/>
        <w:autoSpaceDN w:val="0"/>
        <w:adjustRightInd w:val="0"/>
        <w:spacing w:after="120"/>
        <w:ind w:left="426" w:hanging="426"/>
        <w:rPr>
          <w:sz w:val="22"/>
          <w:szCs w:val="22"/>
          <w:lang w:val="en-GB" w:eastAsia="en-GB"/>
        </w:rPr>
      </w:pPr>
      <w:r>
        <w:rPr>
          <w:sz w:val="22"/>
          <w:szCs w:val="22"/>
          <w:lang w:val="en-GB" w:eastAsia="en-GB"/>
        </w:rPr>
        <w:t xml:space="preserve">Abel, G.J. &amp; Sander, N. (2014). Quantifying global international migration flows, </w:t>
      </w:r>
      <w:r w:rsidRPr="00DB4A89">
        <w:rPr>
          <w:i/>
          <w:sz w:val="22"/>
          <w:szCs w:val="22"/>
          <w:lang w:val="en-GB" w:eastAsia="en-GB"/>
        </w:rPr>
        <w:t>Science</w:t>
      </w:r>
      <w:r>
        <w:rPr>
          <w:sz w:val="22"/>
          <w:szCs w:val="22"/>
          <w:lang w:val="en-GB" w:eastAsia="en-GB"/>
        </w:rPr>
        <w:t>, 343 (6178), 1520-1522.</w:t>
      </w:r>
    </w:p>
    <w:p w14:paraId="295018BA" w14:textId="7C38ED5D" w:rsidR="00E64112" w:rsidRDefault="00E64112" w:rsidP="00E64112">
      <w:pPr>
        <w:autoSpaceDE w:val="0"/>
        <w:autoSpaceDN w:val="0"/>
        <w:adjustRightInd w:val="0"/>
        <w:spacing w:after="120"/>
        <w:ind w:left="426" w:hanging="426"/>
        <w:rPr>
          <w:sz w:val="22"/>
          <w:szCs w:val="22"/>
          <w:lang w:val="en-GB" w:eastAsia="en-GB"/>
        </w:rPr>
      </w:pPr>
      <w:r>
        <w:rPr>
          <w:sz w:val="22"/>
          <w:szCs w:val="22"/>
          <w:lang w:val="en-GB" w:eastAsia="en-GB"/>
        </w:rPr>
        <w:t>Accenture</w:t>
      </w:r>
      <w:r w:rsidR="00ED5BED">
        <w:rPr>
          <w:sz w:val="22"/>
          <w:szCs w:val="22"/>
          <w:lang w:val="en-GB" w:eastAsia="en-GB"/>
        </w:rPr>
        <w:t>.</w:t>
      </w:r>
      <w:r>
        <w:rPr>
          <w:sz w:val="22"/>
          <w:szCs w:val="22"/>
          <w:lang w:val="en-GB" w:eastAsia="en-GB"/>
        </w:rPr>
        <w:t xml:space="preserve"> 2008</w:t>
      </w:r>
      <w:r w:rsidR="00ED5BED">
        <w:rPr>
          <w:sz w:val="22"/>
          <w:szCs w:val="22"/>
          <w:lang w:val="en-GB" w:eastAsia="en-GB"/>
        </w:rPr>
        <w:t>.</w:t>
      </w:r>
      <w:r>
        <w:rPr>
          <w:sz w:val="22"/>
          <w:szCs w:val="22"/>
          <w:lang w:val="en-GB" w:eastAsia="en-GB"/>
        </w:rPr>
        <w:t xml:space="preserve"> </w:t>
      </w:r>
      <w:r w:rsidRPr="00CA792A">
        <w:rPr>
          <w:i/>
          <w:sz w:val="22"/>
          <w:szCs w:val="22"/>
          <w:lang w:val="en-GB" w:eastAsia="en-GB"/>
        </w:rPr>
        <w:t>The Rise of the Emerging-Market</w:t>
      </w:r>
      <w:r w:rsidR="005F4C2F">
        <w:rPr>
          <w:i/>
          <w:sz w:val="22"/>
          <w:szCs w:val="22"/>
          <w:lang w:val="en-GB" w:eastAsia="en-GB"/>
        </w:rPr>
        <w:t xml:space="preserve"> </w:t>
      </w:r>
      <w:r w:rsidRPr="00CA792A">
        <w:rPr>
          <w:i/>
          <w:sz w:val="22"/>
          <w:szCs w:val="22"/>
          <w:lang w:val="en-GB" w:eastAsia="en-GB"/>
        </w:rPr>
        <w:t>Multinationals</w:t>
      </w:r>
      <w:r>
        <w:rPr>
          <w:sz w:val="22"/>
          <w:szCs w:val="22"/>
          <w:lang w:val="en-GB" w:eastAsia="en-GB"/>
        </w:rPr>
        <w:t>: London</w:t>
      </w:r>
      <w:r w:rsidR="00592287">
        <w:rPr>
          <w:sz w:val="22"/>
          <w:szCs w:val="22"/>
          <w:lang w:val="en-GB" w:eastAsia="en-GB"/>
        </w:rPr>
        <w:t>.</w:t>
      </w:r>
    </w:p>
    <w:p w14:paraId="0C5ED3A8" w14:textId="56FAC3D7" w:rsidR="006B3149" w:rsidRDefault="00683602" w:rsidP="005F2D8B">
      <w:pPr>
        <w:autoSpaceDE w:val="0"/>
        <w:autoSpaceDN w:val="0"/>
        <w:adjustRightInd w:val="0"/>
        <w:spacing w:after="120"/>
        <w:ind w:left="426" w:hanging="426"/>
        <w:rPr>
          <w:sz w:val="22"/>
          <w:szCs w:val="22"/>
          <w:lang w:val="en-GB" w:eastAsia="en-GB"/>
        </w:rPr>
      </w:pPr>
      <w:r w:rsidRPr="00683602">
        <w:rPr>
          <w:sz w:val="22"/>
          <w:szCs w:val="22"/>
          <w:lang w:val="en-GB" w:eastAsia="en-GB"/>
        </w:rPr>
        <w:t>Adams, S</w:t>
      </w:r>
      <w:r w:rsidR="007850F0">
        <w:rPr>
          <w:sz w:val="22"/>
          <w:szCs w:val="22"/>
          <w:lang w:val="en-GB" w:eastAsia="en-GB"/>
        </w:rPr>
        <w:t>.</w:t>
      </w:r>
      <w:r w:rsidRPr="00683602">
        <w:rPr>
          <w:sz w:val="22"/>
          <w:szCs w:val="22"/>
          <w:lang w:val="en-GB" w:eastAsia="en-GB"/>
        </w:rPr>
        <w:t xml:space="preserve">, 2010, Intellectual </w:t>
      </w:r>
      <w:r w:rsidR="007850F0">
        <w:rPr>
          <w:sz w:val="22"/>
          <w:szCs w:val="22"/>
          <w:lang w:val="en-GB" w:eastAsia="en-GB"/>
        </w:rPr>
        <w:t>p</w:t>
      </w:r>
      <w:r w:rsidRPr="00683602">
        <w:rPr>
          <w:sz w:val="22"/>
          <w:szCs w:val="22"/>
          <w:lang w:val="en-GB" w:eastAsia="en-GB"/>
        </w:rPr>
        <w:t xml:space="preserve">roperty </w:t>
      </w:r>
      <w:r w:rsidR="007850F0">
        <w:rPr>
          <w:sz w:val="22"/>
          <w:szCs w:val="22"/>
          <w:lang w:val="en-GB" w:eastAsia="en-GB"/>
        </w:rPr>
        <w:t>r</w:t>
      </w:r>
      <w:r w:rsidRPr="00683602">
        <w:rPr>
          <w:sz w:val="22"/>
          <w:szCs w:val="22"/>
          <w:lang w:val="en-GB" w:eastAsia="en-GB"/>
        </w:rPr>
        <w:t xml:space="preserve">ights, </w:t>
      </w:r>
      <w:r w:rsidR="007850F0">
        <w:rPr>
          <w:sz w:val="22"/>
          <w:szCs w:val="22"/>
          <w:lang w:val="en-GB" w:eastAsia="en-GB"/>
        </w:rPr>
        <w:t>i</w:t>
      </w:r>
      <w:r w:rsidRPr="00683602">
        <w:rPr>
          <w:sz w:val="22"/>
          <w:szCs w:val="22"/>
          <w:lang w:val="en-GB" w:eastAsia="en-GB"/>
        </w:rPr>
        <w:t xml:space="preserve">nvestment </w:t>
      </w:r>
      <w:r w:rsidR="007850F0">
        <w:rPr>
          <w:sz w:val="22"/>
          <w:szCs w:val="22"/>
          <w:lang w:val="en-GB" w:eastAsia="en-GB"/>
        </w:rPr>
        <w:t>c</w:t>
      </w:r>
      <w:r w:rsidRPr="00683602">
        <w:rPr>
          <w:sz w:val="22"/>
          <w:szCs w:val="22"/>
          <w:lang w:val="en-GB" w:eastAsia="en-GB"/>
        </w:rPr>
        <w:t>limate and FDI in</w:t>
      </w:r>
      <w:r w:rsidR="007850F0">
        <w:rPr>
          <w:sz w:val="22"/>
          <w:szCs w:val="22"/>
          <w:lang w:val="en-GB" w:eastAsia="en-GB"/>
        </w:rPr>
        <w:t xml:space="preserve"> d</w:t>
      </w:r>
      <w:r w:rsidRPr="00683602">
        <w:rPr>
          <w:sz w:val="22"/>
          <w:szCs w:val="22"/>
          <w:lang w:val="en-GB" w:eastAsia="en-GB"/>
        </w:rPr>
        <w:t xml:space="preserve">eveloping </w:t>
      </w:r>
      <w:r w:rsidR="007850F0">
        <w:rPr>
          <w:sz w:val="22"/>
          <w:szCs w:val="22"/>
          <w:lang w:val="en-GB" w:eastAsia="en-GB"/>
        </w:rPr>
        <w:t>c</w:t>
      </w:r>
      <w:r w:rsidRPr="00683602">
        <w:rPr>
          <w:sz w:val="22"/>
          <w:szCs w:val="22"/>
          <w:lang w:val="en-GB" w:eastAsia="en-GB"/>
        </w:rPr>
        <w:t xml:space="preserve">ountries, </w:t>
      </w:r>
      <w:r w:rsidRPr="00683602">
        <w:rPr>
          <w:i/>
          <w:sz w:val="22"/>
          <w:szCs w:val="22"/>
          <w:lang w:val="en-GB" w:eastAsia="en-GB"/>
        </w:rPr>
        <w:t>International Business Research</w:t>
      </w:r>
      <w:r w:rsidRPr="00683602">
        <w:rPr>
          <w:sz w:val="22"/>
          <w:szCs w:val="22"/>
          <w:lang w:val="en-GB" w:eastAsia="en-GB"/>
        </w:rPr>
        <w:t>, 3(3), 2001-9.</w:t>
      </w:r>
    </w:p>
    <w:p w14:paraId="00D14F2C" w14:textId="1A879159" w:rsidR="00D765CD" w:rsidRDefault="00D765CD" w:rsidP="005F2D8B">
      <w:pPr>
        <w:autoSpaceDE w:val="0"/>
        <w:autoSpaceDN w:val="0"/>
        <w:adjustRightInd w:val="0"/>
        <w:spacing w:after="120"/>
        <w:ind w:left="426" w:hanging="426"/>
        <w:rPr>
          <w:sz w:val="22"/>
          <w:szCs w:val="22"/>
          <w:lang w:val="en-GB" w:eastAsia="en-GB"/>
        </w:rPr>
      </w:pPr>
      <w:r w:rsidRPr="00D765CD">
        <w:rPr>
          <w:sz w:val="22"/>
          <w:szCs w:val="22"/>
          <w:lang w:val="en-GB" w:eastAsia="en-GB"/>
        </w:rPr>
        <w:t>Alcácer</w:t>
      </w:r>
      <w:r w:rsidR="00784E13">
        <w:rPr>
          <w:sz w:val="22"/>
          <w:szCs w:val="22"/>
          <w:lang w:val="en-GB" w:eastAsia="en-GB"/>
        </w:rPr>
        <w:t>,</w:t>
      </w:r>
      <w:r>
        <w:rPr>
          <w:sz w:val="22"/>
          <w:szCs w:val="22"/>
          <w:lang w:val="en-GB" w:eastAsia="en-GB"/>
        </w:rPr>
        <w:t xml:space="preserve"> J</w:t>
      </w:r>
      <w:r w:rsidR="00784E13">
        <w:rPr>
          <w:sz w:val="22"/>
          <w:szCs w:val="22"/>
          <w:lang w:val="en-GB" w:eastAsia="en-GB"/>
        </w:rPr>
        <w:t>.</w:t>
      </w:r>
      <w:r>
        <w:rPr>
          <w:sz w:val="22"/>
          <w:szCs w:val="22"/>
          <w:lang w:val="en-GB" w:eastAsia="en-GB"/>
        </w:rPr>
        <w:t>,</w:t>
      </w:r>
      <w:r w:rsidRPr="00D765CD">
        <w:rPr>
          <w:sz w:val="22"/>
          <w:szCs w:val="22"/>
          <w:lang w:val="en-GB" w:eastAsia="en-GB"/>
        </w:rPr>
        <w:t xml:space="preserve"> </w:t>
      </w:r>
      <w:r w:rsidR="00784E13">
        <w:rPr>
          <w:sz w:val="22"/>
          <w:szCs w:val="22"/>
          <w:lang w:val="en-GB" w:eastAsia="en-GB"/>
        </w:rPr>
        <w:t xml:space="preserve">&amp; </w:t>
      </w:r>
      <w:r>
        <w:rPr>
          <w:sz w:val="22"/>
          <w:szCs w:val="22"/>
          <w:lang w:val="en-GB" w:eastAsia="en-GB"/>
        </w:rPr>
        <w:t>Chung</w:t>
      </w:r>
      <w:r w:rsidR="00784E13">
        <w:rPr>
          <w:sz w:val="22"/>
          <w:szCs w:val="22"/>
          <w:lang w:val="en-GB" w:eastAsia="en-GB"/>
        </w:rPr>
        <w:t>,</w:t>
      </w:r>
      <w:r>
        <w:rPr>
          <w:sz w:val="22"/>
          <w:szCs w:val="22"/>
          <w:lang w:val="en-GB" w:eastAsia="en-GB"/>
        </w:rPr>
        <w:t xml:space="preserve"> W, 2014, Location strategies for agglomeration economics</w:t>
      </w:r>
      <w:r w:rsidR="00236790">
        <w:rPr>
          <w:sz w:val="22"/>
          <w:szCs w:val="22"/>
          <w:lang w:val="en-GB" w:eastAsia="en-GB"/>
        </w:rPr>
        <w:t>.</w:t>
      </w:r>
      <w:r>
        <w:rPr>
          <w:sz w:val="22"/>
          <w:szCs w:val="22"/>
          <w:lang w:val="en-GB" w:eastAsia="en-GB"/>
        </w:rPr>
        <w:t xml:space="preserve"> </w:t>
      </w:r>
      <w:r w:rsidRPr="00D765CD">
        <w:rPr>
          <w:i/>
          <w:sz w:val="22"/>
          <w:szCs w:val="22"/>
          <w:lang w:val="en-GB" w:eastAsia="en-GB"/>
        </w:rPr>
        <w:t>Strategic Management Journal</w:t>
      </w:r>
      <w:r w:rsidR="00236790">
        <w:rPr>
          <w:i/>
          <w:sz w:val="22"/>
          <w:szCs w:val="22"/>
          <w:lang w:val="en-GB" w:eastAsia="en-GB"/>
        </w:rPr>
        <w:t>,</w:t>
      </w:r>
      <w:r>
        <w:rPr>
          <w:sz w:val="22"/>
          <w:szCs w:val="22"/>
          <w:lang w:val="en-GB" w:eastAsia="en-GB"/>
        </w:rPr>
        <w:t xml:space="preserve"> 35</w:t>
      </w:r>
      <w:r w:rsidR="00EA706D">
        <w:rPr>
          <w:sz w:val="22"/>
          <w:szCs w:val="22"/>
          <w:lang w:val="en-GB" w:eastAsia="en-GB"/>
        </w:rPr>
        <w:t>(12):</w:t>
      </w:r>
      <w:r>
        <w:rPr>
          <w:sz w:val="22"/>
          <w:szCs w:val="22"/>
          <w:lang w:val="en-GB" w:eastAsia="en-GB"/>
        </w:rPr>
        <w:t xml:space="preserve">1749-1761. </w:t>
      </w:r>
    </w:p>
    <w:p w14:paraId="33EC4EB7" w14:textId="62C47011" w:rsidR="00784E13" w:rsidRDefault="00495209" w:rsidP="005F2D8B">
      <w:pPr>
        <w:autoSpaceDE w:val="0"/>
        <w:autoSpaceDN w:val="0"/>
        <w:adjustRightInd w:val="0"/>
        <w:spacing w:after="120"/>
        <w:ind w:left="426" w:hanging="426"/>
        <w:rPr>
          <w:sz w:val="22"/>
          <w:szCs w:val="22"/>
          <w:lang w:val="en-GB" w:eastAsia="en-GB"/>
        </w:rPr>
      </w:pPr>
      <w:r w:rsidRPr="00495209">
        <w:rPr>
          <w:sz w:val="22"/>
          <w:szCs w:val="22"/>
          <w:lang w:val="en-GB" w:eastAsia="en-GB"/>
        </w:rPr>
        <w:t>Alcácer</w:t>
      </w:r>
      <w:r w:rsidR="00784E13">
        <w:rPr>
          <w:sz w:val="22"/>
          <w:szCs w:val="22"/>
          <w:lang w:val="en-GB" w:eastAsia="en-GB"/>
        </w:rPr>
        <w:t>,</w:t>
      </w:r>
      <w:r w:rsidRPr="00495209">
        <w:rPr>
          <w:sz w:val="22"/>
          <w:szCs w:val="22"/>
          <w:lang w:val="en-GB" w:eastAsia="en-GB"/>
        </w:rPr>
        <w:t xml:space="preserve"> J</w:t>
      </w:r>
      <w:r w:rsidR="00784E13">
        <w:rPr>
          <w:sz w:val="22"/>
          <w:szCs w:val="22"/>
          <w:lang w:val="en-GB" w:eastAsia="en-GB"/>
        </w:rPr>
        <w:t>.</w:t>
      </w:r>
      <w:r w:rsidRPr="00495209">
        <w:rPr>
          <w:sz w:val="22"/>
          <w:szCs w:val="22"/>
          <w:lang w:val="en-GB" w:eastAsia="en-GB"/>
        </w:rPr>
        <w:t>, Denzsö</w:t>
      </w:r>
      <w:r w:rsidR="00784E13">
        <w:rPr>
          <w:sz w:val="22"/>
          <w:szCs w:val="22"/>
          <w:lang w:val="en-GB" w:eastAsia="en-GB"/>
        </w:rPr>
        <w:t>,</w:t>
      </w:r>
      <w:r w:rsidRPr="00495209">
        <w:rPr>
          <w:sz w:val="22"/>
          <w:szCs w:val="22"/>
          <w:lang w:val="en-GB" w:eastAsia="en-GB"/>
        </w:rPr>
        <w:t xml:space="preserve"> C</w:t>
      </w:r>
      <w:r w:rsidR="00784E13">
        <w:rPr>
          <w:sz w:val="22"/>
          <w:szCs w:val="22"/>
          <w:lang w:val="en-GB" w:eastAsia="en-GB"/>
        </w:rPr>
        <w:t>.</w:t>
      </w:r>
      <w:r w:rsidRPr="00495209">
        <w:rPr>
          <w:sz w:val="22"/>
          <w:szCs w:val="22"/>
          <w:lang w:val="en-GB" w:eastAsia="en-GB"/>
        </w:rPr>
        <w:t xml:space="preserve">, </w:t>
      </w:r>
      <w:r w:rsidR="00784E13">
        <w:rPr>
          <w:sz w:val="22"/>
          <w:szCs w:val="22"/>
          <w:lang w:val="en-GB" w:eastAsia="en-GB"/>
        </w:rPr>
        <w:t xml:space="preserve">&amp; </w:t>
      </w:r>
      <w:r w:rsidRPr="00495209">
        <w:rPr>
          <w:sz w:val="22"/>
          <w:szCs w:val="22"/>
          <w:lang w:val="en-GB" w:eastAsia="en-GB"/>
        </w:rPr>
        <w:t>Zhao</w:t>
      </w:r>
      <w:r w:rsidR="00784E13">
        <w:rPr>
          <w:sz w:val="22"/>
          <w:szCs w:val="22"/>
          <w:lang w:val="en-GB" w:eastAsia="en-GB"/>
        </w:rPr>
        <w:t>,</w:t>
      </w:r>
      <w:r w:rsidRPr="00495209">
        <w:rPr>
          <w:sz w:val="22"/>
          <w:szCs w:val="22"/>
          <w:lang w:val="en-GB" w:eastAsia="en-GB"/>
        </w:rPr>
        <w:t xml:space="preserve"> M</w:t>
      </w:r>
      <w:r w:rsidR="00784E13">
        <w:rPr>
          <w:sz w:val="22"/>
          <w:szCs w:val="22"/>
          <w:lang w:val="en-GB" w:eastAsia="en-GB"/>
        </w:rPr>
        <w:t xml:space="preserve">. </w:t>
      </w:r>
      <w:r w:rsidRPr="00495209">
        <w:rPr>
          <w:sz w:val="22"/>
          <w:szCs w:val="22"/>
          <w:lang w:val="en-GB" w:eastAsia="en-GB"/>
        </w:rPr>
        <w:t>Y</w:t>
      </w:r>
      <w:r w:rsidR="00784E13">
        <w:rPr>
          <w:sz w:val="22"/>
          <w:szCs w:val="22"/>
          <w:lang w:val="en-GB" w:eastAsia="en-GB"/>
        </w:rPr>
        <w:t>.</w:t>
      </w:r>
      <w:r w:rsidRPr="00495209">
        <w:rPr>
          <w:sz w:val="22"/>
          <w:szCs w:val="22"/>
          <w:lang w:val="en-GB" w:eastAsia="en-GB"/>
        </w:rPr>
        <w:t xml:space="preserve"> 201</w:t>
      </w:r>
      <w:r>
        <w:rPr>
          <w:sz w:val="22"/>
          <w:szCs w:val="22"/>
          <w:lang w:val="en-GB" w:eastAsia="en-GB"/>
        </w:rPr>
        <w:t>3</w:t>
      </w:r>
      <w:r w:rsidR="00ED5BED">
        <w:rPr>
          <w:sz w:val="22"/>
          <w:szCs w:val="22"/>
          <w:lang w:val="en-GB" w:eastAsia="en-GB"/>
        </w:rPr>
        <w:t>.</w:t>
      </w:r>
      <w:r>
        <w:rPr>
          <w:sz w:val="22"/>
          <w:szCs w:val="22"/>
          <w:lang w:val="en-GB" w:eastAsia="en-GB"/>
        </w:rPr>
        <w:t xml:space="preserve"> </w:t>
      </w:r>
      <w:r w:rsidRPr="00495209">
        <w:rPr>
          <w:sz w:val="22"/>
          <w:szCs w:val="22"/>
          <w:lang w:val="en-GB" w:eastAsia="en-GB"/>
        </w:rPr>
        <w:t>Firm rivalry, knowledge accumulation, and MNE location choices</w:t>
      </w:r>
      <w:r>
        <w:rPr>
          <w:sz w:val="22"/>
          <w:szCs w:val="22"/>
          <w:lang w:val="en-GB" w:eastAsia="en-GB"/>
        </w:rPr>
        <w:t xml:space="preserve">. </w:t>
      </w:r>
      <w:r w:rsidRPr="00C60FB4">
        <w:rPr>
          <w:i/>
          <w:sz w:val="22"/>
          <w:szCs w:val="22"/>
          <w:lang w:val="en-GB" w:eastAsia="en-GB"/>
        </w:rPr>
        <w:t>Journal of International Business Studies</w:t>
      </w:r>
      <w:r w:rsidR="00ED5BED">
        <w:rPr>
          <w:i/>
          <w:sz w:val="22"/>
          <w:szCs w:val="22"/>
          <w:lang w:val="en-GB" w:eastAsia="en-GB"/>
        </w:rPr>
        <w:t>,</w:t>
      </w:r>
      <w:r w:rsidRPr="00495209">
        <w:t xml:space="preserve"> </w:t>
      </w:r>
      <w:r w:rsidRPr="00C60FB4">
        <w:rPr>
          <w:sz w:val="22"/>
          <w:szCs w:val="22"/>
          <w:lang w:val="en-GB" w:eastAsia="en-GB"/>
        </w:rPr>
        <w:t>44</w:t>
      </w:r>
      <w:r w:rsidR="00EA706D">
        <w:rPr>
          <w:sz w:val="22"/>
          <w:szCs w:val="22"/>
          <w:lang w:val="en-GB" w:eastAsia="en-GB"/>
        </w:rPr>
        <w:t>(5):</w:t>
      </w:r>
      <w:r w:rsidRPr="00C60FB4">
        <w:rPr>
          <w:sz w:val="22"/>
          <w:szCs w:val="22"/>
          <w:lang w:val="en-GB" w:eastAsia="en-GB"/>
        </w:rPr>
        <w:t>504-520</w:t>
      </w:r>
      <w:r>
        <w:rPr>
          <w:sz w:val="22"/>
          <w:szCs w:val="22"/>
          <w:lang w:val="en-GB" w:eastAsia="en-GB"/>
        </w:rPr>
        <w:t>.</w:t>
      </w:r>
    </w:p>
    <w:p w14:paraId="78D6F5EA" w14:textId="250C181D" w:rsidR="00D765CD" w:rsidRDefault="00D765CD" w:rsidP="005F2D8B">
      <w:pPr>
        <w:autoSpaceDE w:val="0"/>
        <w:autoSpaceDN w:val="0"/>
        <w:adjustRightInd w:val="0"/>
        <w:spacing w:after="120"/>
        <w:ind w:left="426" w:hanging="426"/>
        <w:rPr>
          <w:sz w:val="22"/>
          <w:szCs w:val="22"/>
          <w:lang w:val="en-GB" w:eastAsia="en-GB"/>
        </w:rPr>
      </w:pPr>
      <w:r w:rsidRPr="00D765CD">
        <w:rPr>
          <w:sz w:val="22"/>
          <w:szCs w:val="22"/>
          <w:lang w:val="en-GB" w:eastAsia="en-GB"/>
        </w:rPr>
        <w:t>Alcácer</w:t>
      </w:r>
      <w:r w:rsidR="00784E13">
        <w:rPr>
          <w:sz w:val="22"/>
          <w:szCs w:val="22"/>
          <w:lang w:val="en-GB" w:eastAsia="en-GB"/>
        </w:rPr>
        <w:t>,</w:t>
      </w:r>
      <w:r>
        <w:rPr>
          <w:sz w:val="22"/>
          <w:szCs w:val="22"/>
          <w:lang w:val="en-GB" w:eastAsia="en-GB"/>
        </w:rPr>
        <w:t xml:space="preserve"> J</w:t>
      </w:r>
      <w:r w:rsidR="00784E13">
        <w:rPr>
          <w:sz w:val="22"/>
          <w:szCs w:val="22"/>
          <w:lang w:val="en-GB" w:eastAsia="en-GB"/>
        </w:rPr>
        <w:t>.</w:t>
      </w:r>
      <w:r>
        <w:rPr>
          <w:sz w:val="22"/>
          <w:szCs w:val="22"/>
          <w:lang w:val="en-GB" w:eastAsia="en-GB"/>
        </w:rPr>
        <w:t>,</w:t>
      </w:r>
      <w:r w:rsidRPr="00D765CD">
        <w:rPr>
          <w:sz w:val="22"/>
          <w:szCs w:val="22"/>
          <w:lang w:val="en-GB" w:eastAsia="en-GB"/>
        </w:rPr>
        <w:t xml:space="preserve"> Denzsö</w:t>
      </w:r>
      <w:r w:rsidR="00784E13">
        <w:rPr>
          <w:sz w:val="22"/>
          <w:szCs w:val="22"/>
          <w:lang w:val="en-GB" w:eastAsia="en-GB"/>
        </w:rPr>
        <w:t>,</w:t>
      </w:r>
      <w:r w:rsidRPr="00D765CD">
        <w:rPr>
          <w:sz w:val="22"/>
          <w:szCs w:val="22"/>
          <w:lang w:val="en-GB" w:eastAsia="en-GB"/>
        </w:rPr>
        <w:t xml:space="preserve"> </w:t>
      </w:r>
      <w:r>
        <w:rPr>
          <w:sz w:val="22"/>
          <w:szCs w:val="22"/>
          <w:lang w:val="en-GB" w:eastAsia="en-GB"/>
        </w:rPr>
        <w:t>C</w:t>
      </w:r>
      <w:r w:rsidR="00784E13">
        <w:rPr>
          <w:sz w:val="22"/>
          <w:szCs w:val="22"/>
          <w:lang w:val="en-GB" w:eastAsia="en-GB"/>
        </w:rPr>
        <w:t>.</w:t>
      </w:r>
      <w:r>
        <w:rPr>
          <w:sz w:val="22"/>
          <w:szCs w:val="22"/>
          <w:lang w:val="en-GB" w:eastAsia="en-GB"/>
        </w:rPr>
        <w:t xml:space="preserve">, </w:t>
      </w:r>
      <w:r w:rsidR="00784E13">
        <w:rPr>
          <w:sz w:val="22"/>
          <w:szCs w:val="22"/>
          <w:lang w:val="en-GB" w:eastAsia="en-GB"/>
        </w:rPr>
        <w:t xml:space="preserve">&amp; </w:t>
      </w:r>
      <w:r>
        <w:rPr>
          <w:sz w:val="22"/>
          <w:szCs w:val="22"/>
          <w:lang w:val="en-GB" w:eastAsia="en-GB"/>
        </w:rPr>
        <w:t>Zhao</w:t>
      </w:r>
      <w:r w:rsidR="00784E13">
        <w:rPr>
          <w:sz w:val="22"/>
          <w:szCs w:val="22"/>
          <w:lang w:val="en-GB" w:eastAsia="en-GB"/>
        </w:rPr>
        <w:t>,</w:t>
      </w:r>
      <w:r w:rsidRPr="00D765CD">
        <w:rPr>
          <w:sz w:val="22"/>
          <w:szCs w:val="22"/>
          <w:lang w:val="en-GB" w:eastAsia="en-GB"/>
        </w:rPr>
        <w:t xml:space="preserve"> </w:t>
      </w:r>
      <w:r>
        <w:rPr>
          <w:sz w:val="22"/>
          <w:szCs w:val="22"/>
          <w:lang w:val="en-GB" w:eastAsia="en-GB"/>
        </w:rPr>
        <w:t>M</w:t>
      </w:r>
      <w:r w:rsidR="00784E13">
        <w:rPr>
          <w:sz w:val="22"/>
          <w:szCs w:val="22"/>
          <w:lang w:val="en-GB" w:eastAsia="en-GB"/>
        </w:rPr>
        <w:t>.</w:t>
      </w:r>
      <w:r>
        <w:rPr>
          <w:sz w:val="22"/>
          <w:szCs w:val="22"/>
          <w:lang w:val="en-GB" w:eastAsia="en-GB"/>
        </w:rPr>
        <w:t>Y</w:t>
      </w:r>
      <w:r w:rsidR="00784E13">
        <w:rPr>
          <w:sz w:val="22"/>
          <w:szCs w:val="22"/>
          <w:lang w:val="en-GB" w:eastAsia="en-GB"/>
        </w:rPr>
        <w:t>.</w:t>
      </w:r>
      <w:r>
        <w:rPr>
          <w:sz w:val="22"/>
          <w:szCs w:val="22"/>
          <w:lang w:val="en-GB" w:eastAsia="en-GB"/>
        </w:rPr>
        <w:t xml:space="preserve"> </w:t>
      </w:r>
      <w:r w:rsidRPr="00D765CD">
        <w:rPr>
          <w:sz w:val="22"/>
          <w:szCs w:val="22"/>
          <w:lang w:val="en-GB" w:eastAsia="en-GB"/>
        </w:rPr>
        <w:t>2015</w:t>
      </w:r>
      <w:r>
        <w:rPr>
          <w:sz w:val="22"/>
          <w:szCs w:val="22"/>
          <w:lang w:val="en-GB" w:eastAsia="en-GB"/>
        </w:rPr>
        <w:t xml:space="preserve">. </w:t>
      </w:r>
      <w:r w:rsidRPr="00D765CD">
        <w:rPr>
          <w:sz w:val="22"/>
          <w:szCs w:val="22"/>
          <w:lang w:val="en-GB" w:eastAsia="en-GB"/>
        </w:rPr>
        <w:t>Location choices under strategic interactions</w:t>
      </w:r>
      <w:r>
        <w:rPr>
          <w:sz w:val="22"/>
          <w:szCs w:val="22"/>
          <w:lang w:val="en-GB" w:eastAsia="en-GB"/>
        </w:rPr>
        <w:t xml:space="preserve">, </w:t>
      </w:r>
      <w:r w:rsidRPr="00D765CD">
        <w:rPr>
          <w:i/>
          <w:sz w:val="22"/>
          <w:szCs w:val="22"/>
          <w:lang w:val="en-GB" w:eastAsia="en-GB"/>
        </w:rPr>
        <w:t>Strategic Management Journal</w:t>
      </w:r>
      <w:r w:rsidR="00ED5BED">
        <w:rPr>
          <w:i/>
          <w:sz w:val="22"/>
          <w:szCs w:val="22"/>
          <w:lang w:val="en-GB" w:eastAsia="en-GB"/>
        </w:rPr>
        <w:t>,</w:t>
      </w:r>
      <w:r>
        <w:rPr>
          <w:sz w:val="22"/>
          <w:szCs w:val="22"/>
          <w:lang w:val="en-GB" w:eastAsia="en-GB"/>
        </w:rPr>
        <w:t xml:space="preserve"> 36(2): 197-215.</w:t>
      </w:r>
    </w:p>
    <w:p w14:paraId="50E05A85" w14:textId="7AB16E85" w:rsidR="00727B84" w:rsidRDefault="00727B84" w:rsidP="005F2D8B">
      <w:pPr>
        <w:autoSpaceDE w:val="0"/>
        <w:autoSpaceDN w:val="0"/>
        <w:adjustRightInd w:val="0"/>
        <w:spacing w:after="120"/>
        <w:ind w:left="426" w:hanging="426"/>
        <w:rPr>
          <w:sz w:val="22"/>
          <w:szCs w:val="22"/>
          <w:lang w:val="en-GB" w:eastAsia="en-GB"/>
        </w:rPr>
      </w:pPr>
      <w:r w:rsidRPr="00727B84">
        <w:rPr>
          <w:sz w:val="22"/>
          <w:szCs w:val="22"/>
          <w:lang w:val="en-GB" w:eastAsia="en-GB"/>
        </w:rPr>
        <w:t xml:space="preserve">Ambos, T.C., Ambos, B. &amp; Schlegelmilch, B. 2006. Learning from foreign subsidiaries: An empirical investigation of headquarters' benefits from reverse knowledge transfers, </w:t>
      </w:r>
      <w:r w:rsidRPr="00B46237">
        <w:rPr>
          <w:i/>
          <w:sz w:val="22"/>
          <w:szCs w:val="22"/>
          <w:lang w:val="en-GB" w:eastAsia="en-GB"/>
        </w:rPr>
        <w:t>International Business Review</w:t>
      </w:r>
      <w:r w:rsidRPr="00727B84">
        <w:rPr>
          <w:sz w:val="22"/>
          <w:szCs w:val="22"/>
          <w:lang w:val="en-GB" w:eastAsia="en-GB"/>
        </w:rPr>
        <w:t>, 15</w:t>
      </w:r>
      <w:r>
        <w:rPr>
          <w:sz w:val="22"/>
          <w:szCs w:val="22"/>
          <w:lang w:val="en-GB" w:eastAsia="en-GB"/>
        </w:rPr>
        <w:t>(</w:t>
      </w:r>
      <w:r w:rsidR="00B46237">
        <w:rPr>
          <w:sz w:val="22"/>
          <w:szCs w:val="22"/>
          <w:lang w:val="en-GB" w:eastAsia="en-GB"/>
        </w:rPr>
        <w:t>3</w:t>
      </w:r>
      <w:r>
        <w:rPr>
          <w:sz w:val="22"/>
          <w:szCs w:val="22"/>
          <w:lang w:val="en-GB" w:eastAsia="en-GB"/>
        </w:rPr>
        <w:t>)</w:t>
      </w:r>
      <w:r w:rsidRPr="00727B84">
        <w:rPr>
          <w:sz w:val="22"/>
          <w:szCs w:val="22"/>
          <w:lang w:val="en-GB" w:eastAsia="en-GB"/>
        </w:rPr>
        <w:t>: 294-312</w:t>
      </w:r>
    </w:p>
    <w:p w14:paraId="0568705C" w14:textId="273C2098" w:rsidR="0051512A" w:rsidRPr="0051512A" w:rsidRDefault="0051512A" w:rsidP="005F2D8B">
      <w:pPr>
        <w:autoSpaceDE w:val="0"/>
        <w:autoSpaceDN w:val="0"/>
        <w:adjustRightInd w:val="0"/>
        <w:spacing w:after="120"/>
        <w:ind w:left="426" w:hanging="426"/>
        <w:rPr>
          <w:sz w:val="22"/>
          <w:szCs w:val="22"/>
          <w:lang w:val="en-GB" w:eastAsia="en-GB"/>
        </w:rPr>
      </w:pPr>
      <w:r>
        <w:rPr>
          <w:sz w:val="22"/>
          <w:szCs w:val="22"/>
          <w:lang w:val="en-GB" w:eastAsia="en-GB"/>
        </w:rPr>
        <w:t xml:space="preserve">Anand, J., </w:t>
      </w:r>
      <w:r w:rsidR="00784E13">
        <w:rPr>
          <w:sz w:val="22"/>
          <w:szCs w:val="22"/>
          <w:lang w:val="en-GB" w:eastAsia="en-GB"/>
        </w:rPr>
        <w:t xml:space="preserve">&amp; </w:t>
      </w:r>
      <w:r>
        <w:rPr>
          <w:sz w:val="22"/>
          <w:szCs w:val="22"/>
          <w:lang w:val="en-GB" w:eastAsia="en-GB"/>
        </w:rPr>
        <w:t xml:space="preserve">Kogut, B., 1997. </w:t>
      </w:r>
      <w:r w:rsidRPr="00C60FB4">
        <w:rPr>
          <w:bCs/>
          <w:sz w:val="22"/>
          <w:szCs w:val="22"/>
          <w:lang w:val="en" w:eastAsia="en-GB"/>
        </w:rPr>
        <w:t xml:space="preserve">Technological </w:t>
      </w:r>
      <w:r w:rsidR="00784E13">
        <w:rPr>
          <w:bCs/>
          <w:sz w:val="22"/>
          <w:szCs w:val="22"/>
          <w:lang w:val="en" w:eastAsia="en-GB"/>
        </w:rPr>
        <w:t>c</w:t>
      </w:r>
      <w:r w:rsidR="00784E13" w:rsidRPr="00C60FB4">
        <w:rPr>
          <w:bCs/>
          <w:sz w:val="22"/>
          <w:szCs w:val="22"/>
          <w:lang w:val="en" w:eastAsia="en-GB"/>
        </w:rPr>
        <w:t xml:space="preserve">apabilities </w:t>
      </w:r>
      <w:r w:rsidRPr="00C60FB4">
        <w:rPr>
          <w:bCs/>
          <w:sz w:val="22"/>
          <w:szCs w:val="22"/>
          <w:lang w:val="en" w:eastAsia="en-GB"/>
        </w:rPr>
        <w:t xml:space="preserve">of </w:t>
      </w:r>
      <w:r w:rsidR="00784E13">
        <w:rPr>
          <w:bCs/>
          <w:sz w:val="22"/>
          <w:szCs w:val="22"/>
          <w:lang w:val="en" w:eastAsia="en-GB"/>
        </w:rPr>
        <w:t>c</w:t>
      </w:r>
      <w:r w:rsidR="00784E13" w:rsidRPr="00C60FB4">
        <w:rPr>
          <w:bCs/>
          <w:sz w:val="22"/>
          <w:szCs w:val="22"/>
          <w:lang w:val="en" w:eastAsia="en-GB"/>
        </w:rPr>
        <w:t>ountries</w:t>
      </w:r>
      <w:r w:rsidRPr="00C60FB4">
        <w:rPr>
          <w:bCs/>
          <w:sz w:val="22"/>
          <w:szCs w:val="22"/>
          <w:lang w:val="en" w:eastAsia="en-GB"/>
        </w:rPr>
        <w:t xml:space="preserve">, </w:t>
      </w:r>
      <w:r w:rsidR="00784E13">
        <w:rPr>
          <w:bCs/>
          <w:sz w:val="22"/>
          <w:szCs w:val="22"/>
          <w:lang w:val="en" w:eastAsia="en-GB"/>
        </w:rPr>
        <w:t>f</w:t>
      </w:r>
      <w:r w:rsidR="00784E13" w:rsidRPr="00C60FB4">
        <w:rPr>
          <w:bCs/>
          <w:sz w:val="22"/>
          <w:szCs w:val="22"/>
          <w:lang w:val="en" w:eastAsia="en-GB"/>
        </w:rPr>
        <w:t xml:space="preserve">irm </w:t>
      </w:r>
      <w:r w:rsidR="00784E13">
        <w:rPr>
          <w:bCs/>
          <w:sz w:val="22"/>
          <w:szCs w:val="22"/>
          <w:lang w:val="en" w:eastAsia="en-GB"/>
        </w:rPr>
        <w:t>r</w:t>
      </w:r>
      <w:r w:rsidR="00784E13" w:rsidRPr="00C60FB4">
        <w:rPr>
          <w:bCs/>
          <w:sz w:val="22"/>
          <w:szCs w:val="22"/>
          <w:lang w:val="en" w:eastAsia="en-GB"/>
        </w:rPr>
        <w:t xml:space="preserve">ivalry </w:t>
      </w:r>
      <w:r w:rsidRPr="00C60FB4">
        <w:rPr>
          <w:bCs/>
          <w:sz w:val="22"/>
          <w:szCs w:val="22"/>
          <w:lang w:val="en" w:eastAsia="en-GB"/>
        </w:rPr>
        <w:t xml:space="preserve">and </w:t>
      </w:r>
      <w:r w:rsidR="00784E13">
        <w:rPr>
          <w:bCs/>
          <w:sz w:val="22"/>
          <w:szCs w:val="22"/>
          <w:lang w:val="en" w:eastAsia="en-GB"/>
        </w:rPr>
        <w:t>f</w:t>
      </w:r>
      <w:r w:rsidR="00784E13" w:rsidRPr="00C60FB4">
        <w:rPr>
          <w:bCs/>
          <w:sz w:val="22"/>
          <w:szCs w:val="22"/>
          <w:lang w:val="en" w:eastAsia="en-GB"/>
        </w:rPr>
        <w:t xml:space="preserve">oreign </w:t>
      </w:r>
      <w:r w:rsidR="00784E13">
        <w:rPr>
          <w:bCs/>
          <w:sz w:val="22"/>
          <w:szCs w:val="22"/>
          <w:lang w:val="en" w:eastAsia="en-GB"/>
        </w:rPr>
        <w:t>d</w:t>
      </w:r>
      <w:r w:rsidRPr="00C60FB4">
        <w:rPr>
          <w:bCs/>
          <w:sz w:val="22"/>
          <w:szCs w:val="22"/>
          <w:lang w:val="en" w:eastAsia="en-GB"/>
        </w:rPr>
        <w:t xml:space="preserve">irect </w:t>
      </w:r>
      <w:r w:rsidR="00784E13">
        <w:rPr>
          <w:bCs/>
          <w:sz w:val="22"/>
          <w:szCs w:val="22"/>
          <w:lang w:val="en" w:eastAsia="en-GB"/>
        </w:rPr>
        <w:t>i</w:t>
      </w:r>
      <w:r w:rsidRPr="00C60FB4">
        <w:rPr>
          <w:bCs/>
          <w:sz w:val="22"/>
          <w:szCs w:val="22"/>
          <w:lang w:val="en" w:eastAsia="en-GB"/>
        </w:rPr>
        <w:t>nvestment</w:t>
      </w:r>
      <w:r w:rsidRPr="0051512A">
        <w:rPr>
          <w:rFonts w:eastAsia="PMingLiU"/>
          <w:i/>
          <w:sz w:val="22"/>
          <w:szCs w:val="22"/>
          <w:lang w:eastAsia="zh-TW"/>
        </w:rPr>
        <w:t xml:space="preserve"> </w:t>
      </w:r>
      <w:r w:rsidRPr="000E77B6">
        <w:rPr>
          <w:rFonts w:eastAsia="PMingLiU"/>
          <w:i/>
          <w:sz w:val="22"/>
          <w:szCs w:val="22"/>
          <w:lang w:eastAsia="zh-TW"/>
        </w:rPr>
        <w:t>Journal of International Business Studies</w:t>
      </w:r>
      <w:r>
        <w:rPr>
          <w:rFonts w:eastAsia="PMingLiU"/>
          <w:i/>
          <w:sz w:val="22"/>
          <w:szCs w:val="22"/>
          <w:lang w:eastAsia="zh-TW"/>
        </w:rPr>
        <w:t xml:space="preserve">, </w:t>
      </w:r>
      <w:r>
        <w:rPr>
          <w:rFonts w:eastAsia="PMingLiU"/>
          <w:sz w:val="22"/>
          <w:szCs w:val="22"/>
          <w:lang w:eastAsia="zh-TW"/>
        </w:rPr>
        <w:t>28</w:t>
      </w:r>
      <w:r w:rsidR="00784E13">
        <w:rPr>
          <w:rFonts w:eastAsia="PMingLiU"/>
          <w:sz w:val="22"/>
          <w:szCs w:val="22"/>
          <w:lang w:eastAsia="zh-TW"/>
        </w:rPr>
        <w:t>(</w:t>
      </w:r>
      <w:r w:rsidR="00B46237">
        <w:rPr>
          <w:rFonts w:eastAsia="PMingLiU"/>
          <w:sz w:val="22"/>
          <w:szCs w:val="22"/>
          <w:lang w:eastAsia="zh-TW"/>
        </w:rPr>
        <w:t>3</w:t>
      </w:r>
      <w:r w:rsidR="00784E13">
        <w:rPr>
          <w:rFonts w:eastAsia="PMingLiU"/>
          <w:sz w:val="22"/>
          <w:szCs w:val="22"/>
          <w:lang w:eastAsia="zh-TW"/>
        </w:rPr>
        <w:t>)</w:t>
      </w:r>
      <w:r w:rsidR="00EA706D">
        <w:rPr>
          <w:rFonts w:eastAsia="PMingLiU"/>
          <w:sz w:val="22"/>
          <w:szCs w:val="22"/>
          <w:lang w:eastAsia="zh-TW"/>
        </w:rPr>
        <w:t>:</w:t>
      </w:r>
      <w:r>
        <w:rPr>
          <w:rFonts w:eastAsia="PMingLiU"/>
          <w:sz w:val="22"/>
          <w:szCs w:val="22"/>
          <w:lang w:eastAsia="zh-TW"/>
        </w:rPr>
        <w:t xml:space="preserve">445-65. </w:t>
      </w:r>
    </w:p>
    <w:p w14:paraId="084AC5B2" w14:textId="32418F5B" w:rsidR="00DB275D" w:rsidRDefault="00DB275D" w:rsidP="005F2D8B">
      <w:pPr>
        <w:autoSpaceDE w:val="0"/>
        <w:autoSpaceDN w:val="0"/>
        <w:adjustRightInd w:val="0"/>
        <w:spacing w:after="120"/>
        <w:ind w:left="426" w:hanging="426"/>
        <w:rPr>
          <w:sz w:val="22"/>
          <w:szCs w:val="22"/>
          <w:lang w:val="de-DE" w:eastAsia="en-GB"/>
        </w:rPr>
      </w:pPr>
      <w:r>
        <w:rPr>
          <w:sz w:val="22"/>
          <w:szCs w:val="22"/>
          <w:lang w:val="de-DE" w:eastAsia="en-GB"/>
        </w:rPr>
        <w:t>Arp</w:t>
      </w:r>
      <w:r w:rsidR="00784E13">
        <w:rPr>
          <w:sz w:val="22"/>
          <w:szCs w:val="22"/>
          <w:lang w:val="de-DE" w:eastAsia="en-GB"/>
        </w:rPr>
        <w:t>,</w:t>
      </w:r>
      <w:r>
        <w:rPr>
          <w:sz w:val="22"/>
          <w:szCs w:val="22"/>
          <w:lang w:val="de-DE" w:eastAsia="en-GB"/>
        </w:rPr>
        <w:t xml:space="preserve"> F. 2014</w:t>
      </w:r>
      <w:r w:rsidRPr="00DB275D">
        <w:rPr>
          <w:sz w:val="22"/>
          <w:szCs w:val="22"/>
          <w:lang w:val="de-DE" w:eastAsia="en-GB"/>
        </w:rPr>
        <w:t>. Emerging giants, aspiring multinationals, and foreign executives: Leapfrogging, capability building, and competing with developed country multinationals</w:t>
      </w:r>
      <w:r w:rsidR="00ED5BED">
        <w:rPr>
          <w:sz w:val="22"/>
          <w:szCs w:val="22"/>
          <w:lang w:val="de-DE" w:eastAsia="en-GB"/>
        </w:rPr>
        <w:t>.</w:t>
      </w:r>
      <w:r w:rsidRPr="00DB275D">
        <w:rPr>
          <w:sz w:val="22"/>
          <w:szCs w:val="22"/>
          <w:lang w:val="de-DE" w:eastAsia="en-GB"/>
        </w:rPr>
        <w:t xml:space="preserve"> </w:t>
      </w:r>
      <w:r w:rsidRPr="00DB275D">
        <w:rPr>
          <w:i/>
          <w:sz w:val="22"/>
          <w:szCs w:val="22"/>
          <w:lang w:val="de-DE" w:eastAsia="en-GB"/>
        </w:rPr>
        <w:t>Human Resource Management</w:t>
      </w:r>
      <w:r w:rsidRPr="00DB275D">
        <w:rPr>
          <w:sz w:val="22"/>
          <w:szCs w:val="22"/>
          <w:lang w:val="de-DE" w:eastAsia="en-GB"/>
        </w:rPr>
        <w:t>, 53</w:t>
      </w:r>
      <w:r w:rsidR="00784E13">
        <w:rPr>
          <w:sz w:val="22"/>
          <w:szCs w:val="22"/>
          <w:lang w:val="de-DE" w:eastAsia="en-GB"/>
        </w:rPr>
        <w:t>(</w:t>
      </w:r>
      <w:r w:rsidR="00B46237">
        <w:rPr>
          <w:sz w:val="22"/>
          <w:szCs w:val="22"/>
          <w:lang w:val="de-DE" w:eastAsia="en-GB"/>
        </w:rPr>
        <w:t>6</w:t>
      </w:r>
      <w:r w:rsidR="00784E13">
        <w:rPr>
          <w:sz w:val="22"/>
          <w:szCs w:val="22"/>
          <w:lang w:val="de-DE" w:eastAsia="en-GB"/>
        </w:rPr>
        <w:t>)</w:t>
      </w:r>
      <w:r w:rsidRPr="00DB275D">
        <w:rPr>
          <w:sz w:val="22"/>
          <w:szCs w:val="22"/>
          <w:lang w:val="de-DE" w:eastAsia="en-GB"/>
        </w:rPr>
        <w:t xml:space="preserve">: 851-876. </w:t>
      </w:r>
    </w:p>
    <w:p w14:paraId="762D58DF" w14:textId="12E0FA08" w:rsidR="003846E1" w:rsidRDefault="003846E1" w:rsidP="005F2D8B">
      <w:pPr>
        <w:autoSpaceDE w:val="0"/>
        <w:autoSpaceDN w:val="0"/>
        <w:adjustRightInd w:val="0"/>
        <w:spacing w:after="120"/>
        <w:ind w:left="426" w:hanging="426"/>
        <w:rPr>
          <w:sz w:val="22"/>
          <w:szCs w:val="22"/>
          <w:lang w:eastAsia="en-GB"/>
        </w:rPr>
      </w:pPr>
      <w:r>
        <w:rPr>
          <w:sz w:val="22"/>
          <w:szCs w:val="22"/>
          <w:lang w:eastAsia="en-GB"/>
        </w:rPr>
        <w:t>Awate</w:t>
      </w:r>
      <w:r w:rsidR="00784E13">
        <w:rPr>
          <w:sz w:val="22"/>
          <w:szCs w:val="22"/>
          <w:lang w:eastAsia="en-GB"/>
        </w:rPr>
        <w:t>,</w:t>
      </w:r>
      <w:r>
        <w:rPr>
          <w:sz w:val="22"/>
          <w:szCs w:val="22"/>
          <w:lang w:eastAsia="en-GB"/>
        </w:rPr>
        <w:t xml:space="preserve"> S</w:t>
      </w:r>
      <w:r w:rsidR="00784E13">
        <w:rPr>
          <w:sz w:val="22"/>
          <w:szCs w:val="22"/>
          <w:lang w:eastAsia="en-GB"/>
        </w:rPr>
        <w:t>.</w:t>
      </w:r>
      <w:r>
        <w:rPr>
          <w:sz w:val="22"/>
          <w:szCs w:val="22"/>
          <w:lang w:eastAsia="en-GB"/>
        </w:rPr>
        <w:t>, Larsen</w:t>
      </w:r>
      <w:r w:rsidR="00784E13">
        <w:rPr>
          <w:sz w:val="22"/>
          <w:szCs w:val="22"/>
          <w:lang w:eastAsia="en-GB"/>
        </w:rPr>
        <w:t>,</w:t>
      </w:r>
      <w:r>
        <w:rPr>
          <w:sz w:val="22"/>
          <w:szCs w:val="22"/>
          <w:lang w:eastAsia="en-GB"/>
        </w:rPr>
        <w:t xml:space="preserve"> M</w:t>
      </w:r>
      <w:r w:rsidR="00784E13">
        <w:rPr>
          <w:sz w:val="22"/>
          <w:szCs w:val="22"/>
          <w:lang w:eastAsia="en-GB"/>
        </w:rPr>
        <w:t>.</w:t>
      </w:r>
      <w:r>
        <w:rPr>
          <w:sz w:val="22"/>
          <w:szCs w:val="22"/>
          <w:lang w:eastAsia="en-GB"/>
        </w:rPr>
        <w:t>M</w:t>
      </w:r>
      <w:r w:rsidR="00784E13">
        <w:rPr>
          <w:sz w:val="22"/>
          <w:szCs w:val="22"/>
          <w:lang w:eastAsia="en-GB"/>
        </w:rPr>
        <w:t>.</w:t>
      </w:r>
      <w:r>
        <w:rPr>
          <w:sz w:val="22"/>
          <w:szCs w:val="22"/>
          <w:lang w:eastAsia="en-GB"/>
        </w:rPr>
        <w:t>, Mudambi</w:t>
      </w:r>
      <w:r w:rsidR="00784E13">
        <w:rPr>
          <w:sz w:val="22"/>
          <w:szCs w:val="22"/>
          <w:lang w:eastAsia="en-GB"/>
        </w:rPr>
        <w:t>,</w:t>
      </w:r>
      <w:r>
        <w:rPr>
          <w:sz w:val="22"/>
          <w:szCs w:val="22"/>
          <w:lang w:eastAsia="en-GB"/>
        </w:rPr>
        <w:t xml:space="preserve"> R. 2012. </w:t>
      </w:r>
      <w:r w:rsidRPr="003846E1">
        <w:rPr>
          <w:sz w:val="22"/>
          <w:szCs w:val="22"/>
          <w:lang w:eastAsia="en-GB"/>
        </w:rPr>
        <w:t>EMNE catch-up strategies in the wind turbine industry</w:t>
      </w:r>
      <w:r>
        <w:rPr>
          <w:sz w:val="22"/>
          <w:szCs w:val="22"/>
          <w:lang w:eastAsia="en-GB"/>
        </w:rPr>
        <w:t xml:space="preserve">. </w:t>
      </w:r>
      <w:r w:rsidRPr="00A83AD9">
        <w:rPr>
          <w:i/>
          <w:sz w:val="22"/>
          <w:szCs w:val="22"/>
          <w:lang w:eastAsia="en-GB"/>
        </w:rPr>
        <w:t>Global Strategy Journal</w:t>
      </w:r>
      <w:r w:rsidR="00ED5BED">
        <w:rPr>
          <w:i/>
          <w:sz w:val="22"/>
          <w:szCs w:val="22"/>
          <w:lang w:eastAsia="en-GB"/>
        </w:rPr>
        <w:t>,</w:t>
      </w:r>
      <w:r>
        <w:rPr>
          <w:sz w:val="22"/>
          <w:szCs w:val="22"/>
          <w:lang w:eastAsia="en-GB"/>
        </w:rPr>
        <w:t xml:space="preserve"> 2(3):205-223.</w:t>
      </w:r>
    </w:p>
    <w:p w14:paraId="2657E411" w14:textId="1825724C" w:rsidR="00DE12A1" w:rsidRPr="00CF645A" w:rsidRDefault="00DE12A1" w:rsidP="005F2D8B">
      <w:pPr>
        <w:autoSpaceDE w:val="0"/>
        <w:autoSpaceDN w:val="0"/>
        <w:adjustRightInd w:val="0"/>
        <w:spacing w:after="120"/>
        <w:ind w:left="426" w:hanging="426"/>
        <w:rPr>
          <w:sz w:val="22"/>
          <w:szCs w:val="22"/>
          <w:lang w:eastAsia="en-GB"/>
        </w:rPr>
      </w:pPr>
      <w:r w:rsidRPr="00DE12A1">
        <w:rPr>
          <w:sz w:val="22"/>
          <w:szCs w:val="22"/>
          <w:lang w:eastAsia="en-GB"/>
        </w:rPr>
        <w:t>Bahadir, S</w:t>
      </w:r>
      <w:r w:rsidR="00784E13">
        <w:rPr>
          <w:sz w:val="22"/>
          <w:szCs w:val="22"/>
          <w:lang w:eastAsia="en-GB"/>
        </w:rPr>
        <w:t>.</w:t>
      </w:r>
      <w:r w:rsidRPr="00DE12A1">
        <w:rPr>
          <w:sz w:val="22"/>
          <w:szCs w:val="22"/>
          <w:lang w:eastAsia="en-GB"/>
        </w:rPr>
        <w:t>C</w:t>
      </w:r>
      <w:r w:rsidR="00784E13">
        <w:rPr>
          <w:sz w:val="22"/>
          <w:szCs w:val="22"/>
          <w:lang w:eastAsia="en-GB"/>
        </w:rPr>
        <w:t>.</w:t>
      </w:r>
      <w:r w:rsidRPr="00DE12A1">
        <w:rPr>
          <w:sz w:val="22"/>
          <w:szCs w:val="22"/>
          <w:lang w:eastAsia="en-GB"/>
        </w:rPr>
        <w:t>, Bharadwaj</w:t>
      </w:r>
      <w:r w:rsidR="00784E13">
        <w:rPr>
          <w:sz w:val="22"/>
          <w:szCs w:val="22"/>
          <w:lang w:eastAsia="en-GB"/>
        </w:rPr>
        <w:t>,</w:t>
      </w:r>
      <w:r w:rsidRPr="00DE12A1">
        <w:rPr>
          <w:sz w:val="22"/>
          <w:szCs w:val="22"/>
          <w:lang w:eastAsia="en-GB"/>
        </w:rPr>
        <w:t xml:space="preserve"> S</w:t>
      </w:r>
      <w:r w:rsidR="00784E13">
        <w:rPr>
          <w:sz w:val="22"/>
          <w:szCs w:val="22"/>
          <w:lang w:eastAsia="en-GB"/>
        </w:rPr>
        <w:t>.</w:t>
      </w:r>
      <w:r w:rsidRPr="00DE12A1">
        <w:rPr>
          <w:sz w:val="22"/>
          <w:szCs w:val="22"/>
          <w:lang w:eastAsia="en-GB"/>
        </w:rPr>
        <w:t>C</w:t>
      </w:r>
      <w:r w:rsidR="00784E13">
        <w:rPr>
          <w:sz w:val="22"/>
          <w:szCs w:val="22"/>
          <w:lang w:eastAsia="en-GB"/>
        </w:rPr>
        <w:t>.</w:t>
      </w:r>
      <w:r w:rsidRPr="00DE12A1">
        <w:rPr>
          <w:sz w:val="22"/>
          <w:szCs w:val="22"/>
          <w:lang w:eastAsia="en-GB"/>
        </w:rPr>
        <w:t>, &amp; Srivastava, R</w:t>
      </w:r>
      <w:r w:rsidR="00784E13">
        <w:rPr>
          <w:sz w:val="22"/>
          <w:szCs w:val="22"/>
          <w:lang w:eastAsia="en-GB"/>
        </w:rPr>
        <w:t>.</w:t>
      </w:r>
      <w:r w:rsidRPr="00DE12A1">
        <w:rPr>
          <w:sz w:val="22"/>
          <w:szCs w:val="22"/>
          <w:lang w:eastAsia="en-GB"/>
        </w:rPr>
        <w:t>K</w:t>
      </w:r>
      <w:r w:rsidR="00784E13">
        <w:rPr>
          <w:sz w:val="22"/>
          <w:szCs w:val="22"/>
          <w:lang w:eastAsia="en-GB"/>
        </w:rPr>
        <w:t>.</w:t>
      </w:r>
      <w:r w:rsidRPr="00DE12A1">
        <w:rPr>
          <w:sz w:val="22"/>
          <w:szCs w:val="22"/>
          <w:lang w:eastAsia="en-GB"/>
        </w:rPr>
        <w:t xml:space="preserve"> 2015. Marketing mix and brand sales in global markets: Examining the contingent role of country-market characteristics</w:t>
      </w:r>
      <w:r w:rsidR="00ED5BED">
        <w:rPr>
          <w:sz w:val="22"/>
          <w:szCs w:val="22"/>
          <w:lang w:eastAsia="en-GB"/>
        </w:rPr>
        <w:t>.</w:t>
      </w:r>
      <w:r w:rsidRPr="00DE12A1">
        <w:rPr>
          <w:sz w:val="22"/>
          <w:szCs w:val="22"/>
          <w:lang w:eastAsia="en-GB"/>
        </w:rPr>
        <w:t xml:space="preserve"> </w:t>
      </w:r>
      <w:r w:rsidRPr="00C60FB4">
        <w:rPr>
          <w:i/>
          <w:sz w:val="22"/>
          <w:szCs w:val="22"/>
          <w:lang w:eastAsia="en-GB"/>
        </w:rPr>
        <w:t>Journal of International Business Studies</w:t>
      </w:r>
      <w:r w:rsidR="00ED5BED">
        <w:rPr>
          <w:i/>
          <w:sz w:val="22"/>
          <w:szCs w:val="22"/>
          <w:lang w:eastAsia="en-GB"/>
        </w:rPr>
        <w:t>,</w:t>
      </w:r>
      <w:r w:rsidRPr="00DE12A1">
        <w:rPr>
          <w:sz w:val="22"/>
          <w:szCs w:val="22"/>
          <w:lang w:eastAsia="en-GB"/>
        </w:rPr>
        <w:t xml:space="preserve"> 46</w:t>
      </w:r>
      <w:r w:rsidR="00EA706D">
        <w:rPr>
          <w:sz w:val="22"/>
          <w:szCs w:val="22"/>
          <w:lang w:eastAsia="en-GB"/>
        </w:rPr>
        <w:t>(5):</w:t>
      </w:r>
      <w:r w:rsidRPr="00DE12A1">
        <w:rPr>
          <w:sz w:val="22"/>
          <w:szCs w:val="22"/>
          <w:lang w:eastAsia="en-GB"/>
        </w:rPr>
        <w:t>596-619.</w:t>
      </w:r>
    </w:p>
    <w:p w14:paraId="44B75221" w14:textId="57D42010" w:rsidR="00AF552E" w:rsidRDefault="00AF552E" w:rsidP="005F2D8B">
      <w:pPr>
        <w:autoSpaceDE w:val="0"/>
        <w:autoSpaceDN w:val="0"/>
        <w:adjustRightInd w:val="0"/>
        <w:spacing w:after="120"/>
        <w:ind w:left="426" w:hanging="426"/>
        <w:rPr>
          <w:sz w:val="22"/>
          <w:szCs w:val="22"/>
          <w:lang w:val="en-GB" w:eastAsia="en-GB"/>
        </w:rPr>
      </w:pPr>
      <w:r w:rsidRPr="005F2D8B">
        <w:rPr>
          <w:sz w:val="22"/>
          <w:szCs w:val="22"/>
          <w:lang w:eastAsia="en-GB"/>
        </w:rPr>
        <w:t>Belderbos</w:t>
      </w:r>
      <w:r w:rsidR="00784E13">
        <w:rPr>
          <w:sz w:val="22"/>
          <w:szCs w:val="22"/>
          <w:lang w:eastAsia="en-GB"/>
        </w:rPr>
        <w:t>,</w:t>
      </w:r>
      <w:r w:rsidRPr="005F2D8B">
        <w:rPr>
          <w:sz w:val="22"/>
          <w:szCs w:val="22"/>
          <w:lang w:eastAsia="en-GB"/>
        </w:rPr>
        <w:t xml:space="preserve"> R</w:t>
      </w:r>
      <w:r w:rsidR="00784E13">
        <w:rPr>
          <w:sz w:val="22"/>
          <w:szCs w:val="22"/>
          <w:lang w:eastAsia="en-GB"/>
        </w:rPr>
        <w:t>.</w:t>
      </w:r>
      <w:r w:rsidRPr="005F2D8B">
        <w:rPr>
          <w:sz w:val="22"/>
          <w:szCs w:val="22"/>
          <w:lang w:eastAsia="en-GB"/>
        </w:rPr>
        <w:t>, van Olffen</w:t>
      </w:r>
      <w:r w:rsidR="00784E13">
        <w:rPr>
          <w:sz w:val="22"/>
          <w:szCs w:val="22"/>
          <w:lang w:eastAsia="en-GB"/>
        </w:rPr>
        <w:t>,</w:t>
      </w:r>
      <w:r w:rsidRPr="005F2D8B">
        <w:rPr>
          <w:sz w:val="22"/>
          <w:szCs w:val="22"/>
          <w:lang w:eastAsia="en-GB"/>
        </w:rPr>
        <w:t xml:space="preserve"> W</w:t>
      </w:r>
      <w:r w:rsidR="00784E13">
        <w:rPr>
          <w:sz w:val="22"/>
          <w:szCs w:val="22"/>
          <w:lang w:eastAsia="en-GB"/>
        </w:rPr>
        <w:t>.</w:t>
      </w:r>
      <w:r w:rsidRPr="005F2D8B">
        <w:rPr>
          <w:sz w:val="22"/>
          <w:szCs w:val="22"/>
          <w:lang w:eastAsia="en-GB"/>
        </w:rPr>
        <w:t xml:space="preserve">, </w:t>
      </w:r>
      <w:r w:rsidR="00784E13">
        <w:rPr>
          <w:sz w:val="22"/>
          <w:szCs w:val="22"/>
          <w:lang w:eastAsia="en-GB"/>
        </w:rPr>
        <w:t xml:space="preserve">&amp; </w:t>
      </w:r>
      <w:r w:rsidRPr="005F2D8B">
        <w:rPr>
          <w:sz w:val="22"/>
          <w:szCs w:val="22"/>
          <w:lang w:eastAsia="en-GB"/>
        </w:rPr>
        <w:t>Zou J</w:t>
      </w:r>
      <w:r w:rsidR="00784E13">
        <w:rPr>
          <w:sz w:val="22"/>
          <w:szCs w:val="22"/>
          <w:lang w:eastAsia="en-GB"/>
        </w:rPr>
        <w:t>.</w:t>
      </w:r>
      <w:r w:rsidRPr="005F2D8B">
        <w:rPr>
          <w:sz w:val="22"/>
          <w:szCs w:val="22"/>
          <w:lang w:eastAsia="en-GB"/>
        </w:rPr>
        <w:t xml:space="preserve">L. 2011. </w:t>
      </w:r>
      <w:r w:rsidRPr="005F2D8B">
        <w:rPr>
          <w:sz w:val="22"/>
          <w:szCs w:val="22"/>
          <w:lang w:val="en-GB" w:eastAsia="en-GB"/>
        </w:rPr>
        <w:t>Generic and specific social learning mechanisms in foreign entry location choice</w:t>
      </w:r>
      <w:r w:rsidR="003C2F4E" w:rsidRPr="005F2D8B">
        <w:rPr>
          <w:sz w:val="22"/>
          <w:szCs w:val="22"/>
          <w:lang w:val="en-GB" w:eastAsia="en-GB"/>
        </w:rPr>
        <w:t>.</w:t>
      </w:r>
      <w:r w:rsidRPr="005F2D8B">
        <w:rPr>
          <w:sz w:val="22"/>
          <w:szCs w:val="22"/>
          <w:lang w:val="en-GB" w:eastAsia="en-GB"/>
        </w:rPr>
        <w:t xml:space="preserve"> </w:t>
      </w:r>
      <w:r w:rsidRPr="005F2D8B">
        <w:rPr>
          <w:i/>
          <w:sz w:val="22"/>
          <w:szCs w:val="22"/>
          <w:lang w:val="en-GB" w:eastAsia="en-GB"/>
        </w:rPr>
        <w:t>Strategic Management Journal</w:t>
      </w:r>
      <w:r w:rsidR="00ED5BED">
        <w:rPr>
          <w:i/>
          <w:sz w:val="22"/>
          <w:szCs w:val="22"/>
          <w:lang w:val="en-GB" w:eastAsia="en-GB"/>
        </w:rPr>
        <w:t>,</w:t>
      </w:r>
      <w:r w:rsidRPr="005F2D8B">
        <w:rPr>
          <w:sz w:val="22"/>
          <w:szCs w:val="22"/>
          <w:lang w:val="en-GB" w:eastAsia="en-GB"/>
        </w:rPr>
        <w:t xml:space="preserve"> 32(12): 1309-1330.</w:t>
      </w:r>
    </w:p>
    <w:p w14:paraId="1F662CC5" w14:textId="5E3086BD" w:rsidR="00D30D1C" w:rsidRDefault="00D30D1C" w:rsidP="005F2D8B">
      <w:pPr>
        <w:autoSpaceDE w:val="0"/>
        <w:autoSpaceDN w:val="0"/>
        <w:adjustRightInd w:val="0"/>
        <w:spacing w:after="120"/>
        <w:ind w:left="426" w:hanging="426"/>
        <w:rPr>
          <w:sz w:val="22"/>
          <w:szCs w:val="22"/>
          <w:lang w:val="en-GB" w:eastAsia="en-GB"/>
        </w:rPr>
      </w:pPr>
      <w:r w:rsidRPr="00D30D1C">
        <w:rPr>
          <w:sz w:val="22"/>
          <w:szCs w:val="22"/>
          <w:lang w:val="en-GB" w:eastAsia="en-GB"/>
        </w:rPr>
        <w:t>Benassy-Quere,</w:t>
      </w:r>
      <w:r>
        <w:rPr>
          <w:sz w:val="22"/>
          <w:szCs w:val="22"/>
          <w:lang w:val="en-GB" w:eastAsia="en-GB"/>
        </w:rPr>
        <w:t xml:space="preserve"> A.</w:t>
      </w:r>
      <w:r w:rsidRPr="00D30D1C">
        <w:rPr>
          <w:sz w:val="22"/>
          <w:szCs w:val="22"/>
          <w:lang w:val="en-GB" w:eastAsia="en-GB"/>
        </w:rPr>
        <w:t xml:space="preserve"> Coupet,</w:t>
      </w:r>
      <w:r>
        <w:rPr>
          <w:sz w:val="22"/>
          <w:szCs w:val="22"/>
          <w:lang w:val="en-GB" w:eastAsia="en-GB"/>
        </w:rPr>
        <w:t xml:space="preserve">M., &amp; </w:t>
      </w:r>
      <w:r w:rsidRPr="00D30D1C">
        <w:rPr>
          <w:sz w:val="22"/>
          <w:szCs w:val="22"/>
          <w:lang w:val="en-GB" w:eastAsia="en-GB"/>
        </w:rPr>
        <w:t>Mayer,</w:t>
      </w:r>
      <w:r>
        <w:rPr>
          <w:sz w:val="22"/>
          <w:szCs w:val="22"/>
          <w:lang w:val="en-GB" w:eastAsia="en-GB"/>
        </w:rPr>
        <w:t xml:space="preserve"> T., 2007, </w:t>
      </w:r>
      <w:r w:rsidRPr="00D30D1C">
        <w:rPr>
          <w:sz w:val="22"/>
          <w:szCs w:val="22"/>
          <w:lang w:val="en-GB" w:eastAsia="en-GB"/>
        </w:rPr>
        <w:t xml:space="preserve"> </w:t>
      </w:r>
      <w:r w:rsidRPr="00D30D1C">
        <w:rPr>
          <w:sz w:val="22"/>
          <w:szCs w:val="22"/>
          <w:lang w:val="en" w:eastAsia="en-GB"/>
        </w:rPr>
        <w:t>Institutional Determinants of Foreign Direct Investment</w:t>
      </w:r>
      <w:r>
        <w:rPr>
          <w:sz w:val="22"/>
          <w:szCs w:val="22"/>
          <w:lang w:val="en" w:eastAsia="en-GB"/>
        </w:rPr>
        <w:t xml:space="preserve">. </w:t>
      </w:r>
      <w:r w:rsidRPr="00D30D1C">
        <w:rPr>
          <w:i/>
          <w:iCs/>
          <w:sz w:val="22"/>
          <w:szCs w:val="22"/>
          <w:lang w:val="en-GB" w:eastAsia="en-GB"/>
        </w:rPr>
        <w:t>World Economy</w:t>
      </w:r>
      <w:r w:rsidRPr="00D30D1C">
        <w:rPr>
          <w:sz w:val="22"/>
          <w:szCs w:val="22"/>
          <w:lang w:val="en-GB" w:eastAsia="en-GB"/>
        </w:rPr>
        <w:t xml:space="preserve">, </w:t>
      </w:r>
      <w:r>
        <w:rPr>
          <w:sz w:val="22"/>
          <w:szCs w:val="22"/>
          <w:lang w:val="en-GB" w:eastAsia="en-GB"/>
        </w:rPr>
        <w:t>30, 5, 764-822.</w:t>
      </w:r>
      <w:r w:rsidRPr="00D30D1C">
        <w:rPr>
          <w:sz w:val="22"/>
          <w:szCs w:val="22"/>
          <w:lang w:val="en-GB" w:eastAsia="en-GB"/>
        </w:rPr>
        <w:t xml:space="preserve"> </w:t>
      </w:r>
    </w:p>
    <w:p w14:paraId="06ADDF26" w14:textId="7EDAAA93" w:rsidR="00DB4A89" w:rsidRDefault="00DB4A89" w:rsidP="005F2D8B">
      <w:pPr>
        <w:autoSpaceDE w:val="0"/>
        <w:autoSpaceDN w:val="0"/>
        <w:adjustRightInd w:val="0"/>
        <w:spacing w:after="120"/>
        <w:ind w:left="426" w:hanging="426"/>
        <w:rPr>
          <w:sz w:val="22"/>
          <w:szCs w:val="22"/>
          <w:lang w:val="en-GB" w:eastAsia="en-GB"/>
        </w:rPr>
      </w:pPr>
      <w:r>
        <w:rPr>
          <w:sz w:val="22"/>
          <w:szCs w:val="22"/>
          <w:lang w:val="en-GB" w:eastAsia="en-GB"/>
        </w:rPr>
        <w:t xml:space="preserve">Bernard, A.B., Redding, S.J. &amp; Schott, P.K. (2011). Multiproduct firms and trade liberalization, </w:t>
      </w:r>
      <w:r w:rsidRPr="00DB4A89">
        <w:rPr>
          <w:i/>
          <w:sz w:val="22"/>
          <w:szCs w:val="22"/>
          <w:lang w:val="en-GB" w:eastAsia="en-GB"/>
        </w:rPr>
        <w:t>Quarterly Journal of Economics</w:t>
      </w:r>
      <w:r>
        <w:rPr>
          <w:sz w:val="22"/>
          <w:szCs w:val="22"/>
          <w:lang w:val="en-GB" w:eastAsia="en-GB"/>
        </w:rPr>
        <w:t>, 126(3): 1271-1318.</w:t>
      </w:r>
    </w:p>
    <w:p w14:paraId="6F6B6316" w14:textId="77777777" w:rsidR="00490304" w:rsidRDefault="00490304" w:rsidP="005F2D8B">
      <w:pPr>
        <w:spacing w:after="120"/>
        <w:ind w:left="360" w:hanging="360"/>
        <w:outlineLvl w:val="0"/>
        <w:rPr>
          <w:bCs/>
          <w:sz w:val="22"/>
          <w:szCs w:val="22"/>
          <w:lang w:val="en-GB"/>
        </w:rPr>
      </w:pPr>
      <w:r w:rsidRPr="00490304">
        <w:rPr>
          <w:bCs/>
          <w:sz w:val="22"/>
          <w:szCs w:val="22"/>
          <w:lang w:val="en-GB"/>
        </w:rPr>
        <w:t xml:space="preserve">Bettis, R.A., Ethiraj, S. Gambardella, A., Helfat, C. E. &amp; Mitchell, W., 2016. Creating repeatable cumulative knowledge in strategic management, </w:t>
      </w:r>
      <w:r w:rsidRPr="00490304">
        <w:rPr>
          <w:bCs/>
          <w:i/>
          <w:sz w:val="22"/>
          <w:szCs w:val="22"/>
          <w:lang w:val="en-GB"/>
        </w:rPr>
        <w:t>Strategic Management Journal</w:t>
      </w:r>
      <w:r w:rsidRPr="00490304">
        <w:rPr>
          <w:bCs/>
          <w:sz w:val="22"/>
          <w:szCs w:val="22"/>
          <w:lang w:val="en-GB"/>
        </w:rPr>
        <w:t xml:space="preserve">, 37(2): 257-261. </w:t>
      </w:r>
    </w:p>
    <w:p w14:paraId="10669EDC" w14:textId="5B4E8C5B" w:rsidR="00FF589A" w:rsidRDefault="00FF589A" w:rsidP="005F2D8B">
      <w:pPr>
        <w:spacing w:after="120"/>
        <w:ind w:left="360" w:hanging="360"/>
        <w:outlineLvl w:val="0"/>
        <w:rPr>
          <w:bCs/>
          <w:sz w:val="22"/>
          <w:szCs w:val="22"/>
          <w:lang w:val="en-GB"/>
        </w:rPr>
      </w:pPr>
      <w:r w:rsidRPr="005F2D8B">
        <w:rPr>
          <w:bCs/>
          <w:sz w:val="22"/>
          <w:szCs w:val="22"/>
          <w:lang w:val="en-GB"/>
        </w:rPr>
        <w:t>Bevan</w:t>
      </w:r>
      <w:r w:rsidR="00784E13">
        <w:rPr>
          <w:bCs/>
          <w:sz w:val="22"/>
          <w:szCs w:val="22"/>
          <w:lang w:val="en-GB"/>
        </w:rPr>
        <w:t>,</w:t>
      </w:r>
      <w:r w:rsidRPr="005F2D8B">
        <w:rPr>
          <w:bCs/>
          <w:sz w:val="22"/>
          <w:szCs w:val="22"/>
          <w:lang w:val="en-GB"/>
        </w:rPr>
        <w:t xml:space="preserve"> A</w:t>
      </w:r>
      <w:r w:rsidR="00784E13">
        <w:rPr>
          <w:bCs/>
          <w:sz w:val="22"/>
          <w:szCs w:val="22"/>
          <w:lang w:val="en-GB"/>
        </w:rPr>
        <w:t>.</w:t>
      </w:r>
      <w:r w:rsidR="00885704" w:rsidRPr="005F2D8B">
        <w:rPr>
          <w:bCs/>
          <w:sz w:val="22"/>
          <w:szCs w:val="22"/>
          <w:lang w:val="en-GB"/>
        </w:rPr>
        <w:t xml:space="preserve"> </w:t>
      </w:r>
      <w:r w:rsidR="006B3149">
        <w:rPr>
          <w:bCs/>
          <w:sz w:val="22"/>
          <w:szCs w:val="22"/>
          <w:lang w:val="en-GB"/>
        </w:rPr>
        <w:t xml:space="preserve">&amp; </w:t>
      </w:r>
      <w:r w:rsidRPr="005F2D8B">
        <w:rPr>
          <w:bCs/>
          <w:sz w:val="22"/>
          <w:szCs w:val="22"/>
          <w:lang w:val="en-GB"/>
        </w:rPr>
        <w:t>Estrin</w:t>
      </w:r>
      <w:r w:rsidR="00784E13">
        <w:rPr>
          <w:bCs/>
          <w:sz w:val="22"/>
          <w:szCs w:val="22"/>
          <w:lang w:val="en-GB"/>
        </w:rPr>
        <w:t>,</w:t>
      </w:r>
      <w:r w:rsidRPr="005F2D8B">
        <w:rPr>
          <w:bCs/>
          <w:sz w:val="22"/>
          <w:szCs w:val="22"/>
          <w:lang w:val="en-GB"/>
        </w:rPr>
        <w:t xml:space="preserve"> S. 2004</w:t>
      </w:r>
      <w:r w:rsidR="00543A7B" w:rsidRPr="005F2D8B">
        <w:rPr>
          <w:bCs/>
          <w:sz w:val="22"/>
          <w:szCs w:val="22"/>
          <w:lang w:val="en-GB"/>
        </w:rPr>
        <w:t>. The determinants of foreign direct investment into European transition economies</w:t>
      </w:r>
      <w:r w:rsidR="003C2F4E" w:rsidRPr="005F2D8B">
        <w:rPr>
          <w:bCs/>
          <w:sz w:val="22"/>
          <w:szCs w:val="22"/>
          <w:lang w:val="en-GB"/>
        </w:rPr>
        <w:t>.</w:t>
      </w:r>
      <w:r w:rsidR="00543A7B" w:rsidRPr="005F2D8B">
        <w:rPr>
          <w:bCs/>
          <w:sz w:val="22"/>
          <w:szCs w:val="22"/>
          <w:lang w:val="en-GB"/>
        </w:rPr>
        <w:t xml:space="preserve"> </w:t>
      </w:r>
      <w:r w:rsidR="00543A7B" w:rsidRPr="005F2D8B">
        <w:rPr>
          <w:bCs/>
          <w:i/>
          <w:sz w:val="22"/>
          <w:szCs w:val="22"/>
          <w:lang w:val="en-GB"/>
        </w:rPr>
        <w:t>Journal of Comparative Economics</w:t>
      </w:r>
      <w:r w:rsidR="00ED5BED">
        <w:rPr>
          <w:bCs/>
          <w:i/>
          <w:sz w:val="22"/>
          <w:szCs w:val="22"/>
          <w:lang w:val="en-GB"/>
        </w:rPr>
        <w:t>,</w:t>
      </w:r>
      <w:r w:rsidR="00543A7B" w:rsidRPr="005F2D8B">
        <w:rPr>
          <w:bCs/>
          <w:sz w:val="22"/>
          <w:szCs w:val="22"/>
          <w:lang w:val="en-GB"/>
        </w:rPr>
        <w:t xml:space="preserve"> 32(4): 775-787.</w:t>
      </w:r>
    </w:p>
    <w:p w14:paraId="4963EFAC" w14:textId="7A7021A7" w:rsidR="00BD33F5" w:rsidRPr="00EA706D" w:rsidRDefault="00BD33F5" w:rsidP="00653AE5">
      <w:pPr>
        <w:spacing w:after="120"/>
        <w:ind w:left="357" w:hanging="357"/>
        <w:outlineLvl w:val="0"/>
        <w:rPr>
          <w:sz w:val="22"/>
        </w:rPr>
      </w:pPr>
      <w:r w:rsidRPr="00EA706D">
        <w:rPr>
          <w:sz w:val="22"/>
        </w:rPr>
        <w:t xml:space="preserve">Bird, A. &amp; Mendenhall, </w:t>
      </w:r>
      <w:r w:rsidRPr="00B46237">
        <w:rPr>
          <w:sz w:val="22"/>
        </w:rPr>
        <w:t>M.E. 201</w:t>
      </w:r>
      <w:r w:rsidR="00405101" w:rsidRPr="00B46237">
        <w:rPr>
          <w:sz w:val="22"/>
        </w:rPr>
        <w:t>6</w:t>
      </w:r>
      <w:r w:rsidRPr="00B46237">
        <w:rPr>
          <w:sz w:val="22"/>
        </w:rPr>
        <w:t xml:space="preserve">. From </w:t>
      </w:r>
      <w:r w:rsidRPr="00EA706D">
        <w:rPr>
          <w:sz w:val="22"/>
        </w:rPr>
        <w:t>cross-cultural management to global leadership: Evolution and adaptation</w:t>
      </w:r>
      <w:r w:rsidR="00ED5BED">
        <w:rPr>
          <w:sz w:val="22"/>
        </w:rPr>
        <w:t>.</w:t>
      </w:r>
      <w:r w:rsidRPr="00EA706D">
        <w:rPr>
          <w:sz w:val="22"/>
        </w:rPr>
        <w:t xml:space="preserve"> </w:t>
      </w:r>
      <w:r w:rsidRPr="00EA706D">
        <w:rPr>
          <w:i/>
          <w:sz w:val="22"/>
        </w:rPr>
        <w:t>Journal of World Business</w:t>
      </w:r>
      <w:r w:rsidR="00ED5BED">
        <w:rPr>
          <w:i/>
          <w:sz w:val="22"/>
        </w:rPr>
        <w:t>,</w:t>
      </w:r>
      <w:r w:rsidRPr="00EA706D">
        <w:rPr>
          <w:i/>
          <w:sz w:val="22"/>
        </w:rPr>
        <w:t xml:space="preserve"> </w:t>
      </w:r>
      <w:r w:rsidRPr="00EA706D">
        <w:rPr>
          <w:sz w:val="22"/>
        </w:rPr>
        <w:t xml:space="preserve">51(1): 115-126. </w:t>
      </w:r>
    </w:p>
    <w:p w14:paraId="2038079B" w14:textId="24182016" w:rsidR="003407D9" w:rsidRPr="00C60FB4" w:rsidRDefault="004F699D" w:rsidP="005F2D8B">
      <w:pPr>
        <w:tabs>
          <w:tab w:val="left" w:pos="0"/>
          <w:tab w:val="left" w:pos="540"/>
          <w:tab w:val="left" w:pos="851"/>
          <w:tab w:val="left" w:pos="1417"/>
          <w:tab w:val="left" w:pos="1985"/>
          <w:tab w:val="left" w:pos="2551"/>
          <w:tab w:val="left" w:pos="3118"/>
          <w:tab w:val="left" w:pos="3685"/>
          <w:tab w:val="left" w:pos="4252"/>
          <w:tab w:val="left" w:pos="4819"/>
          <w:tab w:val="left" w:pos="5386"/>
          <w:tab w:val="left" w:pos="5953"/>
          <w:tab w:val="left" w:pos="6520"/>
          <w:tab w:val="left" w:pos="7086"/>
          <w:tab w:val="left" w:pos="7654"/>
          <w:tab w:val="left" w:pos="8220"/>
          <w:tab w:val="left" w:pos="8788"/>
          <w:tab w:val="left" w:pos="9354"/>
          <w:tab w:val="left" w:pos="9922"/>
          <w:tab w:val="left" w:pos="10488"/>
          <w:tab w:val="left" w:pos="11054"/>
          <w:tab w:val="left" w:pos="11622"/>
          <w:tab w:val="left" w:pos="12188"/>
          <w:tab w:val="left" w:pos="12756"/>
          <w:tab w:val="left" w:pos="13322"/>
          <w:tab w:val="left" w:pos="13890"/>
          <w:tab w:val="left" w:pos="14456"/>
          <w:tab w:val="left" w:pos="15023"/>
          <w:tab w:val="left" w:pos="15590"/>
          <w:tab w:val="left" w:pos="16157"/>
          <w:tab w:val="left" w:pos="16724"/>
          <w:tab w:val="left" w:pos="17291"/>
          <w:tab w:val="left" w:pos="17858"/>
          <w:tab w:val="left" w:pos="18425"/>
          <w:tab w:val="left" w:pos="18992"/>
          <w:tab w:val="left" w:pos="19559"/>
          <w:tab w:val="left" w:pos="20125"/>
          <w:tab w:val="left" w:pos="20693"/>
          <w:tab w:val="left" w:pos="21259"/>
          <w:tab w:val="left" w:pos="21827"/>
        </w:tabs>
        <w:adjustRightInd w:val="0"/>
        <w:snapToGrid w:val="0"/>
        <w:spacing w:after="120"/>
        <w:ind w:left="360" w:hanging="360"/>
        <w:jc w:val="both"/>
        <w:rPr>
          <w:rFonts w:eastAsia="PMingLiU"/>
          <w:i/>
          <w:sz w:val="22"/>
          <w:szCs w:val="22"/>
          <w:lang w:eastAsia="zh-TW"/>
        </w:rPr>
      </w:pPr>
      <w:r>
        <w:rPr>
          <w:rFonts w:eastAsia="PMingLiU"/>
          <w:sz w:val="22"/>
          <w:szCs w:val="22"/>
          <w:lang w:eastAsia="zh-TW"/>
        </w:rPr>
        <w:t>Brandl, K</w:t>
      </w:r>
      <w:r w:rsidR="00784E13">
        <w:rPr>
          <w:rFonts w:eastAsia="PMingLiU"/>
          <w:sz w:val="22"/>
          <w:szCs w:val="22"/>
          <w:lang w:eastAsia="zh-TW"/>
        </w:rPr>
        <w:t>.</w:t>
      </w:r>
      <w:r>
        <w:rPr>
          <w:rFonts w:eastAsia="PMingLiU"/>
          <w:sz w:val="22"/>
          <w:szCs w:val="22"/>
          <w:lang w:eastAsia="zh-TW"/>
        </w:rPr>
        <w:t xml:space="preserve">, </w:t>
      </w:r>
      <w:r w:rsidR="00760BD6">
        <w:rPr>
          <w:rFonts w:eastAsia="PMingLiU"/>
          <w:sz w:val="22"/>
          <w:szCs w:val="22"/>
          <w:lang w:eastAsia="zh-TW"/>
        </w:rPr>
        <w:t xml:space="preserve">&amp; </w:t>
      </w:r>
      <w:r>
        <w:rPr>
          <w:rFonts w:eastAsia="PMingLiU"/>
          <w:sz w:val="22"/>
          <w:szCs w:val="22"/>
          <w:lang w:eastAsia="zh-TW"/>
        </w:rPr>
        <w:t>Mudambi, R</w:t>
      </w:r>
      <w:r w:rsidR="00784E13">
        <w:rPr>
          <w:rFonts w:eastAsia="PMingLiU"/>
          <w:sz w:val="22"/>
          <w:szCs w:val="22"/>
          <w:lang w:eastAsia="zh-TW"/>
        </w:rPr>
        <w:t>.</w:t>
      </w:r>
      <w:r>
        <w:rPr>
          <w:rFonts w:eastAsia="PMingLiU"/>
          <w:sz w:val="22"/>
          <w:szCs w:val="22"/>
          <w:lang w:eastAsia="zh-TW"/>
        </w:rPr>
        <w:t xml:space="preserve"> 2014. EMNCs and catch-up processes: the case of four Indian industries, in Cuervo-Cazurra &amp;</w:t>
      </w:r>
      <w:r w:rsidR="00A95756">
        <w:rPr>
          <w:rFonts w:eastAsia="PMingLiU"/>
          <w:sz w:val="22"/>
          <w:szCs w:val="22"/>
          <w:lang w:eastAsia="zh-TW"/>
        </w:rPr>
        <w:t xml:space="preserve"> </w:t>
      </w:r>
      <w:r w:rsidRPr="004F699D">
        <w:rPr>
          <w:rFonts w:eastAsia="PMingLiU"/>
          <w:sz w:val="22"/>
          <w:szCs w:val="22"/>
          <w:lang w:eastAsia="zh-TW"/>
        </w:rPr>
        <w:t>Ramamurti</w:t>
      </w:r>
      <w:r w:rsidR="00A95756">
        <w:rPr>
          <w:rFonts w:eastAsia="PMingLiU"/>
          <w:sz w:val="22"/>
          <w:szCs w:val="22"/>
          <w:lang w:eastAsia="zh-TW"/>
        </w:rPr>
        <w:t xml:space="preserve"> (eds)</w:t>
      </w:r>
      <w:r w:rsidRPr="004F699D">
        <w:rPr>
          <w:rFonts w:eastAsia="PMingLiU"/>
          <w:sz w:val="22"/>
          <w:szCs w:val="22"/>
          <w:lang w:eastAsia="zh-TW"/>
        </w:rPr>
        <w:t>,</w:t>
      </w:r>
      <w:r w:rsidR="00A95756">
        <w:rPr>
          <w:rFonts w:eastAsia="PMingLiU"/>
          <w:i/>
          <w:sz w:val="22"/>
          <w:szCs w:val="22"/>
          <w:lang w:eastAsia="zh-TW"/>
        </w:rPr>
        <w:t xml:space="preserve"> Understanding Multinationals from Emerging Markets.</w:t>
      </w:r>
      <w:r w:rsidR="00456613">
        <w:rPr>
          <w:rFonts w:eastAsiaTheme="minorEastAsia" w:hint="eastAsia"/>
          <w:i/>
          <w:sz w:val="22"/>
          <w:szCs w:val="22"/>
          <w:lang w:eastAsia="zh-CN"/>
        </w:rPr>
        <w:t xml:space="preserve"> </w:t>
      </w:r>
      <w:r w:rsidR="00A95756">
        <w:rPr>
          <w:rFonts w:eastAsia="PMingLiU"/>
          <w:sz w:val="22"/>
          <w:szCs w:val="22"/>
          <w:lang w:eastAsia="zh-TW"/>
        </w:rPr>
        <w:t>Cambridge: Cambridge University Press.</w:t>
      </w:r>
    </w:p>
    <w:p w14:paraId="2088951C" w14:textId="0A8CEEDA" w:rsidR="008C7276" w:rsidRPr="006F16B8" w:rsidRDefault="008C7276" w:rsidP="005F2D8B">
      <w:pPr>
        <w:tabs>
          <w:tab w:val="left" w:pos="0"/>
          <w:tab w:val="left" w:pos="540"/>
          <w:tab w:val="left" w:pos="851"/>
          <w:tab w:val="left" w:pos="1417"/>
          <w:tab w:val="left" w:pos="1985"/>
          <w:tab w:val="left" w:pos="2551"/>
          <w:tab w:val="left" w:pos="3118"/>
          <w:tab w:val="left" w:pos="3685"/>
          <w:tab w:val="left" w:pos="4252"/>
          <w:tab w:val="left" w:pos="4819"/>
          <w:tab w:val="left" w:pos="5386"/>
          <w:tab w:val="left" w:pos="5953"/>
          <w:tab w:val="left" w:pos="6520"/>
          <w:tab w:val="left" w:pos="7086"/>
          <w:tab w:val="left" w:pos="7654"/>
          <w:tab w:val="left" w:pos="8220"/>
          <w:tab w:val="left" w:pos="8788"/>
          <w:tab w:val="left" w:pos="9354"/>
          <w:tab w:val="left" w:pos="9922"/>
          <w:tab w:val="left" w:pos="10488"/>
          <w:tab w:val="left" w:pos="11054"/>
          <w:tab w:val="left" w:pos="11622"/>
          <w:tab w:val="left" w:pos="12188"/>
          <w:tab w:val="left" w:pos="12756"/>
          <w:tab w:val="left" w:pos="13322"/>
          <w:tab w:val="left" w:pos="13890"/>
          <w:tab w:val="left" w:pos="14456"/>
          <w:tab w:val="left" w:pos="15023"/>
          <w:tab w:val="left" w:pos="15590"/>
          <w:tab w:val="left" w:pos="16157"/>
          <w:tab w:val="left" w:pos="16724"/>
          <w:tab w:val="left" w:pos="17291"/>
          <w:tab w:val="left" w:pos="17858"/>
          <w:tab w:val="left" w:pos="18425"/>
          <w:tab w:val="left" w:pos="18992"/>
          <w:tab w:val="left" w:pos="19559"/>
          <w:tab w:val="left" w:pos="20125"/>
          <w:tab w:val="left" w:pos="20693"/>
          <w:tab w:val="left" w:pos="21259"/>
          <w:tab w:val="left" w:pos="21827"/>
        </w:tabs>
        <w:adjustRightInd w:val="0"/>
        <w:snapToGrid w:val="0"/>
        <w:spacing w:after="120"/>
        <w:ind w:left="360" w:hanging="360"/>
        <w:jc w:val="both"/>
        <w:rPr>
          <w:rFonts w:eastAsia="PMingLiU"/>
          <w:sz w:val="22"/>
          <w:szCs w:val="22"/>
          <w:lang w:eastAsia="zh-TW"/>
        </w:rPr>
      </w:pPr>
      <w:r>
        <w:rPr>
          <w:rFonts w:eastAsia="PMingLiU"/>
          <w:sz w:val="22"/>
          <w:szCs w:val="22"/>
          <w:lang w:eastAsia="zh-TW"/>
        </w:rPr>
        <w:lastRenderedPageBreak/>
        <w:t>Brouthers</w:t>
      </w:r>
      <w:r w:rsidR="00784E13">
        <w:rPr>
          <w:rFonts w:eastAsia="PMingLiU"/>
          <w:sz w:val="22"/>
          <w:szCs w:val="22"/>
          <w:lang w:eastAsia="zh-TW"/>
        </w:rPr>
        <w:t>,</w:t>
      </w:r>
      <w:r>
        <w:rPr>
          <w:rFonts w:eastAsia="PMingLiU"/>
          <w:sz w:val="22"/>
          <w:szCs w:val="22"/>
          <w:lang w:eastAsia="zh-TW"/>
        </w:rPr>
        <w:t xml:space="preserve"> K</w:t>
      </w:r>
      <w:r w:rsidR="00784E13">
        <w:rPr>
          <w:rFonts w:eastAsia="PMingLiU"/>
          <w:sz w:val="22"/>
          <w:szCs w:val="22"/>
          <w:lang w:eastAsia="zh-TW"/>
        </w:rPr>
        <w:t>.</w:t>
      </w:r>
      <w:r>
        <w:rPr>
          <w:rFonts w:eastAsia="PMingLiU"/>
          <w:sz w:val="22"/>
          <w:szCs w:val="22"/>
          <w:lang w:eastAsia="zh-TW"/>
        </w:rPr>
        <w:t>D</w:t>
      </w:r>
      <w:r w:rsidR="00784E13">
        <w:rPr>
          <w:rFonts w:eastAsia="PMingLiU"/>
          <w:sz w:val="22"/>
          <w:szCs w:val="22"/>
          <w:lang w:eastAsia="zh-TW"/>
        </w:rPr>
        <w:t>.</w:t>
      </w:r>
      <w:r>
        <w:rPr>
          <w:rFonts w:eastAsia="PMingLiU"/>
          <w:sz w:val="22"/>
          <w:szCs w:val="22"/>
          <w:lang w:eastAsia="zh-TW"/>
        </w:rPr>
        <w:t>, Brouther</w:t>
      </w:r>
      <w:r w:rsidR="0042579F">
        <w:rPr>
          <w:rFonts w:eastAsia="PMingLiU"/>
          <w:sz w:val="22"/>
          <w:szCs w:val="22"/>
          <w:lang w:eastAsia="zh-TW"/>
        </w:rPr>
        <w:t>s</w:t>
      </w:r>
      <w:r w:rsidR="00784E13">
        <w:rPr>
          <w:rFonts w:eastAsia="PMingLiU"/>
          <w:sz w:val="22"/>
          <w:szCs w:val="22"/>
          <w:lang w:eastAsia="zh-TW"/>
        </w:rPr>
        <w:t>,</w:t>
      </w:r>
      <w:r>
        <w:rPr>
          <w:rFonts w:eastAsia="PMingLiU"/>
          <w:sz w:val="22"/>
          <w:szCs w:val="22"/>
          <w:lang w:eastAsia="zh-TW"/>
        </w:rPr>
        <w:t xml:space="preserve"> L</w:t>
      </w:r>
      <w:r w:rsidR="00784E13">
        <w:rPr>
          <w:rFonts w:eastAsia="PMingLiU"/>
          <w:sz w:val="22"/>
          <w:szCs w:val="22"/>
          <w:lang w:eastAsia="zh-TW"/>
        </w:rPr>
        <w:t>.</w:t>
      </w:r>
      <w:r>
        <w:rPr>
          <w:rFonts w:eastAsia="PMingLiU"/>
          <w:sz w:val="22"/>
          <w:szCs w:val="22"/>
          <w:lang w:eastAsia="zh-TW"/>
        </w:rPr>
        <w:t>E</w:t>
      </w:r>
      <w:r w:rsidR="00784E13">
        <w:rPr>
          <w:rFonts w:eastAsia="PMingLiU"/>
          <w:sz w:val="22"/>
          <w:szCs w:val="22"/>
          <w:lang w:eastAsia="zh-TW"/>
        </w:rPr>
        <w:t>.</w:t>
      </w:r>
      <w:r>
        <w:rPr>
          <w:rFonts w:eastAsia="PMingLiU"/>
          <w:sz w:val="22"/>
          <w:szCs w:val="22"/>
          <w:lang w:eastAsia="zh-TW"/>
        </w:rPr>
        <w:t xml:space="preserve">, </w:t>
      </w:r>
      <w:r w:rsidR="00760BD6">
        <w:rPr>
          <w:rFonts w:eastAsia="PMingLiU"/>
          <w:sz w:val="22"/>
          <w:szCs w:val="22"/>
          <w:lang w:eastAsia="zh-TW"/>
        </w:rPr>
        <w:t xml:space="preserve">&amp; </w:t>
      </w:r>
      <w:r>
        <w:rPr>
          <w:rFonts w:eastAsia="PMingLiU"/>
          <w:sz w:val="22"/>
          <w:szCs w:val="22"/>
          <w:lang w:eastAsia="zh-TW"/>
        </w:rPr>
        <w:t>Werner</w:t>
      </w:r>
      <w:r w:rsidR="00784E13">
        <w:rPr>
          <w:rFonts w:eastAsia="PMingLiU"/>
          <w:sz w:val="22"/>
          <w:szCs w:val="22"/>
          <w:lang w:eastAsia="zh-TW"/>
        </w:rPr>
        <w:t>,</w:t>
      </w:r>
      <w:r>
        <w:rPr>
          <w:rFonts w:eastAsia="PMingLiU"/>
          <w:sz w:val="22"/>
          <w:szCs w:val="22"/>
          <w:lang w:eastAsia="zh-TW"/>
        </w:rPr>
        <w:t xml:space="preserve"> S. 2003. </w:t>
      </w:r>
      <w:r w:rsidRPr="008C7276">
        <w:rPr>
          <w:rFonts w:eastAsia="PMingLiU"/>
          <w:sz w:val="22"/>
          <w:szCs w:val="22"/>
          <w:lang w:eastAsia="zh-TW"/>
        </w:rPr>
        <w:t>Transaction cost-enhanced entry mode choices and firm performance</w:t>
      </w:r>
      <w:r w:rsidR="00ED5BED">
        <w:rPr>
          <w:rFonts w:eastAsia="PMingLiU"/>
          <w:sz w:val="22"/>
          <w:szCs w:val="22"/>
          <w:lang w:eastAsia="zh-TW"/>
        </w:rPr>
        <w:t>.</w:t>
      </w:r>
      <w:r>
        <w:rPr>
          <w:rFonts w:eastAsia="PMingLiU"/>
          <w:sz w:val="22"/>
          <w:szCs w:val="22"/>
          <w:lang w:eastAsia="zh-TW"/>
        </w:rPr>
        <w:t xml:space="preserve"> </w:t>
      </w:r>
      <w:r w:rsidRPr="0018025D">
        <w:rPr>
          <w:rFonts w:eastAsia="PMingLiU"/>
          <w:i/>
          <w:sz w:val="22"/>
          <w:szCs w:val="22"/>
          <w:lang w:eastAsia="zh-TW"/>
        </w:rPr>
        <w:t>Strategic Management Journal</w:t>
      </w:r>
      <w:r w:rsidR="00ED5BED">
        <w:rPr>
          <w:rFonts w:eastAsia="PMingLiU"/>
          <w:i/>
          <w:sz w:val="22"/>
          <w:szCs w:val="22"/>
          <w:lang w:eastAsia="zh-TW"/>
        </w:rPr>
        <w:t>,</w:t>
      </w:r>
      <w:r>
        <w:rPr>
          <w:rFonts w:eastAsia="PMingLiU"/>
          <w:sz w:val="22"/>
          <w:szCs w:val="22"/>
          <w:lang w:eastAsia="zh-TW"/>
        </w:rPr>
        <w:t xml:space="preserve"> 24</w:t>
      </w:r>
      <w:r w:rsidR="00784E13">
        <w:rPr>
          <w:rFonts w:eastAsia="PMingLiU"/>
          <w:sz w:val="22"/>
          <w:szCs w:val="22"/>
          <w:lang w:eastAsia="zh-TW"/>
        </w:rPr>
        <w:t>(</w:t>
      </w:r>
      <w:r w:rsidR="00B46237">
        <w:rPr>
          <w:rFonts w:eastAsia="PMingLiU"/>
          <w:sz w:val="22"/>
          <w:szCs w:val="22"/>
          <w:lang w:eastAsia="zh-TW"/>
        </w:rPr>
        <w:t>12</w:t>
      </w:r>
      <w:r w:rsidR="00784E13">
        <w:rPr>
          <w:rFonts w:eastAsia="PMingLiU"/>
          <w:sz w:val="22"/>
          <w:szCs w:val="22"/>
          <w:lang w:eastAsia="zh-TW"/>
        </w:rPr>
        <w:t>)</w:t>
      </w:r>
      <w:r>
        <w:rPr>
          <w:rFonts w:eastAsia="PMingLiU"/>
          <w:sz w:val="22"/>
          <w:szCs w:val="22"/>
          <w:lang w:eastAsia="zh-TW"/>
        </w:rPr>
        <w:t>: 1239-1248.</w:t>
      </w:r>
    </w:p>
    <w:p w14:paraId="0117225D" w14:textId="5BB3CF33" w:rsidR="00640172" w:rsidRPr="006F16B8" w:rsidRDefault="00640172" w:rsidP="00640172">
      <w:pPr>
        <w:tabs>
          <w:tab w:val="left" w:pos="0"/>
          <w:tab w:val="left" w:pos="540"/>
          <w:tab w:val="left" w:pos="851"/>
          <w:tab w:val="left" w:pos="1417"/>
          <w:tab w:val="left" w:pos="1985"/>
          <w:tab w:val="left" w:pos="2551"/>
          <w:tab w:val="left" w:pos="3118"/>
          <w:tab w:val="left" w:pos="3685"/>
          <w:tab w:val="left" w:pos="4252"/>
          <w:tab w:val="left" w:pos="4819"/>
          <w:tab w:val="left" w:pos="5386"/>
          <w:tab w:val="left" w:pos="5953"/>
          <w:tab w:val="left" w:pos="6520"/>
          <w:tab w:val="left" w:pos="7086"/>
          <w:tab w:val="left" w:pos="7654"/>
          <w:tab w:val="left" w:pos="8220"/>
          <w:tab w:val="left" w:pos="8788"/>
          <w:tab w:val="left" w:pos="9354"/>
          <w:tab w:val="left" w:pos="9922"/>
          <w:tab w:val="left" w:pos="10488"/>
          <w:tab w:val="left" w:pos="11054"/>
          <w:tab w:val="left" w:pos="11622"/>
          <w:tab w:val="left" w:pos="12188"/>
          <w:tab w:val="left" w:pos="12756"/>
          <w:tab w:val="left" w:pos="13322"/>
          <w:tab w:val="left" w:pos="13890"/>
          <w:tab w:val="left" w:pos="14456"/>
          <w:tab w:val="left" w:pos="15023"/>
          <w:tab w:val="left" w:pos="15590"/>
          <w:tab w:val="left" w:pos="16157"/>
          <w:tab w:val="left" w:pos="16724"/>
          <w:tab w:val="left" w:pos="17291"/>
          <w:tab w:val="left" w:pos="17858"/>
          <w:tab w:val="left" w:pos="18425"/>
          <w:tab w:val="left" w:pos="18992"/>
          <w:tab w:val="left" w:pos="19559"/>
          <w:tab w:val="left" w:pos="20125"/>
          <w:tab w:val="left" w:pos="20693"/>
          <w:tab w:val="left" w:pos="21259"/>
          <w:tab w:val="left" w:pos="21827"/>
        </w:tabs>
        <w:adjustRightInd w:val="0"/>
        <w:snapToGrid w:val="0"/>
        <w:spacing w:after="120"/>
        <w:ind w:left="360" w:hanging="360"/>
        <w:jc w:val="both"/>
        <w:rPr>
          <w:rFonts w:eastAsia="PMingLiU"/>
          <w:sz w:val="22"/>
          <w:szCs w:val="22"/>
          <w:lang w:eastAsia="zh-TW"/>
        </w:rPr>
      </w:pPr>
      <w:r>
        <w:rPr>
          <w:rFonts w:eastAsia="PMingLiU"/>
          <w:sz w:val="22"/>
          <w:szCs w:val="22"/>
          <w:lang w:eastAsia="zh-TW"/>
        </w:rPr>
        <w:t>Buckley</w:t>
      </w:r>
      <w:r w:rsidR="00364724">
        <w:rPr>
          <w:rFonts w:eastAsia="PMingLiU"/>
          <w:sz w:val="22"/>
          <w:szCs w:val="22"/>
          <w:lang w:eastAsia="zh-TW"/>
        </w:rPr>
        <w:t>,</w:t>
      </w:r>
      <w:r>
        <w:rPr>
          <w:rFonts w:eastAsia="PMingLiU"/>
          <w:sz w:val="22"/>
          <w:szCs w:val="22"/>
          <w:lang w:eastAsia="zh-TW"/>
        </w:rPr>
        <w:t xml:space="preserve"> P</w:t>
      </w:r>
      <w:r w:rsidR="00364724">
        <w:rPr>
          <w:rFonts w:eastAsia="PMingLiU"/>
          <w:sz w:val="22"/>
          <w:szCs w:val="22"/>
          <w:lang w:eastAsia="zh-TW"/>
        </w:rPr>
        <w:t>.</w:t>
      </w:r>
      <w:r>
        <w:rPr>
          <w:rFonts w:eastAsia="PMingLiU"/>
          <w:sz w:val="22"/>
          <w:szCs w:val="22"/>
          <w:lang w:eastAsia="zh-TW"/>
        </w:rPr>
        <w:t>J</w:t>
      </w:r>
      <w:r w:rsidR="00364724">
        <w:rPr>
          <w:rFonts w:eastAsia="PMingLiU"/>
          <w:sz w:val="22"/>
          <w:szCs w:val="22"/>
          <w:lang w:eastAsia="zh-TW"/>
        </w:rPr>
        <w:t>.</w:t>
      </w:r>
      <w:r>
        <w:rPr>
          <w:rFonts w:eastAsia="PMingLiU"/>
          <w:sz w:val="22"/>
          <w:szCs w:val="22"/>
          <w:lang w:eastAsia="zh-TW"/>
        </w:rPr>
        <w:t xml:space="preserve">, </w:t>
      </w:r>
      <w:r w:rsidR="00760BD6">
        <w:rPr>
          <w:rFonts w:eastAsia="PMingLiU"/>
          <w:sz w:val="22"/>
          <w:szCs w:val="22"/>
          <w:lang w:eastAsia="zh-TW"/>
        </w:rPr>
        <w:t xml:space="preserve">&amp; </w:t>
      </w:r>
      <w:r>
        <w:rPr>
          <w:rFonts w:eastAsia="PMingLiU"/>
          <w:sz w:val="22"/>
          <w:szCs w:val="22"/>
          <w:lang w:eastAsia="zh-TW"/>
        </w:rPr>
        <w:t>Casson</w:t>
      </w:r>
      <w:r w:rsidR="00364724">
        <w:rPr>
          <w:rFonts w:eastAsia="PMingLiU"/>
          <w:sz w:val="22"/>
          <w:szCs w:val="22"/>
          <w:lang w:eastAsia="zh-TW"/>
        </w:rPr>
        <w:t>,</w:t>
      </w:r>
      <w:r>
        <w:rPr>
          <w:rFonts w:eastAsia="PMingLiU"/>
          <w:sz w:val="22"/>
          <w:szCs w:val="22"/>
          <w:lang w:eastAsia="zh-TW"/>
        </w:rPr>
        <w:t xml:space="preserve"> M</w:t>
      </w:r>
      <w:r w:rsidR="00364724">
        <w:rPr>
          <w:rFonts w:eastAsia="PMingLiU"/>
          <w:sz w:val="22"/>
          <w:szCs w:val="22"/>
          <w:lang w:eastAsia="zh-TW"/>
        </w:rPr>
        <w:t>.</w:t>
      </w:r>
      <w:r>
        <w:rPr>
          <w:rFonts w:eastAsia="PMingLiU"/>
          <w:sz w:val="22"/>
          <w:szCs w:val="22"/>
          <w:lang w:eastAsia="zh-TW"/>
        </w:rPr>
        <w:t>C. 2009. The internalization theory of the multinational enterprise: A review of the progress of a research agenda after 30 years</w:t>
      </w:r>
      <w:r w:rsidR="00ED5BED">
        <w:rPr>
          <w:rFonts w:eastAsia="PMingLiU"/>
          <w:sz w:val="22"/>
          <w:szCs w:val="22"/>
          <w:lang w:eastAsia="zh-TW"/>
        </w:rPr>
        <w:t>.</w:t>
      </w:r>
      <w:r>
        <w:rPr>
          <w:rFonts w:eastAsia="PMingLiU"/>
          <w:sz w:val="22"/>
          <w:szCs w:val="22"/>
          <w:lang w:eastAsia="zh-TW"/>
        </w:rPr>
        <w:t xml:space="preserve"> </w:t>
      </w:r>
      <w:r w:rsidRPr="000E77B6">
        <w:rPr>
          <w:rFonts w:eastAsia="PMingLiU"/>
          <w:i/>
          <w:sz w:val="22"/>
          <w:szCs w:val="22"/>
          <w:lang w:eastAsia="zh-TW"/>
        </w:rPr>
        <w:t>Journal of International Business Studies</w:t>
      </w:r>
      <w:r w:rsidR="00ED5BED">
        <w:rPr>
          <w:rFonts w:eastAsia="PMingLiU"/>
          <w:i/>
          <w:sz w:val="22"/>
          <w:szCs w:val="22"/>
          <w:lang w:eastAsia="zh-TW"/>
        </w:rPr>
        <w:t>,</w:t>
      </w:r>
      <w:r>
        <w:rPr>
          <w:rFonts w:eastAsia="PMingLiU"/>
          <w:sz w:val="22"/>
          <w:szCs w:val="22"/>
          <w:lang w:eastAsia="zh-TW"/>
        </w:rPr>
        <w:t xml:space="preserve"> 40</w:t>
      </w:r>
      <w:r w:rsidR="00ED5BED">
        <w:rPr>
          <w:rFonts w:eastAsia="PMingLiU"/>
          <w:sz w:val="22"/>
          <w:szCs w:val="22"/>
          <w:lang w:eastAsia="zh-TW"/>
        </w:rPr>
        <w:t>(9)</w:t>
      </w:r>
      <w:r>
        <w:rPr>
          <w:rFonts w:eastAsia="PMingLiU"/>
          <w:sz w:val="22"/>
          <w:szCs w:val="22"/>
          <w:lang w:eastAsia="zh-TW"/>
        </w:rPr>
        <w:t>: 1563-1580.</w:t>
      </w:r>
    </w:p>
    <w:p w14:paraId="5527C01D" w14:textId="51E6F444" w:rsidR="008B0496" w:rsidRDefault="008B0496" w:rsidP="005F2D8B">
      <w:pPr>
        <w:widowControl w:val="0"/>
        <w:spacing w:after="120" w:line="276" w:lineRule="auto"/>
        <w:ind w:left="360" w:hanging="360"/>
        <w:rPr>
          <w:bCs/>
          <w:sz w:val="22"/>
          <w:szCs w:val="22"/>
          <w:lang w:val="en-GB"/>
        </w:rPr>
      </w:pPr>
      <w:r w:rsidRPr="008B0496">
        <w:rPr>
          <w:bCs/>
          <w:sz w:val="22"/>
          <w:szCs w:val="22"/>
          <w:lang w:val="en-GB"/>
        </w:rPr>
        <w:t>Buckley</w:t>
      </w:r>
      <w:r w:rsidR="0061397E">
        <w:rPr>
          <w:bCs/>
          <w:sz w:val="22"/>
          <w:szCs w:val="22"/>
          <w:lang w:val="en-GB"/>
        </w:rPr>
        <w:t>,</w:t>
      </w:r>
      <w:r w:rsidRPr="008B0496">
        <w:rPr>
          <w:bCs/>
          <w:sz w:val="22"/>
          <w:szCs w:val="22"/>
          <w:lang w:val="en-GB"/>
        </w:rPr>
        <w:t xml:space="preserve"> P</w:t>
      </w:r>
      <w:r w:rsidR="0061397E">
        <w:rPr>
          <w:bCs/>
          <w:sz w:val="22"/>
          <w:szCs w:val="22"/>
          <w:lang w:val="en-GB"/>
        </w:rPr>
        <w:t>.</w:t>
      </w:r>
      <w:r w:rsidRPr="008B0496">
        <w:rPr>
          <w:bCs/>
          <w:sz w:val="22"/>
          <w:szCs w:val="22"/>
          <w:lang w:val="en-GB"/>
        </w:rPr>
        <w:t xml:space="preserve"> J</w:t>
      </w:r>
      <w:r w:rsidR="0061397E">
        <w:rPr>
          <w:bCs/>
          <w:sz w:val="22"/>
          <w:szCs w:val="22"/>
          <w:lang w:val="en-GB"/>
        </w:rPr>
        <w:t>.</w:t>
      </w:r>
      <w:r w:rsidRPr="008B0496">
        <w:rPr>
          <w:bCs/>
          <w:sz w:val="22"/>
          <w:szCs w:val="22"/>
          <w:lang w:val="en-GB"/>
        </w:rPr>
        <w:t>, Elia</w:t>
      </w:r>
      <w:r w:rsidR="0061397E">
        <w:rPr>
          <w:bCs/>
          <w:sz w:val="22"/>
          <w:szCs w:val="22"/>
          <w:lang w:val="en-GB"/>
        </w:rPr>
        <w:t>,</w:t>
      </w:r>
      <w:r w:rsidRPr="008B0496">
        <w:rPr>
          <w:bCs/>
          <w:sz w:val="22"/>
          <w:szCs w:val="22"/>
          <w:lang w:val="en-GB"/>
        </w:rPr>
        <w:t xml:space="preserve"> S</w:t>
      </w:r>
      <w:r w:rsidR="0061397E">
        <w:rPr>
          <w:bCs/>
          <w:sz w:val="22"/>
          <w:szCs w:val="22"/>
          <w:lang w:val="en-GB"/>
        </w:rPr>
        <w:t>.</w:t>
      </w:r>
      <w:r w:rsidRPr="008B0496">
        <w:rPr>
          <w:bCs/>
          <w:sz w:val="22"/>
          <w:szCs w:val="22"/>
          <w:lang w:val="en-GB"/>
        </w:rPr>
        <w:t>, Kafouros</w:t>
      </w:r>
      <w:r w:rsidR="0061397E">
        <w:rPr>
          <w:bCs/>
          <w:sz w:val="22"/>
          <w:szCs w:val="22"/>
          <w:lang w:val="en-GB"/>
        </w:rPr>
        <w:t>,</w:t>
      </w:r>
      <w:r w:rsidRPr="008B0496">
        <w:rPr>
          <w:bCs/>
          <w:sz w:val="22"/>
          <w:szCs w:val="22"/>
          <w:lang w:val="en-GB"/>
        </w:rPr>
        <w:t xml:space="preserve"> M. 2014. Acquisitions by emerging market multinationals: Implications for firm performance. </w:t>
      </w:r>
      <w:r w:rsidRPr="008B0496">
        <w:rPr>
          <w:bCs/>
          <w:i/>
          <w:sz w:val="22"/>
          <w:szCs w:val="22"/>
          <w:lang w:val="en-GB"/>
        </w:rPr>
        <w:t>Journal of World Business</w:t>
      </w:r>
      <w:r w:rsidRPr="008B0496">
        <w:rPr>
          <w:bCs/>
          <w:sz w:val="22"/>
          <w:szCs w:val="22"/>
          <w:lang w:val="en-GB"/>
        </w:rPr>
        <w:t>, 49(4): 611-632.</w:t>
      </w:r>
    </w:p>
    <w:p w14:paraId="5F9255BB" w14:textId="77777777" w:rsidR="00435B70" w:rsidRDefault="00435B70" w:rsidP="00C60FB4">
      <w:pPr>
        <w:widowControl w:val="0"/>
        <w:spacing w:after="120" w:line="276" w:lineRule="auto"/>
        <w:ind w:left="360" w:hanging="360"/>
        <w:rPr>
          <w:sz w:val="22"/>
        </w:rPr>
      </w:pPr>
      <w:r w:rsidRPr="00435B70">
        <w:rPr>
          <w:sz w:val="22"/>
        </w:rPr>
        <w:t xml:space="preserve">Buckley, P.J., Munjal, S., Enderwick, P. &amp; Forsans, N. 2016. The role of experiential and non-experiential knowledge in cross-border acquisitions: The case of Indian multinational enterprises, </w:t>
      </w:r>
      <w:r w:rsidRPr="00435B70">
        <w:rPr>
          <w:i/>
          <w:sz w:val="22"/>
        </w:rPr>
        <w:t>Journal of World Business</w:t>
      </w:r>
      <w:r w:rsidRPr="00435B70">
        <w:rPr>
          <w:sz w:val="22"/>
        </w:rPr>
        <w:t xml:space="preserve">, 51(5). </w:t>
      </w:r>
    </w:p>
    <w:p w14:paraId="3775CB47" w14:textId="2B4A61B0" w:rsidR="00110ABE" w:rsidRPr="00B46237" w:rsidRDefault="00110ABE" w:rsidP="00C60FB4">
      <w:pPr>
        <w:widowControl w:val="0"/>
        <w:spacing w:after="120" w:line="276" w:lineRule="auto"/>
        <w:ind w:left="360" w:hanging="360"/>
        <w:rPr>
          <w:sz w:val="22"/>
        </w:rPr>
      </w:pPr>
      <w:r w:rsidRPr="00B46237">
        <w:rPr>
          <w:sz w:val="22"/>
        </w:rPr>
        <w:t>Caligiuri, P. 2006. Developing global leaders</w:t>
      </w:r>
      <w:r w:rsidR="00ED5BED">
        <w:rPr>
          <w:sz w:val="22"/>
        </w:rPr>
        <w:t>.</w:t>
      </w:r>
      <w:r w:rsidRPr="00B46237">
        <w:rPr>
          <w:sz w:val="22"/>
        </w:rPr>
        <w:t xml:space="preserve"> </w:t>
      </w:r>
      <w:r w:rsidRPr="00B46237">
        <w:rPr>
          <w:i/>
          <w:sz w:val="22"/>
        </w:rPr>
        <w:t>Human Resource Management Review</w:t>
      </w:r>
      <w:r w:rsidRPr="00B46237">
        <w:rPr>
          <w:sz w:val="22"/>
        </w:rPr>
        <w:t xml:space="preserve">, </w:t>
      </w:r>
      <w:r w:rsidR="00F9663B">
        <w:rPr>
          <w:sz w:val="22"/>
        </w:rPr>
        <w:t>16</w:t>
      </w:r>
      <w:r w:rsidR="00784E13">
        <w:rPr>
          <w:sz w:val="22"/>
        </w:rPr>
        <w:t>(</w:t>
      </w:r>
      <w:r w:rsidR="00F9663B">
        <w:rPr>
          <w:sz w:val="22"/>
        </w:rPr>
        <w:t>2</w:t>
      </w:r>
      <w:r w:rsidR="00784E13">
        <w:rPr>
          <w:sz w:val="22"/>
        </w:rPr>
        <w:t>)</w:t>
      </w:r>
      <w:r w:rsidRPr="00B46237">
        <w:rPr>
          <w:sz w:val="22"/>
        </w:rPr>
        <w:t xml:space="preserve">: 219-228. </w:t>
      </w:r>
    </w:p>
    <w:p w14:paraId="3E7764FB" w14:textId="27F02337" w:rsidR="00BF62D0" w:rsidRDefault="00BF62D0" w:rsidP="00A83AD9">
      <w:pPr>
        <w:spacing w:after="120"/>
        <w:ind w:left="284" w:hanging="284"/>
        <w:outlineLvl w:val="0"/>
        <w:rPr>
          <w:sz w:val="22"/>
          <w:szCs w:val="22"/>
        </w:rPr>
      </w:pPr>
      <w:r w:rsidRPr="00BF62D0">
        <w:rPr>
          <w:sz w:val="22"/>
          <w:szCs w:val="22"/>
        </w:rPr>
        <w:t xml:space="preserve">Carney, M., Dieleman, M. &amp;Taussig, M. (2016). How are institutional capabilities transferred across borders? </w:t>
      </w:r>
      <w:r w:rsidRPr="00CA1A23">
        <w:rPr>
          <w:i/>
          <w:sz w:val="22"/>
          <w:szCs w:val="22"/>
        </w:rPr>
        <w:t>Journal of World Business</w:t>
      </w:r>
      <w:r w:rsidRPr="00BF62D0">
        <w:rPr>
          <w:sz w:val="22"/>
          <w:szCs w:val="22"/>
        </w:rPr>
        <w:t xml:space="preserve"> </w:t>
      </w:r>
      <w:r>
        <w:rPr>
          <w:sz w:val="22"/>
          <w:szCs w:val="22"/>
        </w:rPr>
        <w:t>51(6): 882-894.</w:t>
      </w:r>
    </w:p>
    <w:p w14:paraId="3D043956" w14:textId="696E6B38" w:rsidR="005F4C2F" w:rsidRDefault="00E14B14" w:rsidP="00A83AD9">
      <w:pPr>
        <w:spacing w:after="120"/>
        <w:ind w:left="284" w:hanging="284"/>
        <w:outlineLvl w:val="0"/>
        <w:rPr>
          <w:sz w:val="22"/>
          <w:szCs w:val="22"/>
        </w:rPr>
      </w:pPr>
      <w:r w:rsidRPr="00E14B14">
        <w:rPr>
          <w:sz w:val="22"/>
          <w:szCs w:val="22"/>
        </w:rPr>
        <w:t>Carney</w:t>
      </w:r>
      <w:r w:rsidR="006B3149">
        <w:rPr>
          <w:sz w:val="22"/>
          <w:szCs w:val="22"/>
        </w:rPr>
        <w:t>,</w:t>
      </w:r>
      <w:r>
        <w:rPr>
          <w:sz w:val="22"/>
          <w:szCs w:val="22"/>
        </w:rPr>
        <w:t xml:space="preserve"> M</w:t>
      </w:r>
      <w:r w:rsidR="00760BD6">
        <w:rPr>
          <w:sz w:val="22"/>
          <w:szCs w:val="22"/>
        </w:rPr>
        <w:t>.</w:t>
      </w:r>
      <w:r>
        <w:rPr>
          <w:sz w:val="22"/>
          <w:szCs w:val="22"/>
        </w:rPr>
        <w:t>,</w:t>
      </w:r>
      <w:r w:rsidRPr="00E14B14">
        <w:rPr>
          <w:sz w:val="22"/>
          <w:szCs w:val="22"/>
        </w:rPr>
        <w:t xml:space="preserve"> </w:t>
      </w:r>
      <w:r w:rsidR="008B0496">
        <w:rPr>
          <w:sz w:val="22"/>
          <w:szCs w:val="22"/>
        </w:rPr>
        <w:t>v</w:t>
      </w:r>
      <w:r w:rsidR="008B0496" w:rsidRPr="00E14B14">
        <w:rPr>
          <w:sz w:val="22"/>
          <w:szCs w:val="22"/>
        </w:rPr>
        <w:t xml:space="preserve">an </w:t>
      </w:r>
      <w:r w:rsidRPr="00E14B14">
        <w:rPr>
          <w:sz w:val="22"/>
          <w:szCs w:val="22"/>
        </w:rPr>
        <w:t>Essen</w:t>
      </w:r>
      <w:r w:rsidR="006B3149">
        <w:rPr>
          <w:sz w:val="22"/>
          <w:szCs w:val="22"/>
        </w:rPr>
        <w:t>,</w:t>
      </w:r>
      <w:r>
        <w:rPr>
          <w:sz w:val="22"/>
          <w:szCs w:val="22"/>
        </w:rPr>
        <w:t xml:space="preserve"> M</w:t>
      </w:r>
      <w:r w:rsidR="00760BD6">
        <w:rPr>
          <w:sz w:val="22"/>
          <w:szCs w:val="22"/>
        </w:rPr>
        <w:t>.</w:t>
      </w:r>
      <w:r>
        <w:rPr>
          <w:sz w:val="22"/>
          <w:szCs w:val="22"/>
        </w:rPr>
        <w:t xml:space="preserve">, </w:t>
      </w:r>
      <w:r w:rsidRPr="00E14B14">
        <w:rPr>
          <w:sz w:val="22"/>
          <w:szCs w:val="22"/>
        </w:rPr>
        <w:t>Estrin</w:t>
      </w:r>
      <w:r>
        <w:rPr>
          <w:sz w:val="22"/>
          <w:szCs w:val="22"/>
        </w:rPr>
        <w:t xml:space="preserve"> S</w:t>
      </w:r>
      <w:r w:rsidR="00760BD6">
        <w:rPr>
          <w:sz w:val="22"/>
          <w:szCs w:val="22"/>
        </w:rPr>
        <w:t>.</w:t>
      </w:r>
      <w:r w:rsidR="005F4C2F">
        <w:rPr>
          <w:sz w:val="22"/>
          <w:szCs w:val="22"/>
        </w:rPr>
        <w:t xml:space="preserve">, </w:t>
      </w:r>
      <w:r w:rsidR="00760BD6">
        <w:rPr>
          <w:sz w:val="22"/>
          <w:szCs w:val="22"/>
        </w:rPr>
        <w:t xml:space="preserve">&amp; </w:t>
      </w:r>
      <w:r w:rsidRPr="00E14B14">
        <w:rPr>
          <w:sz w:val="22"/>
          <w:szCs w:val="22"/>
        </w:rPr>
        <w:t>Shapiro</w:t>
      </w:r>
      <w:r w:rsidR="00456613">
        <w:rPr>
          <w:sz w:val="22"/>
          <w:szCs w:val="22"/>
        </w:rPr>
        <w:t>, D.</w:t>
      </w:r>
      <w:r>
        <w:rPr>
          <w:sz w:val="22"/>
          <w:szCs w:val="22"/>
        </w:rPr>
        <w:t xml:space="preserve"> 201</w:t>
      </w:r>
      <w:r w:rsidR="005847D7">
        <w:rPr>
          <w:sz w:val="22"/>
          <w:szCs w:val="22"/>
        </w:rPr>
        <w:t>7</w:t>
      </w:r>
      <w:r w:rsidR="00456613">
        <w:rPr>
          <w:rFonts w:eastAsiaTheme="minorEastAsia" w:hint="eastAsia"/>
          <w:sz w:val="22"/>
          <w:szCs w:val="22"/>
          <w:lang w:eastAsia="zh-CN"/>
        </w:rPr>
        <w:t xml:space="preserve">. </w:t>
      </w:r>
      <w:r w:rsidRPr="00CA792A">
        <w:rPr>
          <w:sz w:val="22"/>
          <w:szCs w:val="22"/>
        </w:rPr>
        <w:t>Cross-</w:t>
      </w:r>
      <w:r w:rsidR="005F4C2F">
        <w:rPr>
          <w:sz w:val="22"/>
          <w:szCs w:val="22"/>
        </w:rPr>
        <w:t>n</w:t>
      </w:r>
      <w:r w:rsidRPr="00CA792A">
        <w:rPr>
          <w:sz w:val="22"/>
          <w:szCs w:val="22"/>
        </w:rPr>
        <w:t xml:space="preserve">ational and </w:t>
      </w:r>
      <w:r w:rsidR="005F4C2F">
        <w:rPr>
          <w:sz w:val="22"/>
          <w:szCs w:val="22"/>
        </w:rPr>
        <w:t>t</w:t>
      </w:r>
      <w:r w:rsidRPr="00CA792A">
        <w:rPr>
          <w:sz w:val="22"/>
          <w:szCs w:val="22"/>
        </w:rPr>
        <w:t xml:space="preserve">emporal </w:t>
      </w:r>
      <w:r w:rsidR="005F4C2F">
        <w:rPr>
          <w:sz w:val="22"/>
          <w:szCs w:val="22"/>
        </w:rPr>
        <w:t>d</w:t>
      </w:r>
      <w:r w:rsidRPr="00CA792A">
        <w:rPr>
          <w:sz w:val="22"/>
          <w:szCs w:val="22"/>
        </w:rPr>
        <w:t xml:space="preserve">ifferences in </w:t>
      </w:r>
      <w:r w:rsidR="005F4C2F">
        <w:rPr>
          <w:sz w:val="22"/>
          <w:szCs w:val="22"/>
        </w:rPr>
        <w:t>b</w:t>
      </w:r>
      <w:r w:rsidRPr="00CA792A">
        <w:rPr>
          <w:sz w:val="22"/>
          <w:szCs w:val="22"/>
        </w:rPr>
        <w:t xml:space="preserve">usiness </w:t>
      </w:r>
      <w:r w:rsidR="005F4C2F">
        <w:rPr>
          <w:sz w:val="22"/>
          <w:szCs w:val="22"/>
        </w:rPr>
        <w:t>g</w:t>
      </w:r>
      <w:r w:rsidRPr="00CA792A">
        <w:rPr>
          <w:sz w:val="22"/>
          <w:szCs w:val="22"/>
        </w:rPr>
        <w:t xml:space="preserve">roup </w:t>
      </w:r>
      <w:r w:rsidR="005F4C2F">
        <w:rPr>
          <w:sz w:val="22"/>
          <w:szCs w:val="22"/>
        </w:rPr>
        <w:t>p</w:t>
      </w:r>
      <w:r w:rsidRPr="00CA792A">
        <w:rPr>
          <w:sz w:val="22"/>
          <w:szCs w:val="22"/>
        </w:rPr>
        <w:t xml:space="preserve">revalence: Do </w:t>
      </w:r>
      <w:r w:rsidR="005F4C2F">
        <w:rPr>
          <w:sz w:val="22"/>
          <w:szCs w:val="22"/>
        </w:rPr>
        <w:t>t</w:t>
      </w:r>
      <w:r w:rsidRPr="00CA792A">
        <w:rPr>
          <w:sz w:val="22"/>
          <w:szCs w:val="22"/>
        </w:rPr>
        <w:t xml:space="preserve">hey </w:t>
      </w:r>
      <w:r w:rsidR="005F4C2F">
        <w:rPr>
          <w:sz w:val="22"/>
          <w:szCs w:val="22"/>
        </w:rPr>
        <w:t>m</w:t>
      </w:r>
      <w:r w:rsidRPr="00CA792A">
        <w:rPr>
          <w:sz w:val="22"/>
          <w:szCs w:val="22"/>
        </w:rPr>
        <w:t>atter?</w:t>
      </w:r>
      <w:r w:rsidRPr="00E14B14">
        <w:rPr>
          <w:b/>
          <w:sz w:val="22"/>
          <w:szCs w:val="22"/>
        </w:rPr>
        <w:t xml:space="preserve"> </w:t>
      </w:r>
      <w:r>
        <w:rPr>
          <w:b/>
          <w:sz w:val="22"/>
          <w:szCs w:val="22"/>
        </w:rPr>
        <w:t xml:space="preserve"> </w:t>
      </w:r>
      <w:r w:rsidR="005847D7">
        <w:rPr>
          <w:sz w:val="22"/>
          <w:szCs w:val="22"/>
        </w:rPr>
        <w:t xml:space="preserve">forthcoming </w:t>
      </w:r>
      <w:r w:rsidR="005847D7" w:rsidRPr="00A278A6">
        <w:rPr>
          <w:i/>
          <w:sz w:val="22"/>
          <w:szCs w:val="22"/>
        </w:rPr>
        <w:t>Multinational Business Review</w:t>
      </w:r>
      <w:r w:rsidR="00DB4A89">
        <w:rPr>
          <w:i/>
          <w:sz w:val="22"/>
          <w:szCs w:val="22"/>
        </w:rPr>
        <w:t xml:space="preserve">. </w:t>
      </w:r>
    </w:p>
    <w:p w14:paraId="21AD5E56" w14:textId="49403558" w:rsidR="00DB4A89" w:rsidRDefault="00DB4A89" w:rsidP="005F2D8B">
      <w:pPr>
        <w:spacing w:after="120"/>
        <w:ind w:left="360" w:hanging="360"/>
        <w:outlineLvl w:val="0"/>
        <w:rPr>
          <w:bCs/>
          <w:sz w:val="22"/>
          <w:szCs w:val="22"/>
          <w:lang w:val="en-AU"/>
        </w:rPr>
      </w:pPr>
      <w:r>
        <w:rPr>
          <w:bCs/>
          <w:sz w:val="22"/>
          <w:szCs w:val="22"/>
          <w:lang w:val="en-AU"/>
        </w:rPr>
        <w:t xml:space="preserve">Chaney, T. (2014). The network structure of international trade, </w:t>
      </w:r>
      <w:r w:rsidRPr="00CA1A23">
        <w:rPr>
          <w:bCs/>
          <w:i/>
          <w:sz w:val="22"/>
          <w:szCs w:val="22"/>
          <w:lang w:val="en-AU"/>
        </w:rPr>
        <w:t>American Economic Review</w:t>
      </w:r>
      <w:r>
        <w:rPr>
          <w:bCs/>
          <w:sz w:val="22"/>
          <w:szCs w:val="22"/>
          <w:lang w:val="en-AU"/>
        </w:rPr>
        <w:t xml:space="preserve">, 104(11): 3600-3634. </w:t>
      </w:r>
    </w:p>
    <w:p w14:paraId="66186A36" w14:textId="068E71B8" w:rsidR="004E4DF6" w:rsidRPr="006F16B8" w:rsidRDefault="004E4DF6" w:rsidP="005F2D8B">
      <w:pPr>
        <w:spacing w:after="120"/>
        <w:ind w:left="360" w:hanging="360"/>
        <w:outlineLvl w:val="0"/>
        <w:rPr>
          <w:bCs/>
          <w:sz w:val="22"/>
          <w:szCs w:val="22"/>
          <w:lang w:val="en-AU"/>
        </w:rPr>
      </w:pPr>
      <w:r w:rsidRPr="006F16B8">
        <w:rPr>
          <w:bCs/>
          <w:sz w:val="22"/>
          <w:szCs w:val="22"/>
          <w:lang w:val="en-AU"/>
        </w:rPr>
        <w:t>Chang S</w:t>
      </w:r>
      <w:r w:rsidR="00760BD6">
        <w:rPr>
          <w:bCs/>
          <w:sz w:val="22"/>
          <w:szCs w:val="22"/>
          <w:lang w:val="en-AU"/>
        </w:rPr>
        <w:t>.</w:t>
      </w:r>
      <w:r w:rsidRPr="006F16B8">
        <w:rPr>
          <w:bCs/>
          <w:sz w:val="22"/>
          <w:szCs w:val="22"/>
          <w:lang w:val="en-AU"/>
        </w:rPr>
        <w:t>J</w:t>
      </w:r>
      <w:r w:rsidR="00760BD6">
        <w:rPr>
          <w:bCs/>
          <w:sz w:val="22"/>
          <w:szCs w:val="22"/>
          <w:lang w:val="en-AU"/>
        </w:rPr>
        <w:t>.</w:t>
      </w:r>
      <w:r w:rsidRPr="006F16B8">
        <w:rPr>
          <w:bCs/>
          <w:sz w:val="22"/>
          <w:szCs w:val="22"/>
          <w:lang w:val="en-AU"/>
        </w:rPr>
        <w:t xml:space="preserve">, </w:t>
      </w:r>
      <w:r w:rsidR="00760BD6">
        <w:rPr>
          <w:bCs/>
          <w:sz w:val="22"/>
          <w:szCs w:val="22"/>
          <w:lang w:val="en-AU"/>
        </w:rPr>
        <w:t xml:space="preserve">&amp; </w:t>
      </w:r>
      <w:r w:rsidRPr="006F16B8">
        <w:rPr>
          <w:bCs/>
          <w:sz w:val="22"/>
          <w:szCs w:val="22"/>
          <w:lang w:val="en-AU"/>
        </w:rPr>
        <w:t>Park S. 2005. Types of firms generating network externalities and MNCs’ co-location decisions</w:t>
      </w:r>
      <w:r w:rsidR="00776433">
        <w:rPr>
          <w:bCs/>
          <w:sz w:val="22"/>
          <w:szCs w:val="22"/>
          <w:lang w:val="en-AU"/>
        </w:rPr>
        <w:t>.</w:t>
      </w:r>
      <w:r w:rsidRPr="006F16B8">
        <w:rPr>
          <w:bCs/>
          <w:sz w:val="22"/>
          <w:szCs w:val="22"/>
          <w:lang w:val="en-AU"/>
        </w:rPr>
        <w:t xml:space="preserve"> </w:t>
      </w:r>
      <w:r w:rsidRPr="006F16B8">
        <w:rPr>
          <w:bCs/>
          <w:i/>
          <w:sz w:val="22"/>
          <w:szCs w:val="22"/>
          <w:lang w:val="en-AU"/>
        </w:rPr>
        <w:t>Strategic Management Journal</w:t>
      </w:r>
      <w:r w:rsidR="00ED5BED">
        <w:rPr>
          <w:bCs/>
          <w:i/>
          <w:sz w:val="22"/>
          <w:szCs w:val="22"/>
          <w:lang w:val="en-AU"/>
        </w:rPr>
        <w:t>,</w:t>
      </w:r>
      <w:r w:rsidRPr="006F16B8">
        <w:rPr>
          <w:bCs/>
          <w:sz w:val="22"/>
          <w:szCs w:val="22"/>
          <w:lang w:val="en-AU"/>
        </w:rPr>
        <w:t xml:space="preserve"> 26</w:t>
      </w:r>
      <w:r w:rsidR="00760BD6">
        <w:rPr>
          <w:bCs/>
          <w:sz w:val="22"/>
          <w:szCs w:val="22"/>
          <w:lang w:val="en-AU"/>
        </w:rPr>
        <w:t>(</w:t>
      </w:r>
      <w:r w:rsidR="00F9663B">
        <w:rPr>
          <w:bCs/>
          <w:sz w:val="22"/>
          <w:szCs w:val="22"/>
          <w:lang w:val="en-AU"/>
        </w:rPr>
        <w:t>7</w:t>
      </w:r>
      <w:r w:rsidR="00760BD6">
        <w:rPr>
          <w:bCs/>
          <w:sz w:val="22"/>
          <w:szCs w:val="22"/>
          <w:lang w:val="en-AU"/>
        </w:rPr>
        <w:t>)</w:t>
      </w:r>
      <w:r w:rsidRPr="006F16B8">
        <w:rPr>
          <w:bCs/>
          <w:sz w:val="22"/>
          <w:szCs w:val="22"/>
          <w:lang w:val="en-AU"/>
        </w:rPr>
        <w:t>: 595-615.</w:t>
      </w:r>
    </w:p>
    <w:p w14:paraId="51AF8EE1" w14:textId="54CBC942" w:rsidR="00612ED4" w:rsidRPr="006F16B8" w:rsidRDefault="00612ED4" w:rsidP="005F2D8B">
      <w:pPr>
        <w:widowControl w:val="0"/>
        <w:spacing w:after="120"/>
        <w:ind w:left="360" w:hanging="360"/>
        <w:rPr>
          <w:noProof/>
          <w:sz w:val="22"/>
          <w:szCs w:val="22"/>
          <w:lang w:val="en-AU"/>
        </w:rPr>
      </w:pPr>
      <w:r w:rsidRPr="006F16B8">
        <w:rPr>
          <w:noProof/>
          <w:sz w:val="22"/>
          <w:szCs w:val="22"/>
          <w:lang w:val="en-AU"/>
        </w:rPr>
        <w:t>Child J</w:t>
      </w:r>
      <w:r w:rsidR="00760BD6">
        <w:rPr>
          <w:noProof/>
          <w:sz w:val="22"/>
          <w:szCs w:val="22"/>
          <w:lang w:val="en-AU"/>
        </w:rPr>
        <w:t>.</w:t>
      </w:r>
      <w:r w:rsidR="00AA3D87" w:rsidRPr="006F16B8">
        <w:rPr>
          <w:noProof/>
          <w:sz w:val="22"/>
          <w:szCs w:val="22"/>
          <w:lang w:val="en-AU"/>
        </w:rPr>
        <w:t xml:space="preserve">, </w:t>
      </w:r>
      <w:r w:rsidR="00760BD6">
        <w:rPr>
          <w:noProof/>
          <w:sz w:val="22"/>
          <w:szCs w:val="22"/>
          <w:lang w:val="en-AU"/>
        </w:rPr>
        <w:t xml:space="preserve">&amp; </w:t>
      </w:r>
      <w:r w:rsidRPr="006F16B8">
        <w:rPr>
          <w:noProof/>
          <w:sz w:val="22"/>
          <w:szCs w:val="22"/>
          <w:lang w:val="en-AU"/>
        </w:rPr>
        <w:t>Rodrigues S</w:t>
      </w:r>
      <w:r w:rsidR="00760BD6">
        <w:rPr>
          <w:noProof/>
          <w:sz w:val="22"/>
          <w:szCs w:val="22"/>
          <w:lang w:val="en-AU"/>
        </w:rPr>
        <w:t>.</w:t>
      </w:r>
      <w:r w:rsidRPr="006F16B8">
        <w:rPr>
          <w:noProof/>
          <w:sz w:val="22"/>
          <w:szCs w:val="22"/>
          <w:lang w:val="en-AU"/>
        </w:rPr>
        <w:t xml:space="preserve">B. 2005. The internationalization of Chinese firms: A case for theoretical extension? </w:t>
      </w:r>
      <w:r w:rsidRPr="006F16B8">
        <w:rPr>
          <w:i/>
          <w:noProof/>
          <w:sz w:val="22"/>
          <w:szCs w:val="22"/>
          <w:lang w:val="en-AU"/>
        </w:rPr>
        <w:t>Management and Organization Review</w:t>
      </w:r>
      <w:r w:rsidR="00ED5BED">
        <w:rPr>
          <w:i/>
          <w:noProof/>
          <w:sz w:val="22"/>
          <w:szCs w:val="22"/>
          <w:lang w:val="en-AU"/>
        </w:rPr>
        <w:t>,</w:t>
      </w:r>
      <w:r w:rsidRPr="006F16B8">
        <w:rPr>
          <w:noProof/>
          <w:sz w:val="22"/>
          <w:szCs w:val="22"/>
          <w:lang w:val="en-AU"/>
        </w:rPr>
        <w:t xml:space="preserve"> 1(3): 381-410.</w:t>
      </w:r>
    </w:p>
    <w:p w14:paraId="16C9F8B9" w14:textId="1029D103" w:rsidR="00E55101" w:rsidRDefault="00A01B1A" w:rsidP="005F2D8B">
      <w:pPr>
        <w:widowControl w:val="0"/>
        <w:spacing w:after="120"/>
        <w:ind w:left="360" w:hanging="360"/>
        <w:rPr>
          <w:noProof/>
          <w:sz w:val="22"/>
          <w:szCs w:val="22"/>
          <w:lang w:val="en-GB"/>
        </w:rPr>
      </w:pPr>
      <w:r w:rsidRPr="0018025D">
        <w:rPr>
          <w:noProof/>
          <w:sz w:val="22"/>
          <w:szCs w:val="22"/>
          <w:lang w:val="de-DE"/>
        </w:rPr>
        <w:t>Clarke J</w:t>
      </w:r>
      <w:r w:rsidR="00760BD6">
        <w:rPr>
          <w:noProof/>
          <w:sz w:val="22"/>
          <w:szCs w:val="22"/>
          <w:lang w:val="de-DE"/>
        </w:rPr>
        <w:t>.</w:t>
      </w:r>
      <w:r w:rsidRPr="0018025D">
        <w:rPr>
          <w:noProof/>
          <w:sz w:val="22"/>
          <w:szCs w:val="22"/>
          <w:lang w:val="de-DE"/>
        </w:rPr>
        <w:t>E</w:t>
      </w:r>
      <w:r w:rsidR="00760BD6">
        <w:rPr>
          <w:noProof/>
          <w:sz w:val="22"/>
          <w:szCs w:val="22"/>
          <w:lang w:val="de-DE"/>
        </w:rPr>
        <w:t>.</w:t>
      </w:r>
      <w:r w:rsidRPr="0018025D">
        <w:rPr>
          <w:noProof/>
          <w:sz w:val="22"/>
          <w:szCs w:val="22"/>
          <w:lang w:val="de-DE"/>
        </w:rPr>
        <w:t>, Tamaschke R</w:t>
      </w:r>
      <w:r w:rsidR="00760BD6">
        <w:rPr>
          <w:noProof/>
          <w:sz w:val="22"/>
          <w:szCs w:val="22"/>
          <w:lang w:val="de-DE"/>
        </w:rPr>
        <w:t>.</w:t>
      </w:r>
      <w:r w:rsidR="00AA3D87" w:rsidRPr="0018025D">
        <w:rPr>
          <w:noProof/>
          <w:sz w:val="22"/>
          <w:szCs w:val="22"/>
          <w:lang w:val="de-DE"/>
        </w:rPr>
        <w:t xml:space="preserve">, </w:t>
      </w:r>
      <w:r w:rsidR="00760BD6">
        <w:rPr>
          <w:noProof/>
          <w:sz w:val="22"/>
          <w:szCs w:val="22"/>
          <w:lang w:val="de-DE"/>
        </w:rPr>
        <w:t xml:space="preserve">&amp; </w:t>
      </w:r>
      <w:r w:rsidRPr="0018025D">
        <w:rPr>
          <w:noProof/>
          <w:sz w:val="22"/>
          <w:szCs w:val="22"/>
          <w:lang w:val="de-DE"/>
        </w:rPr>
        <w:t xml:space="preserve">Liesch P. 2012. </w:t>
      </w:r>
      <w:r w:rsidR="00E55101" w:rsidRPr="006F16B8">
        <w:rPr>
          <w:noProof/>
          <w:sz w:val="22"/>
          <w:szCs w:val="22"/>
          <w:lang w:val="en-GB"/>
        </w:rPr>
        <w:t>International experience in international business research: A conceptualization and exploration of key themes</w:t>
      </w:r>
      <w:r w:rsidR="00776433">
        <w:rPr>
          <w:i/>
          <w:noProof/>
          <w:sz w:val="22"/>
          <w:szCs w:val="22"/>
          <w:lang w:val="en-GB"/>
        </w:rPr>
        <w:t>.</w:t>
      </w:r>
      <w:r w:rsidR="00E55101" w:rsidRPr="006F16B8">
        <w:rPr>
          <w:i/>
          <w:noProof/>
          <w:sz w:val="22"/>
          <w:szCs w:val="22"/>
          <w:lang w:val="en-GB"/>
        </w:rPr>
        <w:t xml:space="preserve"> International Journal of Management Reviews</w:t>
      </w:r>
      <w:r w:rsidR="00E55101" w:rsidRPr="006F16B8">
        <w:rPr>
          <w:noProof/>
          <w:sz w:val="22"/>
          <w:szCs w:val="22"/>
          <w:lang w:val="en-GB"/>
        </w:rPr>
        <w:t xml:space="preserve">, </w:t>
      </w:r>
      <w:r w:rsidR="005F4C2F">
        <w:rPr>
          <w:noProof/>
          <w:sz w:val="22"/>
          <w:szCs w:val="22"/>
          <w:lang w:val="en-GB"/>
        </w:rPr>
        <w:t>15(3): 265-279</w:t>
      </w:r>
      <w:r w:rsidR="00E55101" w:rsidRPr="006F16B8">
        <w:rPr>
          <w:noProof/>
          <w:sz w:val="22"/>
          <w:szCs w:val="22"/>
          <w:lang w:val="en-GB"/>
        </w:rPr>
        <w:t xml:space="preserve">. </w:t>
      </w:r>
    </w:p>
    <w:p w14:paraId="5D578F19" w14:textId="07DEBB93" w:rsidR="007E7C70" w:rsidRDefault="007E7C70" w:rsidP="005F2D8B">
      <w:pPr>
        <w:widowControl w:val="0"/>
        <w:spacing w:after="120"/>
        <w:ind w:left="360" w:hanging="360"/>
        <w:rPr>
          <w:noProof/>
          <w:sz w:val="22"/>
          <w:szCs w:val="22"/>
          <w:lang w:val="en-GB"/>
        </w:rPr>
      </w:pPr>
      <w:r w:rsidRPr="007E7C70">
        <w:rPr>
          <w:noProof/>
          <w:sz w:val="22"/>
          <w:szCs w:val="22"/>
          <w:lang w:val="en-GB"/>
        </w:rPr>
        <w:t>Clougherty</w:t>
      </w:r>
      <w:r>
        <w:rPr>
          <w:noProof/>
          <w:sz w:val="22"/>
          <w:szCs w:val="22"/>
          <w:lang w:val="en-GB"/>
        </w:rPr>
        <w:t xml:space="preserve"> J</w:t>
      </w:r>
      <w:r w:rsidR="00760BD6">
        <w:rPr>
          <w:noProof/>
          <w:sz w:val="22"/>
          <w:szCs w:val="22"/>
          <w:lang w:val="en-GB"/>
        </w:rPr>
        <w:t>.</w:t>
      </w:r>
      <w:r>
        <w:rPr>
          <w:noProof/>
          <w:sz w:val="22"/>
          <w:szCs w:val="22"/>
          <w:lang w:val="en-GB"/>
        </w:rPr>
        <w:t>A</w:t>
      </w:r>
      <w:r w:rsidR="00760BD6">
        <w:rPr>
          <w:noProof/>
          <w:sz w:val="22"/>
          <w:szCs w:val="22"/>
          <w:lang w:val="en-GB"/>
        </w:rPr>
        <w:t>.</w:t>
      </w:r>
      <w:r>
        <w:rPr>
          <w:noProof/>
          <w:sz w:val="22"/>
          <w:szCs w:val="22"/>
          <w:lang w:val="en-GB"/>
        </w:rPr>
        <w:t xml:space="preserve">, </w:t>
      </w:r>
      <w:r w:rsidR="00760BD6">
        <w:rPr>
          <w:noProof/>
          <w:sz w:val="22"/>
          <w:szCs w:val="22"/>
          <w:lang w:val="en-GB"/>
        </w:rPr>
        <w:t xml:space="preserve">&amp; </w:t>
      </w:r>
      <w:r w:rsidRPr="007E7C70">
        <w:rPr>
          <w:noProof/>
          <w:sz w:val="22"/>
          <w:szCs w:val="22"/>
          <w:lang w:val="en-GB"/>
        </w:rPr>
        <w:t>Grajek</w:t>
      </w:r>
      <w:r>
        <w:rPr>
          <w:noProof/>
          <w:sz w:val="22"/>
          <w:szCs w:val="22"/>
          <w:lang w:val="en-GB"/>
        </w:rPr>
        <w:t xml:space="preserve"> M. 2008. </w:t>
      </w:r>
      <w:r w:rsidRPr="007E7C70">
        <w:rPr>
          <w:noProof/>
          <w:sz w:val="22"/>
          <w:szCs w:val="22"/>
          <w:lang w:val="en-GB"/>
        </w:rPr>
        <w:t>The impact of ISO 9000 diffusion on trade and FDI: A new institutional analysis</w:t>
      </w:r>
      <w:r>
        <w:rPr>
          <w:noProof/>
          <w:sz w:val="22"/>
          <w:szCs w:val="22"/>
          <w:lang w:val="en-GB"/>
        </w:rPr>
        <w:t xml:space="preserve">, </w:t>
      </w:r>
      <w:r w:rsidRPr="007E7C70">
        <w:rPr>
          <w:i/>
          <w:noProof/>
          <w:sz w:val="22"/>
          <w:szCs w:val="22"/>
          <w:lang w:val="en-GB"/>
        </w:rPr>
        <w:t>Journal of International Business Studies</w:t>
      </w:r>
      <w:r w:rsidR="00ED5BED">
        <w:rPr>
          <w:i/>
          <w:noProof/>
          <w:sz w:val="22"/>
          <w:szCs w:val="22"/>
          <w:lang w:val="en-GB"/>
        </w:rPr>
        <w:t>,</w:t>
      </w:r>
      <w:r>
        <w:rPr>
          <w:noProof/>
          <w:sz w:val="22"/>
          <w:szCs w:val="22"/>
          <w:lang w:val="en-GB"/>
        </w:rPr>
        <w:t xml:space="preserve"> 39</w:t>
      </w:r>
      <w:r w:rsidR="00760BD6">
        <w:rPr>
          <w:noProof/>
          <w:sz w:val="22"/>
          <w:szCs w:val="22"/>
          <w:lang w:val="en-GB"/>
        </w:rPr>
        <w:t>(</w:t>
      </w:r>
      <w:r w:rsidR="00F9663B">
        <w:rPr>
          <w:noProof/>
          <w:sz w:val="22"/>
          <w:szCs w:val="22"/>
          <w:lang w:val="en-GB"/>
        </w:rPr>
        <w:t>4</w:t>
      </w:r>
      <w:r w:rsidR="00760BD6">
        <w:rPr>
          <w:noProof/>
          <w:sz w:val="22"/>
          <w:szCs w:val="22"/>
          <w:lang w:val="en-GB"/>
        </w:rPr>
        <w:t>)</w:t>
      </w:r>
      <w:r>
        <w:rPr>
          <w:noProof/>
          <w:sz w:val="22"/>
          <w:szCs w:val="22"/>
          <w:lang w:val="en-GB"/>
        </w:rPr>
        <w:t>: 613-633.</w:t>
      </w:r>
    </w:p>
    <w:p w14:paraId="7DBCBF4B" w14:textId="6A47719C" w:rsidR="003D350A" w:rsidRPr="00DD3F56" w:rsidRDefault="00456613" w:rsidP="005F2D8B">
      <w:pPr>
        <w:widowControl w:val="0"/>
        <w:spacing w:after="120"/>
        <w:ind w:left="360" w:hanging="360"/>
        <w:rPr>
          <w:noProof/>
          <w:sz w:val="22"/>
          <w:szCs w:val="22"/>
          <w:lang w:val="en-GB"/>
        </w:rPr>
      </w:pPr>
      <w:r w:rsidRPr="00456613">
        <w:rPr>
          <w:noProof/>
          <w:sz w:val="22"/>
          <w:szCs w:val="22"/>
          <w:lang w:val="en-GB"/>
        </w:rPr>
        <w:t xml:space="preserve">Cohen, W.M., Nelson, R.R. </w:t>
      </w:r>
      <w:r>
        <w:rPr>
          <w:rFonts w:eastAsiaTheme="minorEastAsia" w:hint="eastAsia"/>
          <w:noProof/>
          <w:sz w:val="22"/>
          <w:szCs w:val="22"/>
          <w:lang w:val="en-GB" w:eastAsia="zh-CN"/>
        </w:rPr>
        <w:t>&amp;</w:t>
      </w:r>
      <w:r w:rsidRPr="00456613">
        <w:rPr>
          <w:noProof/>
          <w:sz w:val="22"/>
          <w:szCs w:val="22"/>
          <w:lang w:val="en-GB"/>
        </w:rPr>
        <w:t xml:space="preserve"> Walsh, J.P., 2000.</w:t>
      </w:r>
      <w:r w:rsidRPr="00456613">
        <w:rPr>
          <w:i/>
          <w:noProof/>
          <w:sz w:val="22"/>
          <w:szCs w:val="22"/>
          <w:lang w:val="en-GB"/>
        </w:rPr>
        <w:t xml:space="preserve"> Protecting their intellectual assets: Appropriability conditions and why US manufacturing firms patent (or not) </w:t>
      </w:r>
      <w:r w:rsidRPr="00456613">
        <w:rPr>
          <w:noProof/>
          <w:sz w:val="22"/>
          <w:szCs w:val="22"/>
          <w:lang w:val="en-GB"/>
        </w:rPr>
        <w:t>(No. w7552). National Bureau of Economic Research.</w:t>
      </w:r>
    </w:p>
    <w:p w14:paraId="1ED331AA" w14:textId="4BF16345" w:rsidR="00FF589A" w:rsidRDefault="00FF589A" w:rsidP="005F2D8B">
      <w:pPr>
        <w:spacing w:after="120"/>
        <w:ind w:left="360" w:hanging="360"/>
        <w:jc w:val="both"/>
        <w:rPr>
          <w:sz w:val="22"/>
          <w:szCs w:val="22"/>
        </w:rPr>
      </w:pPr>
      <w:bookmarkStart w:id="1" w:name="_ENREF_21"/>
      <w:r w:rsidRPr="00CF3EE3">
        <w:rPr>
          <w:sz w:val="22"/>
          <w:szCs w:val="22"/>
          <w:lang w:val="en-GB"/>
        </w:rPr>
        <w:t>Cuervo-Cazurra A</w:t>
      </w:r>
      <w:r w:rsidR="00760BD6" w:rsidRPr="00CF3EE3">
        <w:rPr>
          <w:sz w:val="22"/>
          <w:szCs w:val="22"/>
          <w:lang w:val="en-GB"/>
        </w:rPr>
        <w:t>.</w:t>
      </w:r>
      <w:r w:rsidR="007B3D14" w:rsidRPr="00CF3EE3">
        <w:rPr>
          <w:sz w:val="22"/>
          <w:szCs w:val="22"/>
          <w:lang w:val="en-GB"/>
        </w:rPr>
        <w:t xml:space="preserve"> </w:t>
      </w:r>
      <w:r w:rsidR="00760BD6" w:rsidRPr="00CF3EE3">
        <w:rPr>
          <w:sz w:val="22"/>
          <w:szCs w:val="22"/>
          <w:lang w:val="en-GB"/>
        </w:rPr>
        <w:t xml:space="preserve">&amp; </w:t>
      </w:r>
      <w:r w:rsidRPr="00CF3EE3">
        <w:rPr>
          <w:sz w:val="22"/>
          <w:szCs w:val="22"/>
          <w:lang w:val="en-GB"/>
        </w:rPr>
        <w:t>Genc</w:t>
      </w:r>
      <w:r w:rsidR="00760BD6" w:rsidRPr="00CF3EE3">
        <w:rPr>
          <w:sz w:val="22"/>
          <w:szCs w:val="22"/>
          <w:lang w:val="en-GB"/>
        </w:rPr>
        <w:t>,</w:t>
      </w:r>
      <w:r w:rsidRPr="00CF3EE3">
        <w:rPr>
          <w:sz w:val="22"/>
          <w:szCs w:val="22"/>
          <w:lang w:val="en-GB"/>
        </w:rPr>
        <w:t xml:space="preserve"> M. 2008. </w:t>
      </w:r>
      <w:r w:rsidRPr="006F16B8">
        <w:rPr>
          <w:sz w:val="22"/>
          <w:szCs w:val="22"/>
        </w:rPr>
        <w:t xml:space="preserve">Transforming disadvantages into advantages: Developing country MNEs in the least developed countries. </w:t>
      </w:r>
      <w:r w:rsidRPr="006F16B8">
        <w:rPr>
          <w:i/>
          <w:sz w:val="22"/>
          <w:szCs w:val="22"/>
        </w:rPr>
        <w:t>Journal of International Business Studies</w:t>
      </w:r>
      <w:r w:rsidR="00ED5BED">
        <w:rPr>
          <w:i/>
          <w:sz w:val="22"/>
          <w:szCs w:val="22"/>
        </w:rPr>
        <w:t>,</w:t>
      </w:r>
      <w:r w:rsidR="00776433">
        <w:rPr>
          <w:sz w:val="22"/>
          <w:szCs w:val="22"/>
        </w:rPr>
        <w:t xml:space="preserve"> </w:t>
      </w:r>
      <w:r w:rsidRPr="006F16B8">
        <w:rPr>
          <w:bCs/>
          <w:sz w:val="22"/>
          <w:szCs w:val="22"/>
        </w:rPr>
        <w:t>39 (6):</w:t>
      </w:r>
      <w:r w:rsidRPr="006F16B8">
        <w:rPr>
          <w:sz w:val="22"/>
          <w:szCs w:val="22"/>
        </w:rPr>
        <w:t xml:space="preserve"> 957-979.</w:t>
      </w:r>
    </w:p>
    <w:p w14:paraId="387FE7C5" w14:textId="04BE05CC" w:rsidR="004F699D" w:rsidRDefault="004F699D" w:rsidP="005F2D8B">
      <w:pPr>
        <w:spacing w:after="120"/>
        <w:ind w:left="360" w:hanging="360"/>
        <w:jc w:val="both"/>
        <w:rPr>
          <w:sz w:val="22"/>
          <w:szCs w:val="22"/>
        </w:rPr>
      </w:pPr>
      <w:r w:rsidRPr="00B979EE">
        <w:rPr>
          <w:sz w:val="22"/>
          <w:szCs w:val="22"/>
          <w:lang w:val="en-GB"/>
        </w:rPr>
        <w:t>Cuervo-Cazurra</w:t>
      </w:r>
      <w:r w:rsidR="00760BD6" w:rsidRPr="00B979EE">
        <w:rPr>
          <w:sz w:val="22"/>
          <w:szCs w:val="22"/>
          <w:lang w:val="en-GB"/>
        </w:rPr>
        <w:t>,</w:t>
      </w:r>
      <w:r w:rsidRPr="00B979EE">
        <w:rPr>
          <w:sz w:val="22"/>
          <w:szCs w:val="22"/>
          <w:lang w:val="en-GB"/>
        </w:rPr>
        <w:t xml:space="preserve"> A</w:t>
      </w:r>
      <w:r w:rsidR="00760BD6" w:rsidRPr="00B979EE">
        <w:rPr>
          <w:sz w:val="22"/>
          <w:szCs w:val="22"/>
          <w:lang w:val="en-GB"/>
        </w:rPr>
        <w:t>.</w:t>
      </w:r>
      <w:r w:rsidRPr="00B979EE">
        <w:rPr>
          <w:sz w:val="22"/>
          <w:szCs w:val="22"/>
          <w:lang w:val="en-GB"/>
        </w:rPr>
        <w:t xml:space="preserve">, </w:t>
      </w:r>
      <w:r w:rsidR="00760BD6" w:rsidRPr="00B979EE">
        <w:rPr>
          <w:sz w:val="22"/>
          <w:szCs w:val="22"/>
          <w:lang w:val="en-GB"/>
        </w:rPr>
        <w:t xml:space="preserve">&amp; </w:t>
      </w:r>
      <w:r w:rsidRPr="00B979EE">
        <w:rPr>
          <w:sz w:val="22"/>
          <w:szCs w:val="22"/>
          <w:lang w:val="en-GB"/>
        </w:rPr>
        <w:t>Ramamurti, R</w:t>
      </w:r>
      <w:r w:rsidR="00620051" w:rsidRPr="00B979EE">
        <w:rPr>
          <w:sz w:val="22"/>
          <w:szCs w:val="22"/>
          <w:lang w:val="en-GB"/>
        </w:rPr>
        <w:t>.</w:t>
      </w:r>
      <w:r w:rsidRPr="00B979EE">
        <w:rPr>
          <w:sz w:val="22"/>
          <w:szCs w:val="22"/>
          <w:lang w:val="en-GB"/>
        </w:rPr>
        <w:t xml:space="preserve"> 2014. </w:t>
      </w:r>
      <w:r w:rsidRPr="00C60FB4">
        <w:rPr>
          <w:i/>
          <w:sz w:val="22"/>
          <w:szCs w:val="22"/>
        </w:rPr>
        <w:t>Understanding multinationals from emerging markets</w:t>
      </w:r>
      <w:r>
        <w:rPr>
          <w:sz w:val="22"/>
          <w:szCs w:val="22"/>
        </w:rPr>
        <w:t>. Cambridge, Cambridge University Press.</w:t>
      </w:r>
    </w:p>
    <w:p w14:paraId="08F11E75" w14:textId="080FE2E2" w:rsidR="00CA1A23" w:rsidRDefault="00CA1A23" w:rsidP="005F2D8B">
      <w:pPr>
        <w:spacing w:after="120"/>
        <w:ind w:left="360" w:hanging="360"/>
        <w:jc w:val="both"/>
        <w:rPr>
          <w:sz w:val="22"/>
          <w:szCs w:val="22"/>
        </w:rPr>
      </w:pPr>
      <w:r>
        <w:rPr>
          <w:sz w:val="22"/>
          <w:szCs w:val="22"/>
        </w:rPr>
        <w:t xml:space="preserve">Cuervo-Cazurra A. &amp; Rui, H.C. 2017. </w:t>
      </w:r>
      <w:r w:rsidRPr="00CA1A23">
        <w:rPr>
          <w:sz w:val="22"/>
          <w:szCs w:val="22"/>
        </w:rPr>
        <w:t>Barriers to absorptive capacity in emerging market firms</w:t>
      </w:r>
      <w:r>
        <w:rPr>
          <w:sz w:val="22"/>
          <w:szCs w:val="22"/>
        </w:rPr>
        <w:t>, Journal of World Business, 52(6): 727-742.</w:t>
      </w:r>
    </w:p>
    <w:p w14:paraId="4EA7C390" w14:textId="7BB6FBC2" w:rsidR="0061397E" w:rsidRPr="00B979EE" w:rsidRDefault="0061397E" w:rsidP="005F2D8B">
      <w:pPr>
        <w:spacing w:after="120"/>
        <w:ind w:left="360" w:hanging="360"/>
        <w:jc w:val="both"/>
        <w:rPr>
          <w:sz w:val="22"/>
          <w:szCs w:val="22"/>
          <w:lang w:val="en-GB"/>
        </w:rPr>
      </w:pPr>
      <w:r w:rsidRPr="00B979EE">
        <w:rPr>
          <w:sz w:val="22"/>
          <w:szCs w:val="22"/>
          <w:lang w:val="en-GB"/>
        </w:rPr>
        <w:t xml:space="preserve">Cui, L. &amp; Aulakh, P. 2018. Emerging economy multinationals in advanced economies, In: R. Grosse &amp; K.E. Meyer, eds., </w:t>
      </w:r>
      <w:r w:rsidRPr="00B979EE">
        <w:rPr>
          <w:i/>
          <w:sz w:val="22"/>
          <w:szCs w:val="22"/>
          <w:lang w:val="en-GB"/>
        </w:rPr>
        <w:t>Oxford Handbook of Managing in Emerging Markets</w:t>
      </w:r>
      <w:r w:rsidRPr="00B979EE">
        <w:rPr>
          <w:sz w:val="22"/>
          <w:szCs w:val="22"/>
          <w:lang w:val="en-GB"/>
        </w:rPr>
        <w:t>, New York: Oxford University Press, forthcoming.</w:t>
      </w:r>
    </w:p>
    <w:p w14:paraId="34E9F5FB" w14:textId="63A1BBA0" w:rsidR="00D76364" w:rsidRDefault="00D76364" w:rsidP="005F2D8B">
      <w:pPr>
        <w:spacing w:after="120"/>
        <w:ind w:left="360" w:hanging="360"/>
        <w:jc w:val="both"/>
        <w:rPr>
          <w:sz w:val="22"/>
          <w:szCs w:val="22"/>
          <w:lang w:val="en-GB"/>
        </w:rPr>
      </w:pPr>
      <w:r w:rsidRPr="00032263">
        <w:rPr>
          <w:sz w:val="22"/>
          <w:szCs w:val="22"/>
          <w:lang w:val="fr-FR"/>
        </w:rPr>
        <w:lastRenderedPageBreak/>
        <w:t>Cui</w:t>
      </w:r>
      <w:r w:rsidR="00760BD6" w:rsidRPr="00032263">
        <w:rPr>
          <w:sz w:val="22"/>
          <w:szCs w:val="22"/>
          <w:lang w:val="fr-FR"/>
        </w:rPr>
        <w:t>,</w:t>
      </w:r>
      <w:r w:rsidRPr="00032263">
        <w:rPr>
          <w:sz w:val="22"/>
          <w:szCs w:val="22"/>
          <w:lang w:val="fr-FR"/>
        </w:rPr>
        <w:t xml:space="preserve"> L</w:t>
      </w:r>
      <w:r w:rsidR="00760BD6" w:rsidRPr="00032263">
        <w:rPr>
          <w:sz w:val="22"/>
          <w:szCs w:val="22"/>
          <w:lang w:val="fr-FR"/>
        </w:rPr>
        <w:t>.</w:t>
      </w:r>
      <w:r w:rsidRPr="00032263">
        <w:rPr>
          <w:sz w:val="22"/>
          <w:szCs w:val="22"/>
          <w:lang w:val="fr-FR"/>
        </w:rPr>
        <w:t>, Meyer</w:t>
      </w:r>
      <w:r w:rsidR="00760BD6" w:rsidRPr="00032263">
        <w:rPr>
          <w:sz w:val="22"/>
          <w:szCs w:val="22"/>
          <w:lang w:val="fr-FR"/>
        </w:rPr>
        <w:t>,</w:t>
      </w:r>
      <w:r w:rsidRPr="00032263">
        <w:rPr>
          <w:sz w:val="22"/>
          <w:szCs w:val="22"/>
          <w:lang w:val="fr-FR"/>
        </w:rPr>
        <w:t xml:space="preserve"> K</w:t>
      </w:r>
      <w:r w:rsidR="00760BD6" w:rsidRPr="00032263">
        <w:rPr>
          <w:sz w:val="22"/>
          <w:szCs w:val="22"/>
          <w:lang w:val="fr-FR"/>
        </w:rPr>
        <w:t>.</w:t>
      </w:r>
      <w:r w:rsidRPr="00032263">
        <w:rPr>
          <w:sz w:val="22"/>
          <w:szCs w:val="22"/>
          <w:lang w:val="fr-FR"/>
        </w:rPr>
        <w:t>E</w:t>
      </w:r>
      <w:r w:rsidR="00760BD6" w:rsidRPr="00032263">
        <w:rPr>
          <w:sz w:val="22"/>
          <w:szCs w:val="22"/>
          <w:lang w:val="fr-FR"/>
        </w:rPr>
        <w:t>.</w:t>
      </w:r>
      <w:r w:rsidRPr="00032263">
        <w:rPr>
          <w:sz w:val="22"/>
          <w:szCs w:val="22"/>
          <w:lang w:val="fr-FR"/>
        </w:rPr>
        <w:t xml:space="preserve">, </w:t>
      </w:r>
      <w:r w:rsidR="006B3149" w:rsidRPr="00032263">
        <w:rPr>
          <w:sz w:val="22"/>
          <w:szCs w:val="22"/>
          <w:lang w:val="fr-FR"/>
        </w:rPr>
        <w:t xml:space="preserve">&amp; </w:t>
      </w:r>
      <w:r w:rsidRPr="00032263">
        <w:rPr>
          <w:sz w:val="22"/>
          <w:szCs w:val="22"/>
          <w:lang w:val="fr-FR"/>
        </w:rPr>
        <w:t>Hu</w:t>
      </w:r>
      <w:r w:rsidR="00760BD6" w:rsidRPr="00032263">
        <w:rPr>
          <w:sz w:val="22"/>
          <w:szCs w:val="22"/>
          <w:lang w:val="fr-FR"/>
        </w:rPr>
        <w:t>,</w:t>
      </w:r>
      <w:r w:rsidRPr="00032263">
        <w:rPr>
          <w:sz w:val="22"/>
          <w:szCs w:val="22"/>
          <w:lang w:val="fr-FR"/>
        </w:rPr>
        <w:t xml:space="preserve"> H</w:t>
      </w:r>
      <w:r w:rsidR="00760BD6" w:rsidRPr="00032263">
        <w:rPr>
          <w:sz w:val="22"/>
          <w:szCs w:val="22"/>
          <w:lang w:val="fr-FR"/>
        </w:rPr>
        <w:t>.</w:t>
      </w:r>
      <w:r w:rsidRPr="00032263">
        <w:rPr>
          <w:sz w:val="22"/>
          <w:szCs w:val="22"/>
          <w:lang w:val="fr-FR"/>
        </w:rPr>
        <w:t xml:space="preserve">W. 2014. </w:t>
      </w:r>
      <w:r w:rsidRPr="00D76364">
        <w:rPr>
          <w:sz w:val="22"/>
          <w:szCs w:val="22"/>
          <w:lang w:val="en-GB"/>
        </w:rPr>
        <w:t xml:space="preserve">What drives firms’ intent to seek strategic assets by foreign direct investment? A study of emerging economy firms. </w:t>
      </w:r>
      <w:r w:rsidRPr="00D76364">
        <w:rPr>
          <w:i/>
          <w:sz w:val="22"/>
          <w:szCs w:val="22"/>
          <w:lang w:val="en-GB"/>
        </w:rPr>
        <w:t>Journal of World Business</w:t>
      </w:r>
      <w:r w:rsidRPr="00D76364">
        <w:rPr>
          <w:sz w:val="22"/>
          <w:szCs w:val="22"/>
          <w:lang w:val="en-GB"/>
        </w:rPr>
        <w:t>, 49(4), 488-501.</w:t>
      </w:r>
    </w:p>
    <w:p w14:paraId="0E8E6DD6" w14:textId="4E80AAE8" w:rsidR="007D5566" w:rsidRPr="00776433" w:rsidRDefault="00585897" w:rsidP="005F2D8B">
      <w:pPr>
        <w:spacing w:after="120"/>
        <w:ind w:left="360" w:hanging="360"/>
        <w:jc w:val="both"/>
        <w:rPr>
          <w:i/>
          <w:sz w:val="22"/>
          <w:szCs w:val="22"/>
          <w:lang w:val="en-GB"/>
        </w:rPr>
      </w:pPr>
      <w:r w:rsidRPr="008E049E">
        <w:rPr>
          <w:sz w:val="22"/>
          <w:szCs w:val="22"/>
          <w:lang w:val="fr-FR"/>
        </w:rPr>
        <w:t>Del Sol P</w:t>
      </w:r>
      <w:r w:rsidR="00620051" w:rsidRPr="008E049E">
        <w:rPr>
          <w:sz w:val="22"/>
          <w:szCs w:val="22"/>
          <w:lang w:val="fr-FR"/>
        </w:rPr>
        <w:t>., &amp;</w:t>
      </w:r>
      <w:r w:rsidRPr="008E049E">
        <w:rPr>
          <w:sz w:val="22"/>
          <w:szCs w:val="22"/>
          <w:lang w:val="fr-FR"/>
        </w:rPr>
        <w:t xml:space="preserve"> Kogan</w:t>
      </w:r>
      <w:r w:rsidR="007D5566" w:rsidRPr="008E049E">
        <w:rPr>
          <w:sz w:val="22"/>
          <w:szCs w:val="22"/>
          <w:lang w:val="fr-FR"/>
        </w:rPr>
        <w:t xml:space="preserve"> </w:t>
      </w:r>
      <w:r w:rsidRPr="008E049E">
        <w:rPr>
          <w:sz w:val="22"/>
          <w:szCs w:val="22"/>
          <w:lang w:val="fr-FR"/>
        </w:rPr>
        <w:t xml:space="preserve">J. 2007. </w:t>
      </w:r>
      <w:r w:rsidRPr="00776433">
        <w:rPr>
          <w:sz w:val="22"/>
          <w:szCs w:val="22"/>
          <w:lang w:val="en-GB"/>
        </w:rPr>
        <w:t>Regional Competitive</w:t>
      </w:r>
      <w:r w:rsidR="007D5566" w:rsidRPr="00776433">
        <w:rPr>
          <w:sz w:val="22"/>
          <w:szCs w:val="22"/>
          <w:lang w:val="en-GB"/>
        </w:rPr>
        <w:t xml:space="preserve"> </w:t>
      </w:r>
      <w:r w:rsidRPr="00776433">
        <w:rPr>
          <w:sz w:val="22"/>
          <w:szCs w:val="22"/>
          <w:lang w:val="en-GB"/>
        </w:rPr>
        <w:t>Advantage Based on Pioneering</w:t>
      </w:r>
      <w:r w:rsidR="007D5566" w:rsidRPr="00776433">
        <w:rPr>
          <w:sz w:val="22"/>
          <w:szCs w:val="22"/>
          <w:lang w:val="en-GB"/>
        </w:rPr>
        <w:t xml:space="preserve"> Economic Reform</w:t>
      </w:r>
      <w:r w:rsidRPr="00776433">
        <w:rPr>
          <w:sz w:val="22"/>
          <w:szCs w:val="22"/>
          <w:lang w:val="en-GB"/>
        </w:rPr>
        <w:t xml:space="preserve">s: The Case of Chilean FDI. </w:t>
      </w:r>
      <w:r w:rsidRPr="00776433">
        <w:rPr>
          <w:i/>
          <w:sz w:val="22"/>
          <w:szCs w:val="22"/>
          <w:lang w:val="en-GB"/>
        </w:rPr>
        <w:t>Journal of</w:t>
      </w:r>
      <w:r w:rsidR="007D5566" w:rsidRPr="00776433">
        <w:rPr>
          <w:i/>
          <w:sz w:val="22"/>
          <w:szCs w:val="22"/>
          <w:lang w:val="en-GB"/>
        </w:rPr>
        <w:t xml:space="preserve"> </w:t>
      </w:r>
      <w:r w:rsidRPr="00776433">
        <w:rPr>
          <w:i/>
          <w:sz w:val="22"/>
          <w:szCs w:val="22"/>
          <w:lang w:val="en-GB"/>
        </w:rPr>
        <w:t>International Business Studies</w:t>
      </w:r>
      <w:r w:rsidR="00ED5BED">
        <w:rPr>
          <w:i/>
          <w:sz w:val="22"/>
          <w:szCs w:val="22"/>
          <w:lang w:val="en-GB"/>
        </w:rPr>
        <w:t>,</w:t>
      </w:r>
      <w:r w:rsidRPr="00776433">
        <w:rPr>
          <w:i/>
          <w:sz w:val="22"/>
          <w:szCs w:val="22"/>
          <w:lang w:val="en-GB"/>
        </w:rPr>
        <w:t xml:space="preserve"> </w:t>
      </w:r>
      <w:r w:rsidR="007D5566" w:rsidRPr="00776433">
        <w:rPr>
          <w:sz w:val="22"/>
          <w:szCs w:val="22"/>
          <w:lang w:val="en-GB"/>
        </w:rPr>
        <w:t>38(6): 901-927</w:t>
      </w:r>
      <w:r w:rsidR="007D5566" w:rsidRPr="00776433">
        <w:rPr>
          <w:i/>
          <w:sz w:val="22"/>
          <w:szCs w:val="22"/>
          <w:lang w:val="en-GB"/>
        </w:rPr>
        <w:t>.</w:t>
      </w:r>
    </w:p>
    <w:p w14:paraId="075EF675" w14:textId="4C9F0472" w:rsidR="00612ED4" w:rsidRPr="006F16B8" w:rsidRDefault="00612ED4" w:rsidP="005F2D8B">
      <w:pPr>
        <w:widowControl w:val="0"/>
        <w:spacing w:after="120"/>
        <w:ind w:left="360" w:hanging="360"/>
        <w:rPr>
          <w:noProof/>
          <w:sz w:val="22"/>
          <w:szCs w:val="22"/>
          <w:lang w:val="en-AU"/>
        </w:rPr>
      </w:pPr>
      <w:r w:rsidRPr="006F16B8">
        <w:rPr>
          <w:noProof/>
          <w:sz w:val="22"/>
          <w:szCs w:val="22"/>
          <w:lang w:val="en-AU"/>
        </w:rPr>
        <w:t xml:space="preserve">Deng P. 2009. Why do Chinese firms tend to acquire strategic assets in international expansion? </w:t>
      </w:r>
      <w:r w:rsidRPr="006F16B8">
        <w:rPr>
          <w:i/>
          <w:noProof/>
          <w:sz w:val="22"/>
          <w:szCs w:val="22"/>
          <w:lang w:val="en-AU"/>
        </w:rPr>
        <w:t>Journal of World Business</w:t>
      </w:r>
      <w:r w:rsidR="00ED5BED">
        <w:rPr>
          <w:i/>
          <w:noProof/>
          <w:sz w:val="22"/>
          <w:szCs w:val="22"/>
          <w:lang w:val="en-AU"/>
        </w:rPr>
        <w:t>,</w:t>
      </w:r>
      <w:r w:rsidRPr="006F16B8">
        <w:rPr>
          <w:noProof/>
          <w:sz w:val="22"/>
          <w:szCs w:val="22"/>
          <w:lang w:val="en-AU"/>
        </w:rPr>
        <w:t xml:space="preserve"> 44(1): 74-84.</w:t>
      </w:r>
      <w:bookmarkEnd w:id="1"/>
    </w:p>
    <w:p w14:paraId="633C4B69" w14:textId="7952E6FD" w:rsidR="005A57FA" w:rsidRDefault="005A760F" w:rsidP="00C60FB4">
      <w:pPr>
        <w:widowControl w:val="0"/>
        <w:spacing w:after="120"/>
        <w:ind w:left="360" w:hanging="360"/>
      </w:pPr>
      <w:r w:rsidRPr="006F16B8">
        <w:rPr>
          <w:noProof/>
          <w:sz w:val="22"/>
          <w:szCs w:val="22"/>
          <w:lang w:val="en-AU"/>
        </w:rPr>
        <w:t>Disdier AC</w:t>
      </w:r>
      <w:r w:rsidR="00620051">
        <w:rPr>
          <w:noProof/>
          <w:sz w:val="22"/>
          <w:szCs w:val="22"/>
          <w:lang w:val="en-AU"/>
        </w:rPr>
        <w:t xml:space="preserve"> &amp;</w:t>
      </w:r>
      <w:r w:rsidRPr="006F16B8">
        <w:rPr>
          <w:noProof/>
          <w:sz w:val="22"/>
          <w:szCs w:val="22"/>
          <w:lang w:val="en-AU"/>
        </w:rPr>
        <w:t xml:space="preserve"> Mayer T. 2004. How different is Eastern Europe? Structure and determinants of location choices by French firms in Eastern and Western Europe. </w:t>
      </w:r>
      <w:r w:rsidRPr="006F16B8">
        <w:rPr>
          <w:i/>
          <w:noProof/>
          <w:sz w:val="22"/>
          <w:szCs w:val="22"/>
          <w:lang w:val="en-AU"/>
        </w:rPr>
        <w:t>Journal of Comparative Economics</w:t>
      </w:r>
      <w:r w:rsidR="00ED5BED">
        <w:rPr>
          <w:i/>
          <w:noProof/>
          <w:sz w:val="22"/>
          <w:szCs w:val="22"/>
          <w:lang w:val="en-AU"/>
        </w:rPr>
        <w:t>,</w:t>
      </w:r>
      <w:r w:rsidRPr="006F16B8">
        <w:rPr>
          <w:i/>
          <w:noProof/>
          <w:sz w:val="22"/>
          <w:szCs w:val="22"/>
          <w:lang w:val="en-AU"/>
        </w:rPr>
        <w:t xml:space="preserve"> </w:t>
      </w:r>
      <w:r w:rsidRPr="006F16B8">
        <w:rPr>
          <w:noProof/>
          <w:sz w:val="22"/>
          <w:szCs w:val="22"/>
          <w:lang w:val="en-AU"/>
        </w:rPr>
        <w:t>32</w:t>
      </w:r>
      <w:r w:rsidR="00413D96">
        <w:rPr>
          <w:noProof/>
          <w:sz w:val="22"/>
          <w:szCs w:val="22"/>
          <w:lang w:val="en-AU"/>
        </w:rPr>
        <w:t>(2)</w:t>
      </w:r>
      <w:r w:rsidRPr="006F16B8">
        <w:rPr>
          <w:noProof/>
          <w:sz w:val="22"/>
          <w:szCs w:val="22"/>
          <w:lang w:val="en-AU"/>
        </w:rPr>
        <w:t>: 280-296.</w:t>
      </w:r>
    </w:p>
    <w:p w14:paraId="3CE30582" w14:textId="384CEB47" w:rsidR="006B3149" w:rsidRDefault="00030369" w:rsidP="00C46F54">
      <w:pPr>
        <w:spacing w:after="120"/>
        <w:ind w:left="539" w:hanging="539"/>
        <w:rPr>
          <w:sz w:val="22"/>
          <w:szCs w:val="22"/>
        </w:rPr>
      </w:pPr>
      <w:r w:rsidRPr="006F16B8">
        <w:rPr>
          <w:bCs/>
          <w:sz w:val="22"/>
          <w:szCs w:val="22"/>
          <w:lang w:val="en-AU"/>
        </w:rPr>
        <w:t>Dunning J</w:t>
      </w:r>
      <w:r w:rsidR="006B3149">
        <w:rPr>
          <w:bCs/>
          <w:sz w:val="22"/>
          <w:szCs w:val="22"/>
          <w:lang w:val="en-AU"/>
        </w:rPr>
        <w:t>.</w:t>
      </w:r>
      <w:r w:rsidRPr="006F16B8">
        <w:rPr>
          <w:bCs/>
          <w:sz w:val="22"/>
          <w:szCs w:val="22"/>
          <w:lang w:val="en-AU"/>
        </w:rPr>
        <w:t xml:space="preserve">H. 1993. </w:t>
      </w:r>
      <w:r w:rsidRPr="006F16B8">
        <w:rPr>
          <w:bCs/>
          <w:i/>
          <w:sz w:val="22"/>
          <w:szCs w:val="22"/>
          <w:lang w:val="en-AU"/>
        </w:rPr>
        <w:t>Multinational enterprises and the global economy</w:t>
      </w:r>
      <w:r w:rsidRPr="006F16B8">
        <w:rPr>
          <w:bCs/>
          <w:sz w:val="22"/>
          <w:szCs w:val="22"/>
          <w:lang w:val="en-AU"/>
        </w:rPr>
        <w:t>, Wokingham: Addison-Wesley.</w:t>
      </w:r>
    </w:p>
    <w:p w14:paraId="371C2ADF" w14:textId="79EACEFE" w:rsidR="006B3149" w:rsidRDefault="00FF589A" w:rsidP="00C46F54">
      <w:pPr>
        <w:spacing w:after="120"/>
        <w:ind w:left="539" w:hanging="539"/>
        <w:rPr>
          <w:sz w:val="22"/>
          <w:szCs w:val="22"/>
        </w:rPr>
      </w:pPr>
      <w:r w:rsidRPr="006F16B8">
        <w:rPr>
          <w:sz w:val="22"/>
          <w:szCs w:val="22"/>
        </w:rPr>
        <w:t>Dunning J</w:t>
      </w:r>
      <w:r w:rsidR="006B3149">
        <w:rPr>
          <w:sz w:val="22"/>
          <w:szCs w:val="22"/>
        </w:rPr>
        <w:t>.</w:t>
      </w:r>
      <w:r w:rsidRPr="006F16B8">
        <w:rPr>
          <w:sz w:val="22"/>
          <w:szCs w:val="22"/>
        </w:rPr>
        <w:t xml:space="preserve">H. 1998. Location and the multinational enterprise: A neglected factor? </w:t>
      </w:r>
      <w:r w:rsidRPr="006F16B8">
        <w:rPr>
          <w:i/>
          <w:sz w:val="22"/>
          <w:szCs w:val="22"/>
        </w:rPr>
        <w:t>Journal of International Business Studies</w:t>
      </w:r>
      <w:r w:rsidR="00ED5BED">
        <w:rPr>
          <w:i/>
          <w:sz w:val="22"/>
          <w:szCs w:val="22"/>
        </w:rPr>
        <w:t>,</w:t>
      </w:r>
      <w:r w:rsidR="006B2316">
        <w:rPr>
          <w:sz w:val="22"/>
          <w:szCs w:val="22"/>
        </w:rPr>
        <w:t xml:space="preserve"> </w:t>
      </w:r>
      <w:r w:rsidRPr="006F16B8">
        <w:rPr>
          <w:sz w:val="22"/>
          <w:szCs w:val="22"/>
        </w:rPr>
        <w:t xml:space="preserve">29(1): 45-66. </w:t>
      </w:r>
    </w:p>
    <w:p w14:paraId="47F10B12" w14:textId="3AF8790B" w:rsidR="004D2EF1" w:rsidRDefault="004D2EF1" w:rsidP="00C46F54">
      <w:pPr>
        <w:spacing w:after="120"/>
        <w:ind w:left="539" w:hanging="539"/>
        <w:rPr>
          <w:sz w:val="22"/>
          <w:szCs w:val="22"/>
        </w:rPr>
      </w:pPr>
      <w:r w:rsidRPr="006F16B8">
        <w:rPr>
          <w:sz w:val="22"/>
          <w:szCs w:val="22"/>
        </w:rPr>
        <w:t>Estrin S</w:t>
      </w:r>
      <w:r w:rsidR="006B3149">
        <w:rPr>
          <w:sz w:val="22"/>
          <w:szCs w:val="22"/>
        </w:rPr>
        <w:t>.</w:t>
      </w:r>
      <w:r w:rsidRPr="006F16B8">
        <w:rPr>
          <w:sz w:val="22"/>
          <w:szCs w:val="22"/>
        </w:rPr>
        <w:t>, Baghdasaryan</w:t>
      </w:r>
      <w:r w:rsidR="006B3149">
        <w:rPr>
          <w:sz w:val="22"/>
          <w:szCs w:val="22"/>
        </w:rPr>
        <w:t>,</w:t>
      </w:r>
      <w:r w:rsidRPr="006F16B8">
        <w:rPr>
          <w:sz w:val="22"/>
          <w:szCs w:val="22"/>
        </w:rPr>
        <w:t xml:space="preserve"> D</w:t>
      </w:r>
      <w:r w:rsidR="00620051">
        <w:rPr>
          <w:sz w:val="22"/>
          <w:szCs w:val="22"/>
        </w:rPr>
        <w:t>. &amp;</w:t>
      </w:r>
      <w:r w:rsidRPr="006F16B8">
        <w:rPr>
          <w:sz w:val="22"/>
          <w:szCs w:val="22"/>
        </w:rPr>
        <w:t xml:space="preserve"> Meyer</w:t>
      </w:r>
      <w:r w:rsidR="006B3149">
        <w:rPr>
          <w:sz w:val="22"/>
          <w:szCs w:val="22"/>
        </w:rPr>
        <w:t>,</w:t>
      </w:r>
      <w:r w:rsidRPr="006F16B8">
        <w:rPr>
          <w:sz w:val="22"/>
          <w:szCs w:val="22"/>
        </w:rPr>
        <w:t xml:space="preserve"> K</w:t>
      </w:r>
      <w:r w:rsidR="006B3149">
        <w:rPr>
          <w:sz w:val="22"/>
          <w:szCs w:val="22"/>
        </w:rPr>
        <w:t>.</w:t>
      </w:r>
      <w:r w:rsidRPr="006F16B8">
        <w:rPr>
          <w:sz w:val="22"/>
          <w:szCs w:val="22"/>
        </w:rPr>
        <w:t xml:space="preserve">E. 2009. </w:t>
      </w:r>
      <w:r w:rsidRPr="006F16B8">
        <w:rPr>
          <w:iCs/>
          <w:sz w:val="22"/>
          <w:szCs w:val="22"/>
        </w:rPr>
        <w:t>Institutional distance and human resource distance in international business strategies in emerging economies</w:t>
      </w:r>
      <w:r w:rsidR="006B2316">
        <w:rPr>
          <w:sz w:val="22"/>
          <w:szCs w:val="22"/>
        </w:rPr>
        <w:t>.</w:t>
      </w:r>
      <w:r w:rsidRPr="006F16B8">
        <w:rPr>
          <w:sz w:val="22"/>
          <w:szCs w:val="22"/>
        </w:rPr>
        <w:t xml:space="preserve"> </w:t>
      </w:r>
      <w:r w:rsidRPr="006F16B8">
        <w:rPr>
          <w:i/>
          <w:iCs/>
          <w:sz w:val="22"/>
          <w:szCs w:val="22"/>
        </w:rPr>
        <w:t>Journal of Management Studie</w:t>
      </w:r>
      <w:r w:rsidRPr="006F16B8">
        <w:rPr>
          <w:sz w:val="22"/>
          <w:szCs w:val="22"/>
        </w:rPr>
        <w:t>s</w:t>
      </w:r>
      <w:r w:rsidR="00ED5BED">
        <w:rPr>
          <w:sz w:val="22"/>
          <w:szCs w:val="22"/>
        </w:rPr>
        <w:t>,</w:t>
      </w:r>
      <w:r w:rsidRPr="006F16B8">
        <w:rPr>
          <w:sz w:val="22"/>
          <w:szCs w:val="22"/>
        </w:rPr>
        <w:t xml:space="preserve"> 46(7): 1171-1196. </w:t>
      </w:r>
    </w:p>
    <w:p w14:paraId="02F0597F" w14:textId="2F474F9B" w:rsidR="00C275ED" w:rsidRPr="00C275ED" w:rsidRDefault="00C275ED" w:rsidP="00C275ED">
      <w:pPr>
        <w:spacing w:after="120"/>
        <w:ind w:left="539" w:hanging="539"/>
        <w:rPr>
          <w:sz w:val="22"/>
          <w:szCs w:val="22"/>
        </w:rPr>
      </w:pPr>
      <w:r w:rsidRPr="00C275ED">
        <w:rPr>
          <w:sz w:val="22"/>
          <w:szCs w:val="22"/>
        </w:rPr>
        <w:t>Estrin, S.,</w:t>
      </w:r>
      <w:r w:rsidRPr="00C275ED">
        <w:rPr>
          <w:sz w:val="22"/>
          <w:szCs w:val="22"/>
          <w:lang w:val="en-GB"/>
        </w:rPr>
        <w:t xml:space="preserve"> Meyer, K., Niels</w:t>
      </w:r>
      <w:r w:rsidR="0049655F">
        <w:rPr>
          <w:sz w:val="22"/>
          <w:szCs w:val="22"/>
          <w:lang w:val="en-GB"/>
        </w:rPr>
        <w:t>e</w:t>
      </w:r>
      <w:r w:rsidRPr="00C275ED">
        <w:rPr>
          <w:sz w:val="22"/>
          <w:szCs w:val="22"/>
          <w:lang w:val="en-GB"/>
        </w:rPr>
        <w:t>n, B., Niels</w:t>
      </w:r>
      <w:r w:rsidR="0049655F">
        <w:rPr>
          <w:sz w:val="22"/>
          <w:szCs w:val="22"/>
          <w:lang w:val="en-GB"/>
        </w:rPr>
        <w:t>e</w:t>
      </w:r>
      <w:r w:rsidRPr="00C275ED">
        <w:rPr>
          <w:sz w:val="22"/>
          <w:szCs w:val="22"/>
          <w:lang w:val="en-GB"/>
        </w:rPr>
        <w:t xml:space="preserve">n, S, (2016), Home country institutions and the internationalization of state owned enterprises: A cross-country analysis, </w:t>
      </w:r>
      <w:r w:rsidRPr="00C275ED">
        <w:rPr>
          <w:i/>
          <w:sz w:val="22"/>
          <w:szCs w:val="22"/>
          <w:lang w:val="en-GB"/>
        </w:rPr>
        <w:t>Journal of World Business</w:t>
      </w:r>
      <w:r w:rsidRPr="00C275ED">
        <w:rPr>
          <w:sz w:val="22"/>
          <w:szCs w:val="22"/>
          <w:u w:val="single"/>
          <w:lang w:val="en-GB"/>
        </w:rPr>
        <w:t xml:space="preserve">, </w:t>
      </w:r>
      <w:r w:rsidRPr="00C275ED">
        <w:rPr>
          <w:sz w:val="22"/>
          <w:szCs w:val="22"/>
          <w:lang w:val="en-GB"/>
        </w:rPr>
        <w:t>59, 2, 294-307</w:t>
      </w:r>
      <w:r w:rsidRPr="00C275ED">
        <w:rPr>
          <w:sz w:val="22"/>
          <w:szCs w:val="22"/>
          <w:u w:val="single"/>
          <w:lang w:val="en-GB"/>
        </w:rPr>
        <w:t xml:space="preserve"> </w:t>
      </w:r>
    </w:p>
    <w:p w14:paraId="103E4E98" w14:textId="5B8603D1" w:rsidR="00AF28CF" w:rsidRDefault="00AF28CF" w:rsidP="00032263">
      <w:pPr>
        <w:spacing w:after="120"/>
        <w:ind w:left="426" w:hanging="426"/>
        <w:outlineLvl w:val="0"/>
        <w:rPr>
          <w:sz w:val="22"/>
          <w:szCs w:val="22"/>
        </w:rPr>
      </w:pPr>
      <w:r w:rsidRPr="006F16B8">
        <w:rPr>
          <w:sz w:val="22"/>
          <w:szCs w:val="22"/>
        </w:rPr>
        <w:t>Ghemawat</w:t>
      </w:r>
      <w:r w:rsidR="006B3149">
        <w:rPr>
          <w:sz w:val="22"/>
          <w:szCs w:val="22"/>
        </w:rPr>
        <w:t>,</w:t>
      </w:r>
      <w:r w:rsidRPr="006F16B8">
        <w:rPr>
          <w:sz w:val="22"/>
          <w:szCs w:val="22"/>
        </w:rPr>
        <w:t xml:space="preserve"> P. 2007. </w:t>
      </w:r>
      <w:r w:rsidR="00F9664B" w:rsidRPr="006F16B8">
        <w:rPr>
          <w:i/>
          <w:sz w:val="22"/>
          <w:szCs w:val="22"/>
        </w:rPr>
        <w:t>Rethinking Global Strategy</w:t>
      </w:r>
      <w:r w:rsidR="006B2316">
        <w:rPr>
          <w:i/>
          <w:sz w:val="22"/>
          <w:szCs w:val="22"/>
        </w:rPr>
        <w:t xml:space="preserve">, </w:t>
      </w:r>
      <w:r w:rsidR="00F9664B" w:rsidRPr="006F16B8">
        <w:rPr>
          <w:sz w:val="22"/>
          <w:szCs w:val="22"/>
        </w:rPr>
        <w:t>Boston</w:t>
      </w:r>
      <w:r w:rsidR="006B2316">
        <w:rPr>
          <w:sz w:val="22"/>
          <w:szCs w:val="22"/>
        </w:rPr>
        <w:t>.</w:t>
      </w:r>
      <w:r w:rsidR="00F9664B" w:rsidRPr="006F16B8">
        <w:rPr>
          <w:sz w:val="22"/>
          <w:szCs w:val="22"/>
        </w:rPr>
        <w:t xml:space="preserve"> MA:</w:t>
      </w:r>
      <w:r w:rsidRPr="006F16B8">
        <w:rPr>
          <w:sz w:val="22"/>
          <w:szCs w:val="22"/>
        </w:rPr>
        <w:t xml:space="preserve"> Harvard Business School Press. </w:t>
      </w:r>
    </w:p>
    <w:p w14:paraId="3073CE23" w14:textId="606E789B" w:rsidR="00543A7B" w:rsidRPr="006F16B8" w:rsidRDefault="00543A7B" w:rsidP="005F2D8B">
      <w:pPr>
        <w:spacing w:after="120"/>
        <w:ind w:left="360" w:hanging="360"/>
        <w:jc w:val="both"/>
        <w:rPr>
          <w:sz w:val="22"/>
          <w:szCs w:val="22"/>
        </w:rPr>
      </w:pPr>
      <w:r w:rsidRPr="006F16B8">
        <w:rPr>
          <w:sz w:val="22"/>
          <w:szCs w:val="22"/>
        </w:rPr>
        <w:t>Greene</w:t>
      </w:r>
      <w:r w:rsidR="00675BC2" w:rsidRPr="006F16B8">
        <w:rPr>
          <w:sz w:val="22"/>
          <w:szCs w:val="22"/>
        </w:rPr>
        <w:t xml:space="preserve"> W</w:t>
      </w:r>
      <w:r w:rsidR="00B72154">
        <w:rPr>
          <w:sz w:val="22"/>
          <w:szCs w:val="22"/>
        </w:rPr>
        <w:t>.</w:t>
      </w:r>
      <w:r w:rsidR="00675BC2" w:rsidRPr="006F16B8">
        <w:rPr>
          <w:sz w:val="22"/>
          <w:szCs w:val="22"/>
        </w:rPr>
        <w:t>H</w:t>
      </w:r>
      <w:r w:rsidR="00B76732">
        <w:rPr>
          <w:sz w:val="22"/>
          <w:szCs w:val="22"/>
        </w:rPr>
        <w:t>.</w:t>
      </w:r>
      <w:r w:rsidRPr="006F16B8">
        <w:rPr>
          <w:sz w:val="22"/>
          <w:szCs w:val="22"/>
        </w:rPr>
        <w:t xml:space="preserve"> 2011</w:t>
      </w:r>
      <w:r w:rsidR="00675BC2" w:rsidRPr="006F16B8">
        <w:rPr>
          <w:sz w:val="22"/>
          <w:szCs w:val="22"/>
        </w:rPr>
        <w:t xml:space="preserve">. </w:t>
      </w:r>
      <w:r w:rsidR="00675BC2" w:rsidRPr="006F16B8">
        <w:rPr>
          <w:i/>
          <w:sz w:val="22"/>
          <w:szCs w:val="22"/>
        </w:rPr>
        <w:t>Econometric Analysis</w:t>
      </w:r>
      <w:r w:rsidR="00675BC2" w:rsidRPr="006F16B8">
        <w:rPr>
          <w:sz w:val="22"/>
          <w:szCs w:val="22"/>
        </w:rPr>
        <w:t>, 7th ed. Prentice Hall</w:t>
      </w:r>
      <w:r w:rsidR="006B2316">
        <w:rPr>
          <w:sz w:val="22"/>
          <w:szCs w:val="22"/>
        </w:rPr>
        <w:t>.</w:t>
      </w:r>
      <w:r w:rsidR="00675BC2" w:rsidRPr="006F16B8">
        <w:rPr>
          <w:sz w:val="22"/>
          <w:szCs w:val="22"/>
        </w:rPr>
        <w:t xml:space="preserve"> </w:t>
      </w:r>
    </w:p>
    <w:p w14:paraId="65B7D168" w14:textId="002CC677" w:rsidR="00FF589A" w:rsidRPr="006F16B8" w:rsidRDefault="00FF589A" w:rsidP="005F2D8B">
      <w:pPr>
        <w:spacing w:after="120"/>
        <w:ind w:left="360" w:hanging="360"/>
        <w:jc w:val="both"/>
        <w:rPr>
          <w:sz w:val="22"/>
          <w:szCs w:val="22"/>
        </w:rPr>
      </w:pPr>
      <w:r w:rsidRPr="006F16B8">
        <w:rPr>
          <w:sz w:val="22"/>
          <w:szCs w:val="22"/>
        </w:rPr>
        <w:t>Gubbi S</w:t>
      </w:r>
      <w:r w:rsidR="00B72154">
        <w:rPr>
          <w:sz w:val="22"/>
          <w:szCs w:val="22"/>
        </w:rPr>
        <w:t>.</w:t>
      </w:r>
      <w:r w:rsidRPr="006F16B8">
        <w:rPr>
          <w:sz w:val="22"/>
          <w:szCs w:val="22"/>
        </w:rPr>
        <w:t>R</w:t>
      </w:r>
      <w:r w:rsidR="00B72154">
        <w:rPr>
          <w:sz w:val="22"/>
          <w:szCs w:val="22"/>
        </w:rPr>
        <w:t>.</w:t>
      </w:r>
      <w:r w:rsidR="00C63A09" w:rsidRPr="006F16B8">
        <w:rPr>
          <w:sz w:val="22"/>
          <w:szCs w:val="22"/>
        </w:rPr>
        <w:t xml:space="preserve">, </w:t>
      </w:r>
      <w:r w:rsidRPr="006F16B8">
        <w:rPr>
          <w:sz w:val="22"/>
          <w:szCs w:val="22"/>
        </w:rPr>
        <w:t>Aulakh P</w:t>
      </w:r>
      <w:r w:rsidR="00B72154">
        <w:rPr>
          <w:sz w:val="22"/>
          <w:szCs w:val="22"/>
        </w:rPr>
        <w:t>.</w:t>
      </w:r>
      <w:r w:rsidRPr="006F16B8">
        <w:rPr>
          <w:sz w:val="22"/>
          <w:szCs w:val="22"/>
        </w:rPr>
        <w:t>, Ray</w:t>
      </w:r>
      <w:r w:rsidR="00B72154">
        <w:rPr>
          <w:sz w:val="22"/>
          <w:szCs w:val="22"/>
        </w:rPr>
        <w:t>,</w:t>
      </w:r>
      <w:r w:rsidRPr="006F16B8">
        <w:rPr>
          <w:sz w:val="22"/>
          <w:szCs w:val="22"/>
        </w:rPr>
        <w:t xml:space="preserve"> S</w:t>
      </w:r>
      <w:r w:rsidR="00B72154">
        <w:rPr>
          <w:sz w:val="22"/>
          <w:szCs w:val="22"/>
        </w:rPr>
        <w:t>.</w:t>
      </w:r>
      <w:r w:rsidRPr="006F16B8">
        <w:rPr>
          <w:sz w:val="22"/>
          <w:szCs w:val="22"/>
        </w:rPr>
        <w:t>, Sarkar</w:t>
      </w:r>
      <w:r w:rsidR="00B72154">
        <w:rPr>
          <w:sz w:val="22"/>
          <w:szCs w:val="22"/>
        </w:rPr>
        <w:t>,</w:t>
      </w:r>
      <w:r w:rsidRPr="006F16B8">
        <w:rPr>
          <w:sz w:val="22"/>
          <w:szCs w:val="22"/>
        </w:rPr>
        <w:t xml:space="preserve"> M</w:t>
      </w:r>
      <w:r w:rsidR="00B72154">
        <w:rPr>
          <w:sz w:val="22"/>
          <w:szCs w:val="22"/>
        </w:rPr>
        <w:t>.</w:t>
      </w:r>
      <w:r w:rsidRPr="006F16B8">
        <w:rPr>
          <w:sz w:val="22"/>
          <w:szCs w:val="22"/>
        </w:rPr>
        <w:t>B</w:t>
      </w:r>
      <w:r w:rsidR="00B72154">
        <w:rPr>
          <w:sz w:val="22"/>
          <w:szCs w:val="22"/>
        </w:rPr>
        <w:t>.</w:t>
      </w:r>
      <w:r w:rsidR="00620051">
        <w:rPr>
          <w:sz w:val="22"/>
          <w:szCs w:val="22"/>
        </w:rPr>
        <w:t xml:space="preserve"> &amp;</w:t>
      </w:r>
      <w:r w:rsidR="00C63A09" w:rsidRPr="006F16B8">
        <w:rPr>
          <w:sz w:val="22"/>
          <w:szCs w:val="22"/>
        </w:rPr>
        <w:t xml:space="preserve"> </w:t>
      </w:r>
      <w:r w:rsidRPr="006F16B8">
        <w:rPr>
          <w:sz w:val="22"/>
          <w:szCs w:val="22"/>
        </w:rPr>
        <w:t>Chit</w:t>
      </w:r>
      <w:r w:rsidR="00D76364">
        <w:rPr>
          <w:sz w:val="22"/>
          <w:szCs w:val="22"/>
        </w:rPr>
        <w:t>t</w:t>
      </w:r>
      <w:r w:rsidRPr="006F16B8">
        <w:rPr>
          <w:sz w:val="22"/>
          <w:szCs w:val="22"/>
        </w:rPr>
        <w:t>oor</w:t>
      </w:r>
      <w:r w:rsidR="00B72154">
        <w:rPr>
          <w:sz w:val="22"/>
          <w:szCs w:val="22"/>
        </w:rPr>
        <w:t>,</w:t>
      </w:r>
      <w:r w:rsidRPr="006F16B8">
        <w:rPr>
          <w:sz w:val="22"/>
          <w:szCs w:val="22"/>
        </w:rPr>
        <w:t xml:space="preserve"> R. 2010. Do international acquisitions by emerging-economy firms create shareholder value? The case of Indian firms</w:t>
      </w:r>
      <w:r w:rsidR="006B2316">
        <w:rPr>
          <w:sz w:val="22"/>
          <w:szCs w:val="22"/>
        </w:rPr>
        <w:t>.</w:t>
      </w:r>
      <w:r w:rsidRPr="006F16B8">
        <w:rPr>
          <w:sz w:val="22"/>
          <w:szCs w:val="22"/>
        </w:rPr>
        <w:t xml:space="preserve"> </w:t>
      </w:r>
      <w:r w:rsidRPr="006F16B8">
        <w:rPr>
          <w:i/>
          <w:sz w:val="22"/>
          <w:szCs w:val="22"/>
        </w:rPr>
        <w:t>Journal of International Business Studies</w:t>
      </w:r>
      <w:r w:rsidR="00ED5BED">
        <w:rPr>
          <w:i/>
          <w:sz w:val="22"/>
          <w:szCs w:val="22"/>
        </w:rPr>
        <w:t>,</w:t>
      </w:r>
      <w:r w:rsidRPr="006F16B8">
        <w:rPr>
          <w:sz w:val="22"/>
          <w:szCs w:val="22"/>
        </w:rPr>
        <w:t xml:space="preserve"> </w:t>
      </w:r>
      <w:r w:rsidRPr="006F16B8">
        <w:rPr>
          <w:bCs/>
          <w:color w:val="000000"/>
          <w:sz w:val="22"/>
          <w:szCs w:val="22"/>
        </w:rPr>
        <w:t>41</w:t>
      </w:r>
      <w:r w:rsidR="00044114">
        <w:rPr>
          <w:bCs/>
          <w:color w:val="000000"/>
          <w:sz w:val="22"/>
          <w:szCs w:val="22"/>
        </w:rPr>
        <w:t>(</w:t>
      </w:r>
      <w:r w:rsidR="00035236">
        <w:rPr>
          <w:bCs/>
          <w:color w:val="000000"/>
          <w:sz w:val="22"/>
          <w:szCs w:val="22"/>
        </w:rPr>
        <w:t>3</w:t>
      </w:r>
      <w:r w:rsidR="00044114">
        <w:rPr>
          <w:bCs/>
          <w:color w:val="000000"/>
          <w:sz w:val="22"/>
          <w:szCs w:val="22"/>
        </w:rPr>
        <w:t>)</w:t>
      </w:r>
      <w:r w:rsidR="006B2316">
        <w:rPr>
          <w:bCs/>
          <w:color w:val="000000"/>
          <w:sz w:val="22"/>
          <w:szCs w:val="22"/>
        </w:rPr>
        <w:t>:</w:t>
      </w:r>
      <w:r w:rsidRPr="006F16B8">
        <w:rPr>
          <w:color w:val="000000"/>
          <w:sz w:val="22"/>
          <w:szCs w:val="22"/>
        </w:rPr>
        <w:t xml:space="preserve"> 397–418.</w:t>
      </w:r>
    </w:p>
    <w:p w14:paraId="2F50C8E6" w14:textId="06BF2FF5" w:rsidR="00FE7D64" w:rsidRDefault="000E740F">
      <w:pPr>
        <w:spacing w:after="120"/>
        <w:ind w:left="360" w:hanging="360"/>
        <w:jc w:val="both"/>
        <w:rPr>
          <w:iCs/>
          <w:sz w:val="22"/>
          <w:szCs w:val="22"/>
          <w:lang w:val="en"/>
        </w:rPr>
      </w:pPr>
      <w:r w:rsidRPr="008E049E">
        <w:rPr>
          <w:sz w:val="22"/>
          <w:szCs w:val="22"/>
          <w:lang w:val="fr-FR"/>
        </w:rPr>
        <w:t>Guillén</w:t>
      </w:r>
      <w:r w:rsidR="00B72154" w:rsidRPr="008E049E">
        <w:rPr>
          <w:sz w:val="22"/>
          <w:szCs w:val="22"/>
          <w:lang w:val="fr-FR"/>
        </w:rPr>
        <w:t>,</w:t>
      </w:r>
      <w:r w:rsidRPr="008E049E">
        <w:rPr>
          <w:sz w:val="22"/>
          <w:szCs w:val="22"/>
          <w:lang w:val="fr-FR"/>
        </w:rPr>
        <w:t xml:space="preserve"> </w:t>
      </w:r>
      <w:r w:rsidR="00FE7D64" w:rsidRPr="008E049E">
        <w:rPr>
          <w:sz w:val="22"/>
          <w:szCs w:val="22"/>
          <w:lang w:val="fr-FR"/>
        </w:rPr>
        <w:t>M</w:t>
      </w:r>
      <w:r w:rsidR="00B72154" w:rsidRPr="008E049E">
        <w:rPr>
          <w:sz w:val="22"/>
          <w:szCs w:val="22"/>
          <w:lang w:val="fr-FR"/>
        </w:rPr>
        <w:t>.</w:t>
      </w:r>
      <w:r w:rsidR="00FE7D64" w:rsidRPr="008E049E">
        <w:rPr>
          <w:sz w:val="22"/>
          <w:szCs w:val="22"/>
          <w:lang w:val="fr-FR"/>
        </w:rPr>
        <w:t>F</w:t>
      </w:r>
      <w:r w:rsidR="00B72154" w:rsidRPr="008E049E">
        <w:rPr>
          <w:sz w:val="22"/>
          <w:szCs w:val="22"/>
          <w:lang w:val="fr-FR"/>
        </w:rPr>
        <w:t>.</w:t>
      </w:r>
      <w:r w:rsidR="00035236" w:rsidRPr="008E049E">
        <w:rPr>
          <w:sz w:val="22"/>
          <w:szCs w:val="22"/>
          <w:lang w:val="fr-FR"/>
        </w:rPr>
        <w:t xml:space="preserve"> &amp;</w:t>
      </w:r>
      <w:r w:rsidR="00B72154" w:rsidRPr="008E049E">
        <w:rPr>
          <w:sz w:val="22"/>
          <w:szCs w:val="22"/>
          <w:lang w:val="fr-FR"/>
        </w:rPr>
        <w:t xml:space="preserve"> </w:t>
      </w:r>
      <w:r w:rsidR="00FE7D64" w:rsidRPr="008E049E">
        <w:rPr>
          <w:sz w:val="22"/>
          <w:szCs w:val="22"/>
          <w:lang w:val="fr-FR"/>
        </w:rPr>
        <w:t>Garcia-Canal</w:t>
      </w:r>
      <w:r w:rsidR="00B72154" w:rsidRPr="008E049E">
        <w:rPr>
          <w:sz w:val="22"/>
          <w:szCs w:val="22"/>
          <w:lang w:val="fr-FR"/>
        </w:rPr>
        <w:t>,</w:t>
      </w:r>
      <w:r w:rsidR="00FE7D64" w:rsidRPr="008E049E">
        <w:rPr>
          <w:sz w:val="22"/>
          <w:szCs w:val="22"/>
          <w:lang w:val="fr-FR"/>
        </w:rPr>
        <w:t xml:space="preserve"> E</w:t>
      </w:r>
      <w:r w:rsidR="00035236" w:rsidRPr="008E049E">
        <w:rPr>
          <w:sz w:val="22"/>
          <w:szCs w:val="22"/>
          <w:lang w:val="fr-FR"/>
        </w:rPr>
        <w:t>.</w:t>
      </w:r>
      <w:r w:rsidR="00FE7D64" w:rsidRPr="008E049E">
        <w:rPr>
          <w:sz w:val="22"/>
          <w:szCs w:val="22"/>
          <w:lang w:val="fr-FR"/>
        </w:rPr>
        <w:t xml:space="preserve"> 2013</w:t>
      </w:r>
      <w:r w:rsidR="00035236" w:rsidRPr="008E049E">
        <w:rPr>
          <w:sz w:val="22"/>
          <w:szCs w:val="22"/>
          <w:lang w:val="fr-FR"/>
        </w:rPr>
        <w:t>.</w:t>
      </w:r>
      <w:r w:rsidR="00FE7D64" w:rsidRPr="008E049E">
        <w:rPr>
          <w:sz w:val="22"/>
          <w:szCs w:val="22"/>
          <w:lang w:val="fr-FR"/>
        </w:rPr>
        <w:t xml:space="preserve"> </w:t>
      </w:r>
      <w:r w:rsidR="00FE7D64" w:rsidRPr="00FE7D64">
        <w:rPr>
          <w:i/>
          <w:iCs/>
          <w:sz w:val="22"/>
          <w:szCs w:val="22"/>
          <w:lang w:val="en"/>
        </w:rPr>
        <w:t>Emerging Markets Rule: Growth Strategies of the New Global Giants</w:t>
      </w:r>
      <w:r w:rsidR="00FE7D64">
        <w:rPr>
          <w:iCs/>
          <w:sz w:val="22"/>
          <w:szCs w:val="22"/>
          <w:lang w:val="en"/>
        </w:rPr>
        <w:t>, McGraw-Hill</w:t>
      </w:r>
      <w:r w:rsidR="00B76732">
        <w:rPr>
          <w:iCs/>
          <w:sz w:val="22"/>
          <w:szCs w:val="22"/>
          <w:lang w:val="en"/>
        </w:rPr>
        <w:t>.</w:t>
      </w:r>
    </w:p>
    <w:p w14:paraId="3D50CFCD" w14:textId="083F2935" w:rsidR="001E0601" w:rsidRDefault="001E0601">
      <w:pPr>
        <w:spacing w:after="120"/>
        <w:ind w:left="360" w:hanging="360"/>
        <w:jc w:val="both"/>
        <w:rPr>
          <w:rFonts w:eastAsia="Calibri"/>
          <w:sz w:val="22"/>
          <w:szCs w:val="22"/>
          <w:lang w:eastAsia="en-GB"/>
        </w:rPr>
      </w:pPr>
      <w:r w:rsidRPr="00032263">
        <w:rPr>
          <w:rFonts w:eastAsia="Calibri"/>
          <w:sz w:val="22"/>
          <w:szCs w:val="22"/>
          <w:lang w:eastAsia="en-GB"/>
        </w:rPr>
        <w:t xml:space="preserve">Gugler, K., Mueller, D. C., </w:t>
      </w:r>
      <w:r w:rsidRPr="00032263">
        <w:rPr>
          <w:rFonts w:eastAsia="Calibri"/>
          <w:noProof/>
          <w:sz w:val="22"/>
          <w:szCs w:val="22"/>
          <w:lang w:eastAsia="en-GB"/>
        </w:rPr>
        <w:t>Peev</w:t>
      </w:r>
      <w:r w:rsidRPr="00032263">
        <w:rPr>
          <w:rFonts w:eastAsia="Calibri"/>
          <w:sz w:val="22"/>
          <w:szCs w:val="22"/>
          <w:lang w:eastAsia="en-GB"/>
        </w:rPr>
        <w:t>, E, Segalla, E 2013. </w:t>
      </w:r>
      <w:hyperlink r:id="rId12" w:tgtFrame="_blank" w:history="1">
        <w:r w:rsidRPr="00032263">
          <w:rPr>
            <w:rFonts w:eastAsia="Calibri"/>
            <w:sz w:val="22"/>
            <w:szCs w:val="22"/>
            <w:lang w:eastAsia="en-GB"/>
          </w:rPr>
          <w:t>Institutional determinants of domestic and foreign subsidiaries' performance</w:t>
        </w:r>
      </w:hyperlink>
      <w:r w:rsidRPr="00032263">
        <w:rPr>
          <w:rFonts w:eastAsia="Calibri"/>
          <w:sz w:val="22"/>
          <w:szCs w:val="22"/>
          <w:lang w:eastAsia="en-GB"/>
        </w:rPr>
        <w:t xml:space="preserve">. </w:t>
      </w:r>
      <w:r w:rsidRPr="00032263">
        <w:rPr>
          <w:rFonts w:eastAsia="Calibri"/>
          <w:i/>
          <w:sz w:val="22"/>
          <w:szCs w:val="22"/>
          <w:lang w:eastAsia="en-GB"/>
        </w:rPr>
        <w:t>International Review of Law and Economics</w:t>
      </w:r>
      <w:r w:rsidRPr="00032263">
        <w:rPr>
          <w:rFonts w:eastAsia="Calibri"/>
          <w:sz w:val="22"/>
          <w:szCs w:val="22"/>
          <w:lang w:eastAsia="en-GB"/>
        </w:rPr>
        <w:t>, 34: 88-96.</w:t>
      </w:r>
    </w:p>
    <w:p w14:paraId="76BF688C" w14:textId="4412B58C" w:rsidR="00B72154" w:rsidRDefault="00334680" w:rsidP="00177830">
      <w:pPr>
        <w:autoSpaceDE w:val="0"/>
        <w:autoSpaceDN w:val="0"/>
        <w:adjustRightInd w:val="0"/>
        <w:spacing w:after="120"/>
        <w:ind w:left="426" w:hanging="426"/>
        <w:rPr>
          <w:sz w:val="22"/>
          <w:szCs w:val="22"/>
          <w:lang w:val="en-GB" w:eastAsia="en-GB"/>
        </w:rPr>
      </w:pPr>
      <w:r>
        <w:rPr>
          <w:sz w:val="22"/>
          <w:szCs w:val="22"/>
        </w:rPr>
        <w:t>Hall P</w:t>
      </w:r>
      <w:r w:rsidR="00B72154">
        <w:rPr>
          <w:sz w:val="22"/>
          <w:szCs w:val="22"/>
        </w:rPr>
        <w:t>.</w:t>
      </w:r>
      <w:r w:rsidR="00B76732">
        <w:rPr>
          <w:sz w:val="22"/>
          <w:szCs w:val="22"/>
        </w:rPr>
        <w:t xml:space="preserve">, </w:t>
      </w:r>
      <w:r w:rsidR="00B72154">
        <w:rPr>
          <w:sz w:val="22"/>
          <w:szCs w:val="22"/>
        </w:rPr>
        <w:t xml:space="preserve">&amp; </w:t>
      </w:r>
      <w:r>
        <w:rPr>
          <w:sz w:val="22"/>
          <w:szCs w:val="22"/>
        </w:rPr>
        <w:t>Soskice</w:t>
      </w:r>
      <w:r w:rsidR="00B72154">
        <w:rPr>
          <w:sz w:val="22"/>
          <w:szCs w:val="22"/>
        </w:rPr>
        <w:t>,</w:t>
      </w:r>
      <w:r>
        <w:rPr>
          <w:sz w:val="22"/>
          <w:szCs w:val="22"/>
        </w:rPr>
        <w:t xml:space="preserve"> D. 2001. </w:t>
      </w:r>
      <w:r w:rsidRPr="00607AF8">
        <w:rPr>
          <w:i/>
          <w:sz w:val="22"/>
          <w:szCs w:val="22"/>
        </w:rPr>
        <w:t>Varieties of Capitalism</w:t>
      </w:r>
      <w:r>
        <w:rPr>
          <w:sz w:val="22"/>
          <w:szCs w:val="22"/>
        </w:rPr>
        <w:t>, Oxford: Oxford University Press.</w:t>
      </w:r>
    </w:p>
    <w:p w14:paraId="1DDAB809" w14:textId="5363A151" w:rsidR="00801B1F" w:rsidRDefault="00801B1F" w:rsidP="00C46F54">
      <w:pPr>
        <w:autoSpaceDE w:val="0"/>
        <w:autoSpaceDN w:val="0"/>
        <w:adjustRightInd w:val="0"/>
        <w:spacing w:after="120"/>
        <w:ind w:left="426" w:hanging="426"/>
        <w:rPr>
          <w:sz w:val="22"/>
          <w:szCs w:val="22"/>
          <w:lang w:val="en-GB" w:eastAsia="en-GB"/>
        </w:rPr>
      </w:pPr>
      <w:r w:rsidRPr="00DD3F56">
        <w:rPr>
          <w:sz w:val="22"/>
          <w:szCs w:val="22"/>
          <w:lang w:val="en-GB" w:eastAsia="en-GB"/>
        </w:rPr>
        <w:t>Head</w:t>
      </w:r>
      <w:r w:rsidR="0071054C">
        <w:rPr>
          <w:sz w:val="22"/>
          <w:szCs w:val="22"/>
          <w:lang w:val="en-GB" w:eastAsia="en-GB"/>
        </w:rPr>
        <w:t>,</w:t>
      </w:r>
      <w:r w:rsidRPr="00DD3F56">
        <w:rPr>
          <w:sz w:val="22"/>
          <w:szCs w:val="22"/>
          <w:lang w:val="en-GB" w:eastAsia="en-GB"/>
        </w:rPr>
        <w:t xml:space="preserve"> K</w:t>
      </w:r>
      <w:r w:rsidR="0049655F">
        <w:rPr>
          <w:sz w:val="22"/>
          <w:szCs w:val="22"/>
          <w:lang w:val="en-GB" w:eastAsia="en-GB"/>
        </w:rPr>
        <w:t>.</w:t>
      </w:r>
      <w:r w:rsidRPr="00DD3F56">
        <w:rPr>
          <w:sz w:val="22"/>
          <w:szCs w:val="22"/>
          <w:lang w:val="en-GB" w:eastAsia="en-GB"/>
        </w:rPr>
        <w:t>, Ries</w:t>
      </w:r>
      <w:r w:rsidR="0049655F">
        <w:rPr>
          <w:sz w:val="22"/>
          <w:szCs w:val="22"/>
          <w:lang w:val="en-GB" w:eastAsia="en-GB"/>
        </w:rPr>
        <w:t>,</w:t>
      </w:r>
      <w:r w:rsidRPr="00DD3F56">
        <w:rPr>
          <w:sz w:val="22"/>
          <w:szCs w:val="22"/>
          <w:lang w:val="en-GB" w:eastAsia="en-GB"/>
        </w:rPr>
        <w:t xml:space="preserve"> J</w:t>
      </w:r>
      <w:r w:rsidR="0049655F">
        <w:rPr>
          <w:sz w:val="22"/>
          <w:szCs w:val="22"/>
          <w:lang w:val="en-GB" w:eastAsia="en-GB"/>
        </w:rPr>
        <w:t>.</w:t>
      </w:r>
      <w:r w:rsidR="00620051">
        <w:rPr>
          <w:sz w:val="22"/>
          <w:szCs w:val="22"/>
          <w:lang w:val="en-GB" w:eastAsia="en-GB"/>
        </w:rPr>
        <w:t xml:space="preserve"> &amp;</w:t>
      </w:r>
      <w:r w:rsidR="0020477F" w:rsidRPr="00DD3F56">
        <w:rPr>
          <w:sz w:val="22"/>
          <w:szCs w:val="22"/>
          <w:lang w:val="en-GB" w:eastAsia="en-GB"/>
        </w:rPr>
        <w:t xml:space="preserve"> </w:t>
      </w:r>
      <w:r w:rsidRPr="00DD3F56">
        <w:rPr>
          <w:sz w:val="22"/>
          <w:szCs w:val="22"/>
          <w:lang w:val="en-GB" w:eastAsia="en-GB"/>
        </w:rPr>
        <w:t>Swenson</w:t>
      </w:r>
      <w:r w:rsidR="0049655F">
        <w:rPr>
          <w:sz w:val="22"/>
          <w:szCs w:val="22"/>
          <w:lang w:val="en-GB" w:eastAsia="en-GB"/>
        </w:rPr>
        <w:t>,</w:t>
      </w:r>
      <w:r w:rsidRPr="00DD3F56">
        <w:rPr>
          <w:sz w:val="22"/>
          <w:szCs w:val="22"/>
          <w:lang w:val="en-GB" w:eastAsia="en-GB"/>
        </w:rPr>
        <w:t xml:space="preserve"> D. 1995. Agglomeration benefits and location choice: Evidence from Japanese manufacturing investments in the United States. </w:t>
      </w:r>
      <w:r w:rsidRPr="00DD3F56">
        <w:rPr>
          <w:i/>
          <w:sz w:val="22"/>
          <w:szCs w:val="22"/>
          <w:lang w:val="en-GB" w:eastAsia="en-GB"/>
        </w:rPr>
        <w:t>Journal of International Economics</w:t>
      </w:r>
      <w:r w:rsidR="00ED5BED">
        <w:rPr>
          <w:i/>
          <w:sz w:val="22"/>
          <w:szCs w:val="22"/>
          <w:lang w:val="en-GB" w:eastAsia="en-GB"/>
        </w:rPr>
        <w:t>,</w:t>
      </w:r>
      <w:r w:rsidRPr="00DD3F56">
        <w:rPr>
          <w:sz w:val="22"/>
          <w:szCs w:val="22"/>
          <w:lang w:val="en-GB" w:eastAsia="en-GB"/>
        </w:rPr>
        <w:t xml:space="preserve"> 38(3–4): 223–247.</w:t>
      </w:r>
    </w:p>
    <w:p w14:paraId="25EDCC3C" w14:textId="0070671F" w:rsidR="00B72154" w:rsidRDefault="00FF589A">
      <w:pPr>
        <w:autoSpaceDE w:val="0"/>
        <w:autoSpaceDN w:val="0"/>
        <w:adjustRightInd w:val="0"/>
        <w:spacing w:after="120"/>
        <w:ind w:left="360" w:hanging="360"/>
        <w:rPr>
          <w:sz w:val="22"/>
          <w:szCs w:val="22"/>
        </w:rPr>
      </w:pPr>
      <w:r w:rsidRPr="00DD3F56">
        <w:rPr>
          <w:sz w:val="22"/>
          <w:szCs w:val="22"/>
        </w:rPr>
        <w:t>Henisz</w:t>
      </w:r>
      <w:r w:rsidR="0049655F">
        <w:rPr>
          <w:sz w:val="22"/>
          <w:szCs w:val="22"/>
        </w:rPr>
        <w:t>,</w:t>
      </w:r>
      <w:r w:rsidRPr="00DD3F56">
        <w:rPr>
          <w:sz w:val="22"/>
          <w:szCs w:val="22"/>
        </w:rPr>
        <w:t xml:space="preserve"> W</w:t>
      </w:r>
      <w:r w:rsidR="00B72154">
        <w:rPr>
          <w:sz w:val="22"/>
          <w:szCs w:val="22"/>
        </w:rPr>
        <w:t>.</w:t>
      </w:r>
      <w:r w:rsidRPr="00DD3F56">
        <w:rPr>
          <w:sz w:val="22"/>
          <w:szCs w:val="22"/>
        </w:rPr>
        <w:t>J. 2003. The power of the Buckley and Casson thesis: the ability to manage institutional idiosyncrasies</w:t>
      </w:r>
      <w:r w:rsidR="006B2316" w:rsidRPr="00DD3F56">
        <w:rPr>
          <w:sz w:val="22"/>
          <w:szCs w:val="22"/>
        </w:rPr>
        <w:t>.</w:t>
      </w:r>
      <w:r w:rsidRPr="00DD3F56">
        <w:rPr>
          <w:sz w:val="22"/>
          <w:szCs w:val="22"/>
        </w:rPr>
        <w:t xml:space="preserve"> </w:t>
      </w:r>
      <w:r w:rsidRPr="00DD3F56">
        <w:rPr>
          <w:i/>
          <w:sz w:val="22"/>
          <w:szCs w:val="22"/>
        </w:rPr>
        <w:t>Journal of International Business Studies</w:t>
      </w:r>
      <w:r w:rsidR="00ED5BED">
        <w:rPr>
          <w:i/>
          <w:sz w:val="22"/>
          <w:szCs w:val="22"/>
        </w:rPr>
        <w:t>,</w:t>
      </w:r>
      <w:r w:rsidRPr="00DD3F56">
        <w:rPr>
          <w:sz w:val="22"/>
          <w:szCs w:val="22"/>
        </w:rPr>
        <w:t xml:space="preserve"> 34(2): 173-184.</w:t>
      </w:r>
    </w:p>
    <w:p w14:paraId="37A6E4AC" w14:textId="7330D006" w:rsidR="003D350A" w:rsidRPr="00DD3F56" w:rsidRDefault="003D350A">
      <w:pPr>
        <w:autoSpaceDE w:val="0"/>
        <w:autoSpaceDN w:val="0"/>
        <w:adjustRightInd w:val="0"/>
        <w:spacing w:after="120"/>
        <w:ind w:left="360" w:hanging="360"/>
        <w:rPr>
          <w:sz w:val="22"/>
          <w:szCs w:val="22"/>
        </w:rPr>
      </w:pPr>
      <w:r w:rsidRPr="00DD3F56">
        <w:rPr>
          <w:sz w:val="22"/>
          <w:szCs w:val="22"/>
        </w:rPr>
        <w:t>Henkel</w:t>
      </w:r>
      <w:r w:rsidR="0049655F">
        <w:rPr>
          <w:sz w:val="22"/>
          <w:szCs w:val="22"/>
        </w:rPr>
        <w:t>,</w:t>
      </w:r>
      <w:r w:rsidRPr="00DD3F56">
        <w:rPr>
          <w:sz w:val="22"/>
          <w:szCs w:val="22"/>
        </w:rPr>
        <w:t xml:space="preserve"> J. 2006. Selective revealing in open innovation processes: The case of embedded Linux. </w:t>
      </w:r>
      <w:r w:rsidRPr="00A95756">
        <w:rPr>
          <w:i/>
          <w:sz w:val="22"/>
          <w:szCs w:val="22"/>
        </w:rPr>
        <w:t>Research Policy</w:t>
      </w:r>
      <w:r w:rsidRPr="00DD3F56">
        <w:rPr>
          <w:sz w:val="22"/>
          <w:szCs w:val="22"/>
        </w:rPr>
        <w:t>, 35(7): 953-69.</w:t>
      </w:r>
    </w:p>
    <w:p w14:paraId="189F6797" w14:textId="32A96620" w:rsidR="00366F8C" w:rsidRPr="00DD3F56" w:rsidRDefault="00366F8C" w:rsidP="005F2D8B">
      <w:pPr>
        <w:autoSpaceDE w:val="0"/>
        <w:autoSpaceDN w:val="0"/>
        <w:adjustRightInd w:val="0"/>
        <w:spacing w:after="120"/>
        <w:ind w:left="360" w:hanging="360"/>
        <w:rPr>
          <w:i/>
          <w:sz w:val="22"/>
          <w:szCs w:val="22"/>
        </w:rPr>
      </w:pPr>
      <w:r w:rsidRPr="00DD3F56">
        <w:rPr>
          <w:sz w:val="22"/>
          <w:szCs w:val="22"/>
        </w:rPr>
        <w:t>Hennart</w:t>
      </w:r>
      <w:r w:rsidR="0049655F">
        <w:rPr>
          <w:sz w:val="22"/>
          <w:szCs w:val="22"/>
        </w:rPr>
        <w:t>,</w:t>
      </w:r>
      <w:r w:rsidR="006B2316" w:rsidRPr="00DD3F56">
        <w:rPr>
          <w:sz w:val="22"/>
          <w:szCs w:val="22"/>
        </w:rPr>
        <w:t xml:space="preserve"> </w:t>
      </w:r>
      <w:r w:rsidRPr="00DD3F56">
        <w:rPr>
          <w:sz w:val="22"/>
          <w:szCs w:val="22"/>
        </w:rPr>
        <w:t>J</w:t>
      </w:r>
      <w:r w:rsidR="00B72154">
        <w:rPr>
          <w:sz w:val="22"/>
          <w:szCs w:val="22"/>
        </w:rPr>
        <w:t>.</w:t>
      </w:r>
      <w:r w:rsidRPr="00DD3F56">
        <w:rPr>
          <w:sz w:val="22"/>
          <w:szCs w:val="22"/>
        </w:rPr>
        <w:t xml:space="preserve">F. 2009. Down with MNE-centric theories! Market entry and expansion as </w:t>
      </w:r>
      <w:r w:rsidR="00627DC4" w:rsidRPr="00DD3F56">
        <w:rPr>
          <w:sz w:val="22"/>
          <w:szCs w:val="22"/>
        </w:rPr>
        <w:t>the bundling of MNE and local assets.</w:t>
      </w:r>
      <w:r w:rsidRPr="00DD3F56">
        <w:rPr>
          <w:sz w:val="22"/>
          <w:szCs w:val="22"/>
        </w:rPr>
        <w:t xml:space="preserve"> </w:t>
      </w:r>
      <w:r w:rsidRPr="00DD3F56">
        <w:rPr>
          <w:i/>
          <w:sz w:val="22"/>
          <w:szCs w:val="22"/>
        </w:rPr>
        <w:t>Journal of Internati</w:t>
      </w:r>
      <w:r w:rsidR="00627DC4" w:rsidRPr="00DD3F56">
        <w:rPr>
          <w:i/>
          <w:sz w:val="22"/>
          <w:szCs w:val="22"/>
        </w:rPr>
        <w:t>onal Business Studies</w:t>
      </w:r>
      <w:r w:rsidR="00ED5BED">
        <w:rPr>
          <w:i/>
          <w:sz w:val="22"/>
          <w:szCs w:val="22"/>
        </w:rPr>
        <w:t>,</w:t>
      </w:r>
      <w:r w:rsidR="00CF645A" w:rsidRPr="00DD3F56">
        <w:rPr>
          <w:i/>
          <w:sz w:val="22"/>
          <w:szCs w:val="22"/>
        </w:rPr>
        <w:t xml:space="preserve"> </w:t>
      </w:r>
      <w:r w:rsidRPr="00035236">
        <w:rPr>
          <w:sz w:val="22"/>
          <w:szCs w:val="22"/>
        </w:rPr>
        <w:t>40(9):1432–1454</w:t>
      </w:r>
      <w:r w:rsidRPr="00DD3F56">
        <w:rPr>
          <w:i/>
          <w:sz w:val="22"/>
          <w:szCs w:val="22"/>
        </w:rPr>
        <w:t>.</w:t>
      </w:r>
    </w:p>
    <w:p w14:paraId="3655BBCF" w14:textId="27BFA6E1" w:rsidR="00416D0B" w:rsidRDefault="00416D0B" w:rsidP="005F2D8B">
      <w:pPr>
        <w:autoSpaceDE w:val="0"/>
        <w:autoSpaceDN w:val="0"/>
        <w:adjustRightInd w:val="0"/>
        <w:spacing w:after="120" w:line="276" w:lineRule="auto"/>
        <w:ind w:left="360" w:hanging="360"/>
        <w:rPr>
          <w:sz w:val="22"/>
          <w:szCs w:val="22"/>
        </w:rPr>
      </w:pPr>
      <w:bookmarkStart w:id="2" w:name="OLE_LINK18"/>
      <w:r w:rsidRPr="00DD3F56">
        <w:rPr>
          <w:sz w:val="22"/>
          <w:szCs w:val="22"/>
        </w:rPr>
        <w:lastRenderedPageBreak/>
        <w:t>Hennart</w:t>
      </w:r>
      <w:r w:rsidR="0049655F">
        <w:rPr>
          <w:sz w:val="22"/>
          <w:szCs w:val="22"/>
        </w:rPr>
        <w:t>,</w:t>
      </w:r>
      <w:r w:rsidRPr="00DD3F56">
        <w:rPr>
          <w:sz w:val="22"/>
          <w:szCs w:val="22"/>
        </w:rPr>
        <w:t xml:space="preserve"> J</w:t>
      </w:r>
      <w:r w:rsidR="00B72154">
        <w:rPr>
          <w:sz w:val="22"/>
          <w:szCs w:val="22"/>
        </w:rPr>
        <w:t>.</w:t>
      </w:r>
      <w:r w:rsidRPr="00DD3F56">
        <w:rPr>
          <w:sz w:val="22"/>
          <w:szCs w:val="22"/>
        </w:rPr>
        <w:t>F. 201</w:t>
      </w:r>
      <w:r w:rsidR="00CF645A" w:rsidRPr="00DD3F56">
        <w:rPr>
          <w:sz w:val="22"/>
          <w:szCs w:val="22"/>
        </w:rPr>
        <w:t>2</w:t>
      </w:r>
      <w:r w:rsidRPr="00DD3F56">
        <w:rPr>
          <w:sz w:val="22"/>
          <w:szCs w:val="22"/>
        </w:rPr>
        <w:t>. Emerging market multinationals and the theory of the multinational enterprise</w:t>
      </w:r>
      <w:r w:rsidR="006B2316" w:rsidRPr="00DD3F56">
        <w:rPr>
          <w:sz w:val="22"/>
          <w:szCs w:val="22"/>
        </w:rPr>
        <w:t>.</w:t>
      </w:r>
      <w:r w:rsidRPr="00DD3F56">
        <w:rPr>
          <w:sz w:val="22"/>
          <w:szCs w:val="22"/>
        </w:rPr>
        <w:t xml:space="preserve"> </w:t>
      </w:r>
      <w:r w:rsidRPr="00DD3F56">
        <w:rPr>
          <w:i/>
          <w:sz w:val="22"/>
          <w:szCs w:val="22"/>
        </w:rPr>
        <w:t>Global Strategy Journal</w:t>
      </w:r>
      <w:r w:rsidR="00ED5BED">
        <w:rPr>
          <w:i/>
          <w:sz w:val="22"/>
          <w:szCs w:val="22"/>
        </w:rPr>
        <w:t>,</w:t>
      </w:r>
      <w:r w:rsidRPr="00DD3F56">
        <w:rPr>
          <w:sz w:val="22"/>
          <w:szCs w:val="22"/>
        </w:rPr>
        <w:t xml:space="preserve"> </w:t>
      </w:r>
      <w:r w:rsidR="00EF5366" w:rsidRPr="00DD3F56">
        <w:t>2(3): 168-187</w:t>
      </w:r>
      <w:r w:rsidRPr="00DD3F56">
        <w:rPr>
          <w:sz w:val="22"/>
          <w:szCs w:val="22"/>
        </w:rPr>
        <w:t xml:space="preserve">. </w:t>
      </w:r>
    </w:p>
    <w:p w14:paraId="6EDA2FE4" w14:textId="643C6E8A" w:rsidR="005567BC" w:rsidRDefault="005567BC" w:rsidP="005F2D8B">
      <w:pPr>
        <w:autoSpaceDE w:val="0"/>
        <w:autoSpaceDN w:val="0"/>
        <w:adjustRightInd w:val="0"/>
        <w:spacing w:after="120" w:line="276" w:lineRule="auto"/>
        <w:ind w:left="360" w:hanging="360"/>
        <w:rPr>
          <w:sz w:val="22"/>
          <w:szCs w:val="22"/>
        </w:rPr>
      </w:pPr>
      <w:r w:rsidRPr="005567BC">
        <w:rPr>
          <w:sz w:val="22"/>
          <w:szCs w:val="22"/>
        </w:rPr>
        <w:t>Hertenstein, P., Sutherland, D. &amp; Anderson, J. 201</w:t>
      </w:r>
      <w:r>
        <w:rPr>
          <w:sz w:val="22"/>
          <w:szCs w:val="22"/>
        </w:rPr>
        <w:t>6</w:t>
      </w:r>
      <w:r w:rsidRPr="005567BC">
        <w:rPr>
          <w:sz w:val="22"/>
          <w:szCs w:val="22"/>
        </w:rPr>
        <w:t>. Internationalization within networks: Exploring the relationship between inward and outward FDI in China’s auto components industry. </w:t>
      </w:r>
      <w:r w:rsidRPr="005567BC">
        <w:rPr>
          <w:i/>
          <w:sz w:val="22"/>
          <w:szCs w:val="22"/>
        </w:rPr>
        <w:t>Asia Pacific Journal of Management</w:t>
      </w:r>
      <w:r>
        <w:rPr>
          <w:i/>
          <w:sz w:val="22"/>
          <w:szCs w:val="22"/>
        </w:rPr>
        <w:t xml:space="preserve">. </w:t>
      </w:r>
      <w:r w:rsidR="00F80A24">
        <w:rPr>
          <w:sz w:val="22"/>
          <w:szCs w:val="22"/>
        </w:rPr>
        <w:t>advance online</w:t>
      </w:r>
      <w:r w:rsidRPr="005567BC">
        <w:rPr>
          <w:sz w:val="22"/>
          <w:szCs w:val="22"/>
        </w:rPr>
        <w:t>.</w:t>
      </w:r>
    </w:p>
    <w:p w14:paraId="157B59F4" w14:textId="620E5D05" w:rsidR="00747B2D" w:rsidRDefault="00747B2D" w:rsidP="00177830">
      <w:pPr>
        <w:autoSpaceDE w:val="0"/>
        <w:autoSpaceDN w:val="0"/>
        <w:adjustRightInd w:val="0"/>
        <w:spacing w:line="276" w:lineRule="auto"/>
        <w:ind w:left="360" w:hanging="360"/>
        <w:rPr>
          <w:sz w:val="22"/>
          <w:szCs w:val="22"/>
        </w:rPr>
      </w:pPr>
      <w:r w:rsidRPr="00747B2D">
        <w:rPr>
          <w:sz w:val="22"/>
          <w:szCs w:val="22"/>
        </w:rPr>
        <w:t>Hobdari, B., Gammeltoft, P., Li, J.</w:t>
      </w:r>
      <w:r>
        <w:rPr>
          <w:sz w:val="22"/>
          <w:szCs w:val="22"/>
        </w:rPr>
        <w:t xml:space="preserve"> &amp; Meyer, K.</w:t>
      </w:r>
      <w:r w:rsidR="00032263">
        <w:rPr>
          <w:sz w:val="22"/>
          <w:szCs w:val="22"/>
        </w:rPr>
        <w:t>, 2017</w:t>
      </w:r>
      <w:r>
        <w:rPr>
          <w:sz w:val="22"/>
          <w:szCs w:val="22"/>
        </w:rPr>
        <w:t xml:space="preserve">, </w:t>
      </w:r>
      <w:r w:rsidRPr="00747B2D">
        <w:rPr>
          <w:sz w:val="22"/>
          <w:szCs w:val="22"/>
          <w:lang w:val="en"/>
        </w:rPr>
        <w:t>The home country of the MNE: The case of emerging economy firms</w:t>
      </w:r>
      <w:r>
        <w:rPr>
          <w:sz w:val="22"/>
          <w:szCs w:val="22"/>
          <w:lang w:val="en"/>
        </w:rPr>
        <w:t>,</w:t>
      </w:r>
      <w:r w:rsidRPr="00747B2D">
        <w:rPr>
          <w:sz w:val="22"/>
          <w:szCs w:val="22"/>
        </w:rPr>
        <w:t xml:space="preserve"> </w:t>
      </w:r>
      <w:r w:rsidRPr="005A3198">
        <w:rPr>
          <w:i/>
          <w:sz w:val="22"/>
          <w:szCs w:val="22"/>
        </w:rPr>
        <w:t xml:space="preserve">Asia Pacific Journal </w:t>
      </w:r>
      <w:r w:rsidR="00032263" w:rsidRPr="005A3198">
        <w:rPr>
          <w:i/>
          <w:sz w:val="22"/>
          <w:szCs w:val="22"/>
        </w:rPr>
        <w:t>of Management</w:t>
      </w:r>
      <w:r w:rsidRPr="00747B2D">
        <w:rPr>
          <w:sz w:val="22"/>
          <w:szCs w:val="22"/>
        </w:rPr>
        <w:t xml:space="preserve"> (2017) 34: 1. </w:t>
      </w:r>
    </w:p>
    <w:p w14:paraId="1212D7A2" w14:textId="3F50235F" w:rsidR="006261B4" w:rsidRDefault="006261B4" w:rsidP="006261B4">
      <w:pPr>
        <w:autoSpaceDE w:val="0"/>
        <w:autoSpaceDN w:val="0"/>
        <w:adjustRightInd w:val="0"/>
        <w:spacing w:after="120" w:line="276" w:lineRule="auto"/>
        <w:ind w:left="360" w:hanging="360"/>
        <w:jc w:val="both"/>
        <w:rPr>
          <w:sz w:val="22"/>
          <w:szCs w:val="22"/>
        </w:rPr>
      </w:pPr>
      <w:r w:rsidRPr="00653AE5">
        <w:rPr>
          <w:sz w:val="22"/>
          <w:szCs w:val="22"/>
        </w:rPr>
        <w:t>Hofstede, G</w:t>
      </w:r>
      <w:r w:rsidR="00620051">
        <w:rPr>
          <w:sz w:val="22"/>
          <w:szCs w:val="22"/>
        </w:rPr>
        <w:t>.</w:t>
      </w:r>
      <w:r w:rsidRPr="00653AE5">
        <w:rPr>
          <w:sz w:val="22"/>
          <w:szCs w:val="22"/>
        </w:rPr>
        <w:t>, Hofstede</w:t>
      </w:r>
      <w:r w:rsidR="00620051">
        <w:rPr>
          <w:sz w:val="22"/>
          <w:szCs w:val="22"/>
        </w:rPr>
        <w:t>, G.J.</w:t>
      </w:r>
      <w:r w:rsidRPr="00653AE5">
        <w:rPr>
          <w:sz w:val="22"/>
          <w:szCs w:val="22"/>
        </w:rPr>
        <w:t xml:space="preserve">, </w:t>
      </w:r>
      <w:r w:rsidR="00620051">
        <w:rPr>
          <w:sz w:val="22"/>
          <w:szCs w:val="22"/>
        </w:rPr>
        <w:t xml:space="preserve">&amp; </w:t>
      </w:r>
      <w:r w:rsidRPr="00653AE5">
        <w:rPr>
          <w:sz w:val="22"/>
          <w:szCs w:val="22"/>
        </w:rPr>
        <w:t>Minkov</w:t>
      </w:r>
      <w:r w:rsidR="00620051">
        <w:rPr>
          <w:sz w:val="22"/>
          <w:szCs w:val="22"/>
        </w:rPr>
        <w:t xml:space="preserve">, </w:t>
      </w:r>
      <w:r w:rsidR="00035236">
        <w:rPr>
          <w:sz w:val="22"/>
          <w:szCs w:val="22"/>
        </w:rPr>
        <w:t>M.</w:t>
      </w:r>
      <w:r w:rsidR="000B5638">
        <w:rPr>
          <w:rFonts w:eastAsiaTheme="minorEastAsia" w:hint="eastAsia"/>
          <w:sz w:val="22"/>
          <w:szCs w:val="22"/>
          <w:lang w:eastAsia="zh-CN"/>
        </w:rPr>
        <w:t xml:space="preserve"> </w:t>
      </w:r>
      <w:r w:rsidRPr="00653AE5">
        <w:rPr>
          <w:sz w:val="22"/>
          <w:szCs w:val="22"/>
        </w:rPr>
        <w:t xml:space="preserve">2010. </w:t>
      </w:r>
      <w:r w:rsidRPr="000B5638">
        <w:rPr>
          <w:i/>
          <w:sz w:val="22"/>
          <w:szCs w:val="22"/>
        </w:rPr>
        <w:t>Cultures and Organizations: Software of the Mind. Revised and Expanded 3rd Edition</w:t>
      </w:r>
      <w:r w:rsidRPr="00653AE5">
        <w:rPr>
          <w:sz w:val="22"/>
          <w:szCs w:val="22"/>
        </w:rPr>
        <w:t>. New York: McGraw-Hill USA.</w:t>
      </w:r>
    </w:p>
    <w:p w14:paraId="47C8BBEB" w14:textId="2969E777" w:rsidR="003D7A78" w:rsidRPr="005A620B" w:rsidRDefault="003D7A78" w:rsidP="005F2D8B">
      <w:pPr>
        <w:autoSpaceDE w:val="0"/>
        <w:autoSpaceDN w:val="0"/>
        <w:adjustRightInd w:val="0"/>
        <w:spacing w:after="120" w:line="276" w:lineRule="auto"/>
        <w:ind w:left="360" w:hanging="360"/>
        <w:rPr>
          <w:sz w:val="22"/>
          <w:szCs w:val="22"/>
        </w:rPr>
      </w:pPr>
      <w:r w:rsidRPr="003D7A78">
        <w:rPr>
          <w:sz w:val="22"/>
          <w:szCs w:val="22"/>
          <w:lang w:val="en-GB"/>
        </w:rPr>
        <w:t>Javorcic,</w:t>
      </w:r>
      <w:r>
        <w:rPr>
          <w:sz w:val="22"/>
          <w:szCs w:val="22"/>
          <w:lang w:val="en-GB"/>
        </w:rPr>
        <w:t xml:space="preserve"> B., </w:t>
      </w:r>
      <w:r w:rsidR="00222577">
        <w:rPr>
          <w:sz w:val="22"/>
          <w:szCs w:val="22"/>
          <w:lang w:val="en-GB"/>
        </w:rPr>
        <w:t>Ö</w:t>
      </w:r>
      <w:r w:rsidRPr="003D7A78">
        <w:rPr>
          <w:sz w:val="22"/>
          <w:szCs w:val="22"/>
          <w:lang w:val="en-GB"/>
        </w:rPr>
        <w:t xml:space="preserve">zden, </w:t>
      </w:r>
      <w:r>
        <w:rPr>
          <w:sz w:val="22"/>
          <w:szCs w:val="22"/>
          <w:lang w:val="en-GB"/>
        </w:rPr>
        <w:t xml:space="preserve">C., </w:t>
      </w:r>
      <w:r w:rsidRPr="003D7A78">
        <w:rPr>
          <w:sz w:val="22"/>
          <w:szCs w:val="22"/>
          <w:lang w:val="en-GB"/>
        </w:rPr>
        <w:t xml:space="preserve">Spatareanu, </w:t>
      </w:r>
      <w:r>
        <w:rPr>
          <w:sz w:val="22"/>
          <w:szCs w:val="22"/>
          <w:lang w:val="en-GB"/>
        </w:rPr>
        <w:t xml:space="preserve">M., &amp; </w:t>
      </w:r>
      <w:r w:rsidRPr="003D7A78">
        <w:rPr>
          <w:sz w:val="22"/>
          <w:szCs w:val="22"/>
          <w:lang w:val="en-GB"/>
        </w:rPr>
        <w:t>Neagu,</w:t>
      </w:r>
      <w:r>
        <w:rPr>
          <w:sz w:val="22"/>
          <w:szCs w:val="22"/>
          <w:lang w:val="en-GB"/>
        </w:rPr>
        <w:t xml:space="preserve"> C.,</w:t>
      </w:r>
      <w:r w:rsidRPr="003D7A78">
        <w:rPr>
          <w:sz w:val="22"/>
          <w:szCs w:val="22"/>
          <w:lang w:val="en-GB"/>
        </w:rPr>
        <w:t xml:space="preserve"> 2011</w:t>
      </w:r>
      <w:r>
        <w:rPr>
          <w:sz w:val="22"/>
          <w:szCs w:val="22"/>
          <w:lang w:val="en-GB"/>
        </w:rPr>
        <w:t xml:space="preserve">, Migrant networks and foreign direct investment, </w:t>
      </w:r>
      <w:r w:rsidRPr="005A3198">
        <w:rPr>
          <w:i/>
          <w:sz w:val="22"/>
          <w:szCs w:val="22"/>
          <w:lang w:val="en-GB"/>
        </w:rPr>
        <w:t>Journal of Development Economics</w:t>
      </w:r>
      <w:r>
        <w:rPr>
          <w:sz w:val="22"/>
          <w:szCs w:val="22"/>
          <w:lang w:val="en-GB"/>
        </w:rPr>
        <w:t>, 94, 231-241.</w:t>
      </w:r>
    </w:p>
    <w:bookmarkEnd w:id="2"/>
    <w:p w14:paraId="79431A09" w14:textId="71B8AEFB" w:rsidR="00E839B2" w:rsidRDefault="00063542" w:rsidP="005F2D8B">
      <w:pPr>
        <w:spacing w:after="120"/>
        <w:ind w:left="360" w:hanging="360"/>
        <w:rPr>
          <w:sz w:val="22"/>
          <w:szCs w:val="22"/>
        </w:rPr>
      </w:pPr>
      <w:r w:rsidRPr="008E049E">
        <w:rPr>
          <w:sz w:val="22"/>
          <w:szCs w:val="22"/>
          <w:lang w:val="fr-FR"/>
        </w:rPr>
        <w:t>Johanson</w:t>
      </w:r>
      <w:r w:rsidR="00B72154" w:rsidRPr="008E049E">
        <w:rPr>
          <w:sz w:val="22"/>
          <w:szCs w:val="22"/>
          <w:lang w:val="fr-FR"/>
        </w:rPr>
        <w:t>,</w:t>
      </w:r>
      <w:r w:rsidRPr="008E049E">
        <w:rPr>
          <w:sz w:val="22"/>
          <w:szCs w:val="22"/>
          <w:lang w:val="fr-FR"/>
        </w:rPr>
        <w:t xml:space="preserve"> J</w:t>
      </w:r>
      <w:r w:rsidR="00B72154" w:rsidRPr="008E049E">
        <w:rPr>
          <w:sz w:val="22"/>
          <w:szCs w:val="22"/>
          <w:lang w:val="fr-FR"/>
        </w:rPr>
        <w:t>.</w:t>
      </w:r>
      <w:r w:rsidR="00364224" w:rsidRPr="008E049E">
        <w:rPr>
          <w:sz w:val="22"/>
          <w:szCs w:val="22"/>
          <w:lang w:val="fr-FR"/>
        </w:rPr>
        <w:t xml:space="preserve"> &amp;</w:t>
      </w:r>
      <w:r w:rsidR="00A95D00" w:rsidRPr="008E049E">
        <w:rPr>
          <w:sz w:val="22"/>
          <w:szCs w:val="22"/>
          <w:lang w:val="fr-FR"/>
        </w:rPr>
        <w:t xml:space="preserve"> </w:t>
      </w:r>
      <w:r w:rsidRPr="008E049E">
        <w:rPr>
          <w:sz w:val="22"/>
          <w:szCs w:val="22"/>
          <w:lang w:val="fr-FR"/>
        </w:rPr>
        <w:t>Vahlne</w:t>
      </w:r>
      <w:r w:rsidR="00B72154" w:rsidRPr="008E049E">
        <w:rPr>
          <w:sz w:val="22"/>
          <w:szCs w:val="22"/>
          <w:lang w:val="fr-FR"/>
        </w:rPr>
        <w:t>,</w:t>
      </w:r>
      <w:r w:rsidRPr="008E049E">
        <w:rPr>
          <w:sz w:val="22"/>
          <w:szCs w:val="22"/>
          <w:lang w:val="fr-FR"/>
        </w:rPr>
        <w:t xml:space="preserve"> J</w:t>
      </w:r>
      <w:r w:rsidR="00B72154" w:rsidRPr="008E049E">
        <w:rPr>
          <w:sz w:val="22"/>
          <w:szCs w:val="22"/>
          <w:lang w:val="fr-FR"/>
        </w:rPr>
        <w:t>.</w:t>
      </w:r>
      <w:r w:rsidRPr="008E049E">
        <w:rPr>
          <w:sz w:val="22"/>
          <w:szCs w:val="22"/>
          <w:lang w:val="fr-FR"/>
        </w:rPr>
        <w:t xml:space="preserve">E. 2009. </w:t>
      </w:r>
      <w:r w:rsidR="00E839B2" w:rsidRPr="006F16B8">
        <w:rPr>
          <w:sz w:val="22"/>
          <w:szCs w:val="22"/>
        </w:rPr>
        <w:t xml:space="preserve">The Uppsala internationalization process model revisited: From liability of foreignness to liability of outsidership. </w:t>
      </w:r>
      <w:r w:rsidR="00E839B2" w:rsidRPr="006F16B8">
        <w:rPr>
          <w:i/>
          <w:sz w:val="22"/>
          <w:szCs w:val="22"/>
        </w:rPr>
        <w:t>Journal of International Business Studies</w:t>
      </w:r>
      <w:r w:rsidR="005E6BFF">
        <w:rPr>
          <w:i/>
          <w:sz w:val="22"/>
          <w:szCs w:val="22"/>
        </w:rPr>
        <w:t>,</w:t>
      </w:r>
      <w:r w:rsidR="006B2316">
        <w:rPr>
          <w:i/>
          <w:sz w:val="22"/>
          <w:szCs w:val="22"/>
        </w:rPr>
        <w:t xml:space="preserve"> </w:t>
      </w:r>
      <w:r w:rsidR="00E839B2" w:rsidRPr="006F16B8">
        <w:rPr>
          <w:sz w:val="22"/>
          <w:szCs w:val="22"/>
        </w:rPr>
        <w:t>40(9): 1411-1431.</w:t>
      </w:r>
    </w:p>
    <w:p w14:paraId="1E4ACA0D" w14:textId="271F2D2E" w:rsidR="00FF6188" w:rsidRDefault="00FF6188" w:rsidP="005F2D8B">
      <w:pPr>
        <w:spacing w:after="120"/>
        <w:ind w:left="360" w:hanging="360"/>
        <w:rPr>
          <w:bCs/>
          <w:i/>
          <w:sz w:val="22"/>
          <w:szCs w:val="22"/>
          <w:lang w:val="en"/>
        </w:rPr>
      </w:pPr>
      <w:r>
        <w:rPr>
          <w:sz w:val="22"/>
          <w:szCs w:val="22"/>
        </w:rPr>
        <w:t>Jones</w:t>
      </w:r>
      <w:r w:rsidR="00B72154">
        <w:rPr>
          <w:sz w:val="22"/>
          <w:szCs w:val="22"/>
        </w:rPr>
        <w:t>,</w:t>
      </w:r>
      <w:r>
        <w:rPr>
          <w:sz w:val="22"/>
          <w:szCs w:val="22"/>
        </w:rPr>
        <w:t xml:space="preserve"> H</w:t>
      </w:r>
      <w:r w:rsidR="00B72154">
        <w:rPr>
          <w:sz w:val="22"/>
          <w:szCs w:val="22"/>
        </w:rPr>
        <w:t>.</w:t>
      </w:r>
      <w:r>
        <w:rPr>
          <w:sz w:val="22"/>
          <w:szCs w:val="22"/>
        </w:rPr>
        <w:t>G</w:t>
      </w:r>
      <w:r w:rsidR="00B72154">
        <w:rPr>
          <w:sz w:val="22"/>
          <w:szCs w:val="22"/>
        </w:rPr>
        <w:t>.</w:t>
      </w:r>
      <w:r w:rsidR="00364224">
        <w:rPr>
          <w:sz w:val="22"/>
          <w:szCs w:val="22"/>
        </w:rPr>
        <w:t xml:space="preserve"> &amp;</w:t>
      </w:r>
      <w:r w:rsidR="00B76732">
        <w:rPr>
          <w:sz w:val="22"/>
          <w:szCs w:val="22"/>
        </w:rPr>
        <w:t xml:space="preserve"> </w:t>
      </w:r>
      <w:r w:rsidR="000B5638">
        <w:rPr>
          <w:sz w:val="22"/>
          <w:szCs w:val="22"/>
        </w:rPr>
        <w:t>Khanna</w:t>
      </w:r>
      <w:r w:rsidR="00B72154">
        <w:rPr>
          <w:sz w:val="22"/>
          <w:szCs w:val="22"/>
        </w:rPr>
        <w:t>,</w:t>
      </w:r>
      <w:r w:rsidR="000B5638">
        <w:rPr>
          <w:sz w:val="22"/>
          <w:szCs w:val="22"/>
        </w:rPr>
        <w:t xml:space="preserve"> T</w:t>
      </w:r>
      <w:r w:rsidR="000B5638">
        <w:rPr>
          <w:rFonts w:eastAsiaTheme="minorEastAsia" w:hint="eastAsia"/>
          <w:sz w:val="22"/>
          <w:szCs w:val="22"/>
          <w:lang w:eastAsia="zh-CN"/>
        </w:rPr>
        <w:t xml:space="preserve">. </w:t>
      </w:r>
      <w:r w:rsidR="000B5638">
        <w:rPr>
          <w:sz w:val="22"/>
          <w:szCs w:val="22"/>
        </w:rPr>
        <w:t>2006</w:t>
      </w:r>
      <w:r w:rsidR="000B5638">
        <w:rPr>
          <w:rFonts w:eastAsiaTheme="minorEastAsia" w:hint="eastAsia"/>
          <w:sz w:val="22"/>
          <w:szCs w:val="22"/>
          <w:lang w:eastAsia="zh-CN"/>
        </w:rPr>
        <w:t>.</w:t>
      </w:r>
      <w:r>
        <w:rPr>
          <w:sz w:val="22"/>
          <w:szCs w:val="22"/>
        </w:rPr>
        <w:t xml:space="preserve"> </w:t>
      </w:r>
      <w:r w:rsidRPr="00CA792A">
        <w:rPr>
          <w:bCs/>
          <w:sz w:val="22"/>
          <w:szCs w:val="22"/>
          <w:lang w:val="en"/>
        </w:rPr>
        <w:t>Bringing history (back) into international business</w:t>
      </w:r>
      <w:r w:rsidR="005E6BFF">
        <w:rPr>
          <w:bCs/>
          <w:sz w:val="22"/>
          <w:szCs w:val="22"/>
          <w:lang w:val="en"/>
        </w:rPr>
        <w:t>.</w:t>
      </w:r>
      <w:r>
        <w:rPr>
          <w:bCs/>
          <w:sz w:val="22"/>
          <w:szCs w:val="22"/>
          <w:lang w:val="en"/>
        </w:rPr>
        <w:t xml:space="preserve"> </w:t>
      </w:r>
      <w:r>
        <w:rPr>
          <w:bCs/>
          <w:i/>
          <w:sz w:val="22"/>
          <w:szCs w:val="22"/>
          <w:lang w:val="en"/>
        </w:rPr>
        <w:t xml:space="preserve">Journal of </w:t>
      </w:r>
      <w:r w:rsidRPr="007D589A">
        <w:rPr>
          <w:bCs/>
          <w:i/>
          <w:sz w:val="22"/>
          <w:szCs w:val="22"/>
          <w:lang w:val="en"/>
        </w:rPr>
        <w:t>International Business</w:t>
      </w:r>
      <w:r w:rsidR="00DB63AA">
        <w:rPr>
          <w:bCs/>
          <w:i/>
          <w:sz w:val="22"/>
          <w:szCs w:val="22"/>
          <w:lang w:val="en"/>
        </w:rPr>
        <w:t xml:space="preserve"> Studies</w:t>
      </w:r>
      <w:r w:rsidR="005E6BFF">
        <w:rPr>
          <w:bCs/>
          <w:i/>
          <w:sz w:val="22"/>
          <w:szCs w:val="22"/>
          <w:lang w:val="en"/>
        </w:rPr>
        <w:t>,</w:t>
      </w:r>
      <w:r w:rsidRPr="007D589A">
        <w:rPr>
          <w:bCs/>
          <w:i/>
          <w:sz w:val="22"/>
          <w:szCs w:val="22"/>
          <w:lang w:val="en"/>
        </w:rPr>
        <w:t xml:space="preserve"> </w:t>
      </w:r>
      <w:r w:rsidRPr="00035236">
        <w:rPr>
          <w:bCs/>
          <w:sz w:val="22"/>
          <w:szCs w:val="22"/>
          <w:lang w:val="en"/>
        </w:rPr>
        <w:t>37</w:t>
      </w:r>
      <w:r w:rsidR="00035236" w:rsidRPr="00035236">
        <w:rPr>
          <w:bCs/>
          <w:sz w:val="22"/>
          <w:szCs w:val="22"/>
          <w:lang w:val="en"/>
        </w:rPr>
        <w:t>(4):</w:t>
      </w:r>
      <w:r w:rsidRPr="00035236">
        <w:rPr>
          <w:bCs/>
          <w:sz w:val="22"/>
          <w:szCs w:val="22"/>
          <w:lang w:val="en"/>
        </w:rPr>
        <w:t>453–468</w:t>
      </w:r>
      <w:r w:rsidR="00035236">
        <w:rPr>
          <w:bCs/>
          <w:sz w:val="22"/>
          <w:szCs w:val="22"/>
          <w:lang w:val="en"/>
        </w:rPr>
        <w:t>.</w:t>
      </w:r>
    </w:p>
    <w:p w14:paraId="36361516" w14:textId="5338D4F3" w:rsidR="002B3458" w:rsidRDefault="002B3458" w:rsidP="002B3458">
      <w:pPr>
        <w:autoSpaceDE w:val="0"/>
        <w:autoSpaceDN w:val="0"/>
        <w:adjustRightInd w:val="0"/>
        <w:spacing w:after="120"/>
        <w:ind w:left="360" w:hanging="360"/>
        <w:rPr>
          <w:sz w:val="22"/>
          <w:szCs w:val="22"/>
        </w:rPr>
      </w:pPr>
      <w:r>
        <w:rPr>
          <w:sz w:val="22"/>
          <w:szCs w:val="22"/>
        </w:rPr>
        <w:t>Kafouros</w:t>
      </w:r>
      <w:r w:rsidR="00B72154">
        <w:rPr>
          <w:sz w:val="22"/>
          <w:szCs w:val="22"/>
        </w:rPr>
        <w:t>,</w:t>
      </w:r>
      <w:r>
        <w:rPr>
          <w:sz w:val="22"/>
          <w:szCs w:val="22"/>
        </w:rPr>
        <w:t xml:space="preserve"> M</w:t>
      </w:r>
      <w:r w:rsidR="00B72154">
        <w:rPr>
          <w:sz w:val="22"/>
          <w:szCs w:val="22"/>
        </w:rPr>
        <w:t>.</w:t>
      </w:r>
      <w:r>
        <w:rPr>
          <w:sz w:val="22"/>
          <w:szCs w:val="22"/>
        </w:rPr>
        <w:t xml:space="preserve">, </w:t>
      </w:r>
      <w:r w:rsidRPr="002B3458">
        <w:rPr>
          <w:sz w:val="22"/>
          <w:szCs w:val="22"/>
        </w:rPr>
        <w:t>Buckley</w:t>
      </w:r>
      <w:r w:rsidR="00B72154">
        <w:rPr>
          <w:sz w:val="22"/>
          <w:szCs w:val="22"/>
        </w:rPr>
        <w:t>,</w:t>
      </w:r>
      <w:r>
        <w:rPr>
          <w:sz w:val="22"/>
          <w:szCs w:val="22"/>
        </w:rPr>
        <w:t xml:space="preserve"> </w:t>
      </w:r>
      <w:r w:rsidR="00704E42">
        <w:rPr>
          <w:sz w:val="22"/>
          <w:szCs w:val="22"/>
        </w:rPr>
        <w:t>P</w:t>
      </w:r>
      <w:r w:rsidR="00B72154">
        <w:rPr>
          <w:sz w:val="22"/>
          <w:szCs w:val="22"/>
        </w:rPr>
        <w:t>.</w:t>
      </w:r>
      <w:r w:rsidR="00704E42" w:rsidRPr="002B3458">
        <w:rPr>
          <w:sz w:val="22"/>
          <w:szCs w:val="22"/>
        </w:rPr>
        <w:t>,</w:t>
      </w:r>
      <w:r w:rsidR="00704E42">
        <w:rPr>
          <w:sz w:val="22"/>
          <w:szCs w:val="22"/>
        </w:rPr>
        <w:t xml:space="preserve"> &amp;</w:t>
      </w:r>
      <w:r w:rsidR="00364224">
        <w:rPr>
          <w:sz w:val="22"/>
          <w:szCs w:val="22"/>
        </w:rPr>
        <w:t xml:space="preserve"> </w:t>
      </w:r>
      <w:r w:rsidRPr="002B3458">
        <w:rPr>
          <w:sz w:val="22"/>
          <w:szCs w:val="22"/>
        </w:rPr>
        <w:t>Clegg</w:t>
      </w:r>
      <w:r w:rsidR="00B72154">
        <w:rPr>
          <w:sz w:val="22"/>
          <w:szCs w:val="22"/>
        </w:rPr>
        <w:t>,</w:t>
      </w:r>
      <w:r>
        <w:rPr>
          <w:sz w:val="22"/>
          <w:szCs w:val="22"/>
        </w:rPr>
        <w:t xml:space="preserve"> J. 2012. </w:t>
      </w:r>
      <w:r w:rsidRPr="002B3458">
        <w:rPr>
          <w:sz w:val="22"/>
          <w:szCs w:val="22"/>
        </w:rPr>
        <w:t>The effects of global knowledge reservoirs on the productivity of multinational enterprises</w:t>
      </w:r>
      <w:r w:rsidR="00554F58">
        <w:rPr>
          <w:sz w:val="22"/>
          <w:szCs w:val="22"/>
        </w:rPr>
        <w:t>.</w:t>
      </w:r>
      <w:r>
        <w:rPr>
          <w:sz w:val="22"/>
          <w:szCs w:val="22"/>
        </w:rPr>
        <w:t xml:space="preserve"> </w:t>
      </w:r>
      <w:r w:rsidRPr="002B3458">
        <w:rPr>
          <w:i/>
          <w:sz w:val="22"/>
          <w:szCs w:val="22"/>
        </w:rPr>
        <w:t>Research Policy</w:t>
      </w:r>
      <w:r w:rsidR="00554F58">
        <w:rPr>
          <w:i/>
          <w:sz w:val="22"/>
          <w:szCs w:val="22"/>
        </w:rPr>
        <w:t>,</w:t>
      </w:r>
      <w:r>
        <w:rPr>
          <w:sz w:val="22"/>
          <w:szCs w:val="22"/>
        </w:rPr>
        <w:t xml:space="preserve"> 41(5): 848-861.</w:t>
      </w:r>
    </w:p>
    <w:p w14:paraId="53D3C7F4" w14:textId="464E5DFF" w:rsidR="00F121BB" w:rsidRDefault="000B5638" w:rsidP="002B3458">
      <w:pPr>
        <w:autoSpaceDE w:val="0"/>
        <w:autoSpaceDN w:val="0"/>
        <w:adjustRightInd w:val="0"/>
        <w:spacing w:after="120"/>
        <w:ind w:left="360" w:hanging="360"/>
        <w:rPr>
          <w:sz w:val="22"/>
          <w:szCs w:val="22"/>
        </w:rPr>
      </w:pPr>
      <w:r>
        <w:rPr>
          <w:sz w:val="22"/>
          <w:szCs w:val="22"/>
        </w:rPr>
        <w:t>Keating</w:t>
      </w:r>
      <w:r w:rsidR="00B72154">
        <w:rPr>
          <w:sz w:val="22"/>
          <w:szCs w:val="22"/>
        </w:rPr>
        <w:t>,</w:t>
      </w:r>
      <w:r>
        <w:rPr>
          <w:sz w:val="22"/>
          <w:szCs w:val="22"/>
        </w:rPr>
        <w:t xml:space="preserve"> M. 1993</w:t>
      </w:r>
      <w:r>
        <w:rPr>
          <w:rFonts w:eastAsiaTheme="minorEastAsia" w:hint="eastAsia"/>
          <w:sz w:val="22"/>
          <w:szCs w:val="22"/>
          <w:lang w:eastAsia="zh-CN"/>
        </w:rPr>
        <w:t>.</w:t>
      </w:r>
      <w:r w:rsidR="00F121BB">
        <w:rPr>
          <w:sz w:val="22"/>
          <w:szCs w:val="22"/>
        </w:rPr>
        <w:t xml:space="preserve"> </w:t>
      </w:r>
      <w:r w:rsidR="00F121BB" w:rsidRPr="00CA792A">
        <w:rPr>
          <w:bCs/>
          <w:sz w:val="22"/>
          <w:szCs w:val="22"/>
          <w:lang w:val="en"/>
        </w:rPr>
        <w:t xml:space="preserve">The </w:t>
      </w:r>
      <w:r w:rsidR="00B76732">
        <w:rPr>
          <w:bCs/>
          <w:sz w:val="22"/>
          <w:szCs w:val="22"/>
          <w:lang w:val="en"/>
        </w:rPr>
        <w:t>p</w:t>
      </w:r>
      <w:r w:rsidR="00F121BB" w:rsidRPr="00CA792A">
        <w:rPr>
          <w:bCs/>
          <w:sz w:val="22"/>
          <w:szCs w:val="22"/>
          <w:lang w:val="en"/>
        </w:rPr>
        <w:t xml:space="preserve">olitics of </w:t>
      </w:r>
      <w:r w:rsidR="00B76732">
        <w:rPr>
          <w:bCs/>
          <w:sz w:val="22"/>
          <w:szCs w:val="22"/>
          <w:lang w:val="en"/>
        </w:rPr>
        <w:t>e</w:t>
      </w:r>
      <w:r w:rsidR="00F121BB" w:rsidRPr="00CA792A">
        <w:rPr>
          <w:bCs/>
          <w:sz w:val="22"/>
          <w:szCs w:val="22"/>
          <w:lang w:val="en"/>
        </w:rPr>
        <w:t xml:space="preserve">conomic </w:t>
      </w:r>
      <w:r w:rsidR="00B76732">
        <w:rPr>
          <w:bCs/>
          <w:sz w:val="22"/>
          <w:szCs w:val="22"/>
          <w:lang w:val="en"/>
        </w:rPr>
        <w:t>d</w:t>
      </w:r>
      <w:r w:rsidR="00F121BB" w:rsidRPr="00CA792A">
        <w:rPr>
          <w:bCs/>
          <w:sz w:val="22"/>
          <w:szCs w:val="22"/>
          <w:lang w:val="en"/>
        </w:rPr>
        <w:t xml:space="preserve">evelopment: Political </w:t>
      </w:r>
      <w:r w:rsidR="00B76732">
        <w:rPr>
          <w:bCs/>
          <w:sz w:val="22"/>
          <w:szCs w:val="22"/>
          <w:lang w:val="en"/>
        </w:rPr>
        <w:t>c</w:t>
      </w:r>
      <w:r w:rsidR="00F121BB" w:rsidRPr="00CA792A">
        <w:rPr>
          <w:bCs/>
          <w:sz w:val="22"/>
          <w:szCs w:val="22"/>
          <w:lang w:val="en"/>
        </w:rPr>
        <w:t xml:space="preserve">hange and </w:t>
      </w:r>
      <w:r w:rsidR="00B76732">
        <w:rPr>
          <w:bCs/>
          <w:sz w:val="22"/>
          <w:szCs w:val="22"/>
          <w:lang w:val="en"/>
        </w:rPr>
        <w:t>l</w:t>
      </w:r>
      <w:r w:rsidR="00F121BB" w:rsidRPr="00CA792A">
        <w:rPr>
          <w:bCs/>
          <w:sz w:val="22"/>
          <w:szCs w:val="22"/>
          <w:lang w:val="en"/>
        </w:rPr>
        <w:t xml:space="preserve">ocal </w:t>
      </w:r>
      <w:r w:rsidR="00B76732">
        <w:rPr>
          <w:bCs/>
          <w:sz w:val="22"/>
          <w:szCs w:val="22"/>
          <w:lang w:val="en"/>
        </w:rPr>
        <w:t>d</w:t>
      </w:r>
      <w:r w:rsidR="00F121BB" w:rsidRPr="00CA792A">
        <w:rPr>
          <w:bCs/>
          <w:sz w:val="22"/>
          <w:szCs w:val="22"/>
          <w:lang w:val="en"/>
        </w:rPr>
        <w:t xml:space="preserve">evelopment </w:t>
      </w:r>
      <w:r w:rsidR="00B76732">
        <w:rPr>
          <w:bCs/>
          <w:sz w:val="22"/>
          <w:szCs w:val="22"/>
          <w:lang w:val="en"/>
        </w:rPr>
        <w:t>p</w:t>
      </w:r>
      <w:r w:rsidR="00F121BB" w:rsidRPr="00CA792A">
        <w:rPr>
          <w:bCs/>
          <w:sz w:val="22"/>
          <w:szCs w:val="22"/>
          <w:lang w:val="en"/>
        </w:rPr>
        <w:t>olicies in the United States, Britain, and France</w:t>
      </w:r>
      <w:r w:rsidR="00554F58">
        <w:rPr>
          <w:bCs/>
          <w:sz w:val="22"/>
          <w:szCs w:val="22"/>
          <w:lang w:val="en"/>
        </w:rPr>
        <w:t>.</w:t>
      </w:r>
      <w:r w:rsidR="00F121BB">
        <w:rPr>
          <w:bCs/>
          <w:sz w:val="22"/>
          <w:szCs w:val="22"/>
          <w:lang w:val="en"/>
        </w:rPr>
        <w:t xml:space="preserve"> </w:t>
      </w:r>
      <w:r w:rsidR="00F121BB" w:rsidRPr="00CA792A">
        <w:rPr>
          <w:bCs/>
          <w:i/>
          <w:sz w:val="22"/>
          <w:szCs w:val="22"/>
          <w:lang w:val="en"/>
        </w:rPr>
        <w:t>Urban Affairs Review</w:t>
      </w:r>
      <w:r w:rsidR="00554F58">
        <w:rPr>
          <w:bCs/>
          <w:i/>
          <w:sz w:val="22"/>
          <w:szCs w:val="22"/>
          <w:lang w:val="en"/>
        </w:rPr>
        <w:t>,</w:t>
      </w:r>
      <w:r w:rsidR="00A8462F">
        <w:rPr>
          <w:bCs/>
          <w:sz w:val="22"/>
          <w:szCs w:val="22"/>
          <w:lang w:val="en"/>
        </w:rPr>
        <w:t xml:space="preserve"> 28(3):</w:t>
      </w:r>
      <w:r w:rsidR="00F121BB" w:rsidRPr="00CA792A">
        <w:rPr>
          <w:bCs/>
          <w:sz w:val="22"/>
          <w:szCs w:val="22"/>
          <w:lang w:val="en"/>
        </w:rPr>
        <w:t>373-396</w:t>
      </w:r>
    </w:p>
    <w:p w14:paraId="7EAAC91B" w14:textId="013C1A82" w:rsidR="007D5566" w:rsidRDefault="00627DC4" w:rsidP="002B3458">
      <w:pPr>
        <w:autoSpaceDE w:val="0"/>
        <w:autoSpaceDN w:val="0"/>
        <w:adjustRightInd w:val="0"/>
        <w:spacing w:after="120"/>
        <w:ind w:left="360" w:hanging="360"/>
        <w:rPr>
          <w:sz w:val="22"/>
          <w:szCs w:val="22"/>
        </w:rPr>
      </w:pPr>
      <w:r w:rsidRPr="006B2316">
        <w:rPr>
          <w:sz w:val="22"/>
          <w:szCs w:val="22"/>
        </w:rPr>
        <w:t>Khanna T</w:t>
      </w:r>
      <w:r w:rsidR="00B72154">
        <w:rPr>
          <w:sz w:val="22"/>
          <w:szCs w:val="22"/>
        </w:rPr>
        <w:t>.</w:t>
      </w:r>
      <w:r w:rsidRPr="006B2316">
        <w:rPr>
          <w:sz w:val="22"/>
          <w:szCs w:val="22"/>
        </w:rPr>
        <w:t>,</w:t>
      </w:r>
      <w:r w:rsidR="00364224">
        <w:rPr>
          <w:sz w:val="22"/>
          <w:szCs w:val="22"/>
        </w:rPr>
        <w:t xml:space="preserve"> &amp;</w:t>
      </w:r>
      <w:r w:rsidRPr="006B2316">
        <w:rPr>
          <w:sz w:val="22"/>
          <w:szCs w:val="22"/>
        </w:rPr>
        <w:t xml:space="preserve"> Palepu</w:t>
      </w:r>
      <w:r w:rsidR="00B72154">
        <w:rPr>
          <w:sz w:val="22"/>
          <w:szCs w:val="22"/>
        </w:rPr>
        <w:t>,</w:t>
      </w:r>
      <w:r w:rsidR="007D5566" w:rsidRPr="006B2316">
        <w:rPr>
          <w:sz w:val="22"/>
          <w:szCs w:val="22"/>
        </w:rPr>
        <w:t xml:space="preserve"> K. 2000. The </w:t>
      </w:r>
      <w:r w:rsidR="007D589A">
        <w:rPr>
          <w:sz w:val="22"/>
          <w:szCs w:val="22"/>
        </w:rPr>
        <w:t>f</w:t>
      </w:r>
      <w:r w:rsidR="007D5566" w:rsidRPr="006B2316">
        <w:rPr>
          <w:sz w:val="22"/>
          <w:szCs w:val="22"/>
        </w:rPr>
        <w:t xml:space="preserve">uture of </w:t>
      </w:r>
      <w:r w:rsidR="007D589A">
        <w:rPr>
          <w:sz w:val="22"/>
          <w:szCs w:val="22"/>
        </w:rPr>
        <w:t>b</w:t>
      </w:r>
      <w:r w:rsidR="007D5566" w:rsidRPr="006B2316">
        <w:rPr>
          <w:sz w:val="22"/>
          <w:szCs w:val="22"/>
        </w:rPr>
        <w:t xml:space="preserve">usiness </w:t>
      </w:r>
      <w:r w:rsidR="007D589A">
        <w:rPr>
          <w:sz w:val="22"/>
          <w:szCs w:val="22"/>
        </w:rPr>
        <w:t>g</w:t>
      </w:r>
      <w:r w:rsidR="007D5566" w:rsidRPr="006B2316">
        <w:rPr>
          <w:sz w:val="22"/>
          <w:szCs w:val="22"/>
        </w:rPr>
        <w:t xml:space="preserve">roups in </w:t>
      </w:r>
      <w:r w:rsidR="007D589A">
        <w:rPr>
          <w:sz w:val="22"/>
          <w:szCs w:val="22"/>
        </w:rPr>
        <w:t>e</w:t>
      </w:r>
      <w:r w:rsidR="007D5566" w:rsidRPr="006B2316">
        <w:rPr>
          <w:sz w:val="22"/>
          <w:szCs w:val="22"/>
        </w:rPr>
        <w:t xml:space="preserve">merging </w:t>
      </w:r>
      <w:r w:rsidR="007D589A">
        <w:rPr>
          <w:sz w:val="22"/>
          <w:szCs w:val="22"/>
        </w:rPr>
        <w:t>m</w:t>
      </w:r>
      <w:r w:rsidR="007D5566" w:rsidRPr="006B2316">
        <w:rPr>
          <w:sz w:val="22"/>
          <w:szCs w:val="22"/>
        </w:rPr>
        <w:t xml:space="preserve">arkets: Longrun evidence from Chile. </w:t>
      </w:r>
      <w:r w:rsidR="00CF079C" w:rsidRPr="009C6BB2">
        <w:rPr>
          <w:i/>
          <w:sz w:val="22"/>
          <w:szCs w:val="22"/>
        </w:rPr>
        <w:t>Academy of Management Journal</w:t>
      </w:r>
      <w:r w:rsidR="00554F58">
        <w:rPr>
          <w:i/>
          <w:sz w:val="22"/>
          <w:szCs w:val="22"/>
        </w:rPr>
        <w:t>,</w:t>
      </w:r>
      <w:r w:rsidR="007D5566" w:rsidRPr="009C6BB2">
        <w:rPr>
          <w:i/>
          <w:sz w:val="22"/>
          <w:szCs w:val="22"/>
        </w:rPr>
        <w:t xml:space="preserve"> </w:t>
      </w:r>
      <w:r w:rsidR="007D5566" w:rsidRPr="009C6BB2">
        <w:rPr>
          <w:sz w:val="22"/>
          <w:szCs w:val="22"/>
        </w:rPr>
        <w:t>43(3): 268-285.</w:t>
      </w:r>
    </w:p>
    <w:p w14:paraId="7DDE7B75" w14:textId="2996C08F" w:rsidR="007427D0" w:rsidRDefault="007427D0" w:rsidP="005F2D8B">
      <w:pPr>
        <w:autoSpaceDE w:val="0"/>
        <w:autoSpaceDN w:val="0"/>
        <w:adjustRightInd w:val="0"/>
        <w:spacing w:after="120"/>
        <w:ind w:left="360" w:hanging="360"/>
        <w:rPr>
          <w:sz w:val="22"/>
          <w:szCs w:val="22"/>
        </w:rPr>
      </w:pPr>
      <w:r w:rsidRPr="007427D0">
        <w:rPr>
          <w:sz w:val="22"/>
          <w:szCs w:val="22"/>
        </w:rPr>
        <w:t>Khanna, T</w:t>
      </w:r>
      <w:r w:rsidR="00B72154">
        <w:rPr>
          <w:sz w:val="22"/>
          <w:szCs w:val="22"/>
        </w:rPr>
        <w:t>.</w:t>
      </w:r>
      <w:r w:rsidRPr="007427D0">
        <w:rPr>
          <w:sz w:val="22"/>
          <w:szCs w:val="22"/>
        </w:rPr>
        <w:t>, Palepu, K.</w:t>
      </w:r>
      <w:r w:rsidR="00B72154">
        <w:rPr>
          <w:sz w:val="22"/>
          <w:szCs w:val="22"/>
        </w:rPr>
        <w:t>,</w:t>
      </w:r>
      <w:r w:rsidRPr="007427D0">
        <w:rPr>
          <w:sz w:val="22"/>
          <w:szCs w:val="22"/>
        </w:rPr>
        <w:t xml:space="preserve"> &amp; Vargas, I</w:t>
      </w:r>
      <w:r w:rsidR="000B5638">
        <w:rPr>
          <w:rFonts w:eastAsiaTheme="minorEastAsia" w:hint="eastAsia"/>
          <w:sz w:val="22"/>
          <w:szCs w:val="22"/>
          <w:lang w:eastAsia="zh-CN"/>
        </w:rPr>
        <w:t xml:space="preserve">. </w:t>
      </w:r>
      <w:r w:rsidRPr="007427D0">
        <w:rPr>
          <w:sz w:val="22"/>
          <w:szCs w:val="22"/>
        </w:rPr>
        <w:t xml:space="preserve"> 2006. Haier: taking a Chinese company global, </w:t>
      </w:r>
      <w:r w:rsidRPr="00CA691D">
        <w:rPr>
          <w:i/>
          <w:sz w:val="22"/>
          <w:szCs w:val="22"/>
        </w:rPr>
        <w:t>Harvard Business School Case Study</w:t>
      </w:r>
      <w:r w:rsidRPr="007427D0">
        <w:rPr>
          <w:sz w:val="22"/>
          <w:szCs w:val="22"/>
        </w:rPr>
        <w:t xml:space="preserve"> 9-706-401.</w:t>
      </w:r>
    </w:p>
    <w:p w14:paraId="65C5F433" w14:textId="4753B2FD" w:rsidR="008C44DD" w:rsidRDefault="008C44DD" w:rsidP="005F2D8B">
      <w:pPr>
        <w:autoSpaceDE w:val="0"/>
        <w:autoSpaceDN w:val="0"/>
        <w:adjustRightInd w:val="0"/>
        <w:spacing w:after="120"/>
        <w:ind w:left="360" w:hanging="360"/>
        <w:rPr>
          <w:iCs/>
          <w:sz w:val="22"/>
          <w:szCs w:val="22"/>
          <w:lang w:val="en-GB"/>
        </w:rPr>
      </w:pPr>
      <w:r>
        <w:rPr>
          <w:iCs/>
          <w:sz w:val="22"/>
          <w:szCs w:val="22"/>
          <w:lang w:val="en-GB"/>
        </w:rPr>
        <w:t>Khoury T</w:t>
      </w:r>
      <w:r w:rsidR="00B72154">
        <w:rPr>
          <w:iCs/>
          <w:sz w:val="22"/>
          <w:szCs w:val="22"/>
          <w:lang w:val="en-GB"/>
        </w:rPr>
        <w:t>.</w:t>
      </w:r>
      <w:r>
        <w:rPr>
          <w:iCs/>
          <w:sz w:val="22"/>
          <w:szCs w:val="22"/>
          <w:lang w:val="en-GB"/>
        </w:rPr>
        <w:t xml:space="preserve">, </w:t>
      </w:r>
      <w:r w:rsidR="00364224">
        <w:rPr>
          <w:iCs/>
          <w:sz w:val="22"/>
          <w:szCs w:val="22"/>
          <w:lang w:val="en-GB"/>
        </w:rPr>
        <w:t xml:space="preserve">&amp; </w:t>
      </w:r>
      <w:r w:rsidR="00CA691D">
        <w:rPr>
          <w:iCs/>
          <w:sz w:val="22"/>
          <w:szCs w:val="22"/>
          <w:lang w:val="en-GB"/>
        </w:rPr>
        <w:t>Peng M</w:t>
      </w:r>
      <w:r w:rsidR="00B72154">
        <w:rPr>
          <w:iCs/>
          <w:sz w:val="22"/>
          <w:szCs w:val="22"/>
          <w:lang w:val="en-GB"/>
        </w:rPr>
        <w:t>.</w:t>
      </w:r>
      <w:r w:rsidR="00CA691D">
        <w:rPr>
          <w:iCs/>
          <w:sz w:val="22"/>
          <w:szCs w:val="22"/>
          <w:lang w:val="en-GB"/>
        </w:rPr>
        <w:t>W</w:t>
      </w:r>
      <w:r w:rsidR="00CA691D">
        <w:rPr>
          <w:rFonts w:eastAsiaTheme="minorEastAsia" w:hint="eastAsia"/>
          <w:iCs/>
          <w:sz w:val="22"/>
          <w:szCs w:val="22"/>
          <w:lang w:val="en-GB" w:eastAsia="zh-CN"/>
        </w:rPr>
        <w:t>.</w:t>
      </w:r>
      <w:r>
        <w:rPr>
          <w:iCs/>
          <w:sz w:val="22"/>
          <w:szCs w:val="22"/>
          <w:lang w:val="en-GB"/>
        </w:rPr>
        <w:t xml:space="preserve"> 2010</w:t>
      </w:r>
      <w:r w:rsidR="00CA691D">
        <w:rPr>
          <w:rFonts w:eastAsiaTheme="minorEastAsia" w:hint="eastAsia"/>
          <w:iCs/>
          <w:sz w:val="22"/>
          <w:szCs w:val="22"/>
          <w:lang w:val="en-GB" w:eastAsia="zh-CN"/>
        </w:rPr>
        <w:t>.</w:t>
      </w:r>
      <w:r>
        <w:rPr>
          <w:iCs/>
          <w:sz w:val="22"/>
          <w:szCs w:val="22"/>
          <w:lang w:val="en-GB"/>
        </w:rPr>
        <w:t xml:space="preserve"> </w:t>
      </w:r>
      <w:r w:rsidRPr="008C44DD">
        <w:rPr>
          <w:iCs/>
          <w:sz w:val="22"/>
          <w:szCs w:val="22"/>
          <w:lang w:val="en-GB"/>
        </w:rPr>
        <w:t>Does institutional reform of intellectual property rights lead to more inbound FDI?</w:t>
      </w:r>
      <w:r>
        <w:rPr>
          <w:iCs/>
          <w:sz w:val="22"/>
          <w:szCs w:val="22"/>
          <w:lang w:val="en-GB"/>
        </w:rPr>
        <w:t xml:space="preserve"> </w:t>
      </w:r>
      <w:r w:rsidRPr="002E4B76">
        <w:rPr>
          <w:i/>
          <w:iCs/>
          <w:sz w:val="22"/>
          <w:szCs w:val="22"/>
          <w:lang w:val="en-GB"/>
        </w:rPr>
        <w:t>Journal of World Business</w:t>
      </w:r>
      <w:r w:rsidR="00554F58">
        <w:rPr>
          <w:iCs/>
          <w:sz w:val="22"/>
          <w:szCs w:val="22"/>
          <w:lang w:val="en-GB"/>
        </w:rPr>
        <w:t>,</w:t>
      </w:r>
      <w:r>
        <w:rPr>
          <w:iCs/>
          <w:sz w:val="22"/>
          <w:szCs w:val="22"/>
          <w:lang w:val="en-GB"/>
        </w:rPr>
        <w:t xml:space="preserve"> </w:t>
      </w:r>
      <w:r w:rsidR="002E4B76">
        <w:rPr>
          <w:iCs/>
          <w:sz w:val="22"/>
          <w:szCs w:val="22"/>
          <w:lang w:val="en-GB"/>
        </w:rPr>
        <w:t>46(3): 337-345.</w:t>
      </w:r>
    </w:p>
    <w:p w14:paraId="76363FBC" w14:textId="754A73E4" w:rsidR="00D411D4" w:rsidRPr="006B2316" w:rsidRDefault="00D411D4" w:rsidP="005F2D8B">
      <w:pPr>
        <w:autoSpaceDE w:val="0"/>
        <w:autoSpaceDN w:val="0"/>
        <w:adjustRightInd w:val="0"/>
        <w:spacing w:after="120"/>
        <w:ind w:left="360" w:hanging="360"/>
        <w:rPr>
          <w:i/>
          <w:iCs/>
          <w:sz w:val="22"/>
          <w:szCs w:val="22"/>
          <w:lang w:val="en-GB"/>
        </w:rPr>
      </w:pPr>
      <w:r>
        <w:rPr>
          <w:iCs/>
          <w:sz w:val="22"/>
          <w:szCs w:val="22"/>
          <w:lang w:val="en-GB"/>
        </w:rPr>
        <w:t>Kim H</w:t>
      </w:r>
      <w:r w:rsidR="00B72154">
        <w:rPr>
          <w:iCs/>
          <w:sz w:val="22"/>
          <w:szCs w:val="22"/>
          <w:lang w:val="en-GB"/>
        </w:rPr>
        <w:t>.</w:t>
      </w:r>
      <w:r>
        <w:rPr>
          <w:iCs/>
          <w:sz w:val="22"/>
          <w:szCs w:val="22"/>
          <w:lang w:val="en-GB"/>
        </w:rPr>
        <w:t>, Hoskisson R</w:t>
      </w:r>
      <w:r w:rsidR="00B72154">
        <w:rPr>
          <w:iCs/>
          <w:sz w:val="22"/>
          <w:szCs w:val="22"/>
          <w:lang w:val="en-GB"/>
        </w:rPr>
        <w:t>.</w:t>
      </w:r>
      <w:r>
        <w:rPr>
          <w:iCs/>
          <w:sz w:val="22"/>
          <w:szCs w:val="22"/>
          <w:lang w:val="en-GB"/>
        </w:rPr>
        <w:t>E</w:t>
      </w:r>
      <w:r w:rsidR="00B72154">
        <w:rPr>
          <w:iCs/>
          <w:sz w:val="22"/>
          <w:szCs w:val="22"/>
          <w:lang w:val="en-GB"/>
        </w:rPr>
        <w:t>.</w:t>
      </w:r>
      <w:r>
        <w:rPr>
          <w:iCs/>
          <w:sz w:val="22"/>
          <w:szCs w:val="22"/>
          <w:lang w:val="en-GB"/>
        </w:rPr>
        <w:t xml:space="preserve">, </w:t>
      </w:r>
      <w:r w:rsidR="00364224">
        <w:rPr>
          <w:iCs/>
          <w:sz w:val="22"/>
          <w:szCs w:val="22"/>
          <w:lang w:val="en-GB"/>
        </w:rPr>
        <w:t xml:space="preserve">&amp; </w:t>
      </w:r>
      <w:r w:rsidR="00CA691D">
        <w:rPr>
          <w:iCs/>
          <w:sz w:val="22"/>
          <w:szCs w:val="22"/>
          <w:lang w:val="en-GB"/>
        </w:rPr>
        <w:t>Lee S</w:t>
      </w:r>
      <w:r w:rsidR="00B72154">
        <w:rPr>
          <w:iCs/>
          <w:sz w:val="22"/>
          <w:szCs w:val="22"/>
          <w:lang w:val="en-GB"/>
        </w:rPr>
        <w:t>.</w:t>
      </w:r>
      <w:r w:rsidR="00CA691D">
        <w:rPr>
          <w:iCs/>
          <w:sz w:val="22"/>
          <w:szCs w:val="22"/>
          <w:lang w:val="en-GB"/>
        </w:rPr>
        <w:t>H</w:t>
      </w:r>
      <w:r w:rsidR="00CA691D">
        <w:rPr>
          <w:rFonts w:eastAsiaTheme="minorEastAsia" w:hint="eastAsia"/>
          <w:iCs/>
          <w:sz w:val="22"/>
          <w:szCs w:val="22"/>
          <w:lang w:val="en-GB" w:eastAsia="zh-CN"/>
        </w:rPr>
        <w:t>.</w:t>
      </w:r>
      <w:r w:rsidR="00CA691D">
        <w:rPr>
          <w:iCs/>
          <w:sz w:val="22"/>
          <w:szCs w:val="22"/>
          <w:lang w:val="en-GB"/>
        </w:rPr>
        <w:t xml:space="preserve"> 2014</w:t>
      </w:r>
      <w:r w:rsidR="00CA691D">
        <w:rPr>
          <w:rFonts w:eastAsiaTheme="minorEastAsia" w:hint="eastAsia"/>
          <w:iCs/>
          <w:sz w:val="22"/>
          <w:szCs w:val="22"/>
          <w:lang w:val="en-GB" w:eastAsia="zh-CN"/>
        </w:rPr>
        <w:t>.</w:t>
      </w:r>
      <w:r>
        <w:rPr>
          <w:iCs/>
          <w:sz w:val="22"/>
          <w:szCs w:val="22"/>
          <w:lang w:val="en-GB"/>
        </w:rPr>
        <w:t xml:space="preserve"> </w:t>
      </w:r>
      <w:r w:rsidRPr="00D411D4">
        <w:rPr>
          <w:iCs/>
          <w:sz w:val="22"/>
          <w:szCs w:val="22"/>
          <w:lang w:val="en-GB"/>
        </w:rPr>
        <w:t>Why strategic factor markets matter: “New” multinationals' geographic diversification and firm profitability</w:t>
      </w:r>
      <w:r w:rsidR="00554F58">
        <w:rPr>
          <w:iCs/>
          <w:sz w:val="22"/>
          <w:szCs w:val="22"/>
          <w:lang w:val="en-GB"/>
        </w:rPr>
        <w:t>.</w:t>
      </w:r>
      <w:r>
        <w:rPr>
          <w:iCs/>
          <w:sz w:val="22"/>
          <w:szCs w:val="22"/>
          <w:lang w:val="en-GB"/>
        </w:rPr>
        <w:t xml:space="preserve"> </w:t>
      </w:r>
      <w:r w:rsidRPr="00D411D4">
        <w:rPr>
          <w:i/>
          <w:iCs/>
          <w:sz w:val="22"/>
          <w:szCs w:val="22"/>
          <w:lang w:val="en-GB"/>
        </w:rPr>
        <w:t>Strategic Management Journal</w:t>
      </w:r>
      <w:r>
        <w:rPr>
          <w:iCs/>
          <w:sz w:val="22"/>
          <w:szCs w:val="22"/>
          <w:lang w:val="en-GB"/>
        </w:rPr>
        <w:t xml:space="preserve">, </w:t>
      </w:r>
      <w:r w:rsidR="00FC09CE" w:rsidRPr="00FC09CE">
        <w:rPr>
          <w:iCs/>
          <w:sz w:val="22"/>
          <w:szCs w:val="22"/>
          <w:lang w:val="en-GB"/>
        </w:rPr>
        <w:t>36(4): 518-636</w:t>
      </w:r>
      <w:r>
        <w:rPr>
          <w:iCs/>
          <w:sz w:val="22"/>
          <w:szCs w:val="22"/>
          <w:lang w:val="en-GB"/>
        </w:rPr>
        <w:t xml:space="preserve">. </w:t>
      </w:r>
    </w:p>
    <w:p w14:paraId="2D955D9F" w14:textId="22A9B701" w:rsidR="003E32FF" w:rsidRPr="008E049E" w:rsidRDefault="00DB09F2" w:rsidP="005F2D8B">
      <w:pPr>
        <w:spacing w:after="120"/>
        <w:ind w:left="360" w:hanging="360"/>
        <w:outlineLvl w:val="0"/>
        <w:rPr>
          <w:bCs/>
          <w:sz w:val="22"/>
          <w:szCs w:val="22"/>
          <w:lang w:val="en-GB"/>
        </w:rPr>
      </w:pPr>
      <w:r w:rsidRPr="008E049E">
        <w:rPr>
          <w:bCs/>
          <w:sz w:val="22"/>
          <w:szCs w:val="22"/>
          <w:lang w:val="en-GB"/>
        </w:rPr>
        <w:t xml:space="preserve">Kirca, A.H., Hult, G.T.M., </w:t>
      </w:r>
      <w:r w:rsidR="00A8462F" w:rsidRPr="008E049E">
        <w:rPr>
          <w:bCs/>
          <w:sz w:val="22"/>
          <w:szCs w:val="22"/>
          <w:lang w:val="en-GB"/>
        </w:rPr>
        <w:t>Perry</w:t>
      </w:r>
      <w:r w:rsidR="00CA691D" w:rsidRPr="008E049E">
        <w:rPr>
          <w:bCs/>
          <w:sz w:val="22"/>
          <w:szCs w:val="22"/>
          <w:lang w:val="en-GB"/>
        </w:rPr>
        <w:t xml:space="preserve">, M.Z. &amp; Cavusgil, S.T. </w:t>
      </w:r>
      <w:r w:rsidRPr="008E049E">
        <w:rPr>
          <w:bCs/>
          <w:sz w:val="22"/>
          <w:szCs w:val="22"/>
          <w:lang w:val="en-GB"/>
        </w:rPr>
        <w:t>201</w:t>
      </w:r>
      <w:r w:rsidR="00A8462F" w:rsidRPr="008E049E">
        <w:rPr>
          <w:bCs/>
          <w:sz w:val="22"/>
          <w:szCs w:val="22"/>
          <w:lang w:val="en-GB"/>
        </w:rPr>
        <w:t>2</w:t>
      </w:r>
      <w:r w:rsidRPr="008E049E">
        <w:rPr>
          <w:bCs/>
          <w:sz w:val="22"/>
          <w:szCs w:val="22"/>
          <w:lang w:val="en-GB"/>
        </w:rPr>
        <w:t>. A multilevel examination of the drivers of multinationality: A meta-analysis</w:t>
      </w:r>
      <w:r w:rsidR="00554F58" w:rsidRPr="008E049E">
        <w:rPr>
          <w:bCs/>
          <w:sz w:val="22"/>
          <w:szCs w:val="22"/>
          <w:lang w:val="en-GB"/>
        </w:rPr>
        <w:t>.</w:t>
      </w:r>
      <w:r w:rsidRPr="008E049E">
        <w:rPr>
          <w:bCs/>
          <w:sz w:val="22"/>
          <w:szCs w:val="22"/>
          <w:lang w:val="en-GB"/>
        </w:rPr>
        <w:t xml:space="preserve"> </w:t>
      </w:r>
      <w:r w:rsidRPr="008E049E">
        <w:rPr>
          <w:bCs/>
          <w:i/>
          <w:sz w:val="22"/>
          <w:szCs w:val="22"/>
          <w:lang w:val="en-GB"/>
        </w:rPr>
        <w:t>Journal of Management</w:t>
      </w:r>
      <w:r w:rsidR="00A8462F" w:rsidRPr="008E049E">
        <w:rPr>
          <w:bCs/>
          <w:sz w:val="22"/>
          <w:szCs w:val="22"/>
          <w:lang w:val="en-GB"/>
        </w:rPr>
        <w:t xml:space="preserve"> 38(2):</w:t>
      </w:r>
      <w:r w:rsidR="00A8462F" w:rsidRPr="008E049E">
        <w:rPr>
          <w:sz w:val="22"/>
          <w:szCs w:val="22"/>
          <w:lang w:val="en-GB"/>
        </w:rPr>
        <w:t>502-530</w:t>
      </w:r>
      <w:r w:rsidR="00A8462F" w:rsidRPr="008E049E">
        <w:rPr>
          <w:bCs/>
          <w:sz w:val="22"/>
          <w:szCs w:val="22"/>
          <w:lang w:val="en-GB"/>
        </w:rPr>
        <w:t>.</w:t>
      </w:r>
    </w:p>
    <w:p w14:paraId="1E9A2AB0" w14:textId="77777777" w:rsidR="00BF62D0" w:rsidRDefault="00BF62D0" w:rsidP="005F2D8B">
      <w:pPr>
        <w:spacing w:after="120"/>
        <w:ind w:left="360" w:hanging="360"/>
        <w:outlineLvl w:val="0"/>
        <w:rPr>
          <w:bCs/>
          <w:sz w:val="22"/>
          <w:szCs w:val="22"/>
          <w:lang w:val="en-GB"/>
        </w:rPr>
      </w:pPr>
      <w:r w:rsidRPr="00BF62D0">
        <w:rPr>
          <w:bCs/>
          <w:sz w:val="22"/>
          <w:szCs w:val="22"/>
          <w:lang w:val="en-GB"/>
        </w:rPr>
        <w:t xml:space="preserve">Klossek, A., Linke, B.M. &amp; Nippa, M. 2012. Chinese enterprises in Germany: Establishment modes and strategies to mitigate the liability of foreignness, Journal of World Business 17(1): 35-44. </w:t>
      </w:r>
    </w:p>
    <w:p w14:paraId="1A380F21" w14:textId="4AE06BF3" w:rsidR="00DB09F2" w:rsidRPr="008E049E" w:rsidRDefault="00CA691D" w:rsidP="005F2D8B">
      <w:pPr>
        <w:spacing w:after="120"/>
        <w:ind w:left="360" w:hanging="360"/>
        <w:outlineLvl w:val="0"/>
        <w:rPr>
          <w:bCs/>
          <w:sz w:val="22"/>
          <w:szCs w:val="22"/>
          <w:lang w:val="en-GB"/>
        </w:rPr>
      </w:pPr>
      <w:r w:rsidRPr="008E049E">
        <w:rPr>
          <w:bCs/>
          <w:sz w:val="22"/>
          <w:szCs w:val="22"/>
          <w:lang w:val="en-GB"/>
        </w:rPr>
        <w:t>Kogut, B</w:t>
      </w:r>
      <w:r w:rsidR="00B72154" w:rsidRPr="008E049E">
        <w:rPr>
          <w:bCs/>
          <w:sz w:val="22"/>
          <w:szCs w:val="22"/>
          <w:lang w:val="en-GB"/>
        </w:rPr>
        <w:t>.</w:t>
      </w:r>
      <w:r w:rsidRPr="008E049E">
        <w:rPr>
          <w:bCs/>
          <w:sz w:val="22"/>
          <w:szCs w:val="22"/>
          <w:lang w:val="en-GB"/>
        </w:rPr>
        <w:t xml:space="preserve"> </w:t>
      </w:r>
      <w:r w:rsidRPr="008E049E">
        <w:rPr>
          <w:rFonts w:eastAsiaTheme="minorEastAsia"/>
          <w:bCs/>
          <w:sz w:val="22"/>
          <w:szCs w:val="22"/>
          <w:lang w:val="en-GB" w:eastAsia="zh-CN"/>
        </w:rPr>
        <w:t>&amp;</w:t>
      </w:r>
      <w:r w:rsidR="00B72154" w:rsidRPr="008E049E">
        <w:rPr>
          <w:rFonts w:eastAsiaTheme="minorEastAsia"/>
          <w:bCs/>
          <w:sz w:val="22"/>
          <w:szCs w:val="22"/>
          <w:lang w:val="en-GB" w:eastAsia="zh-CN"/>
        </w:rPr>
        <w:t xml:space="preserve"> </w:t>
      </w:r>
      <w:r w:rsidRPr="008E049E">
        <w:rPr>
          <w:bCs/>
          <w:sz w:val="22"/>
          <w:szCs w:val="22"/>
          <w:lang w:val="en-GB"/>
        </w:rPr>
        <w:t>Singh, H</w:t>
      </w:r>
      <w:r w:rsidRPr="008E049E">
        <w:rPr>
          <w:rFonts w:eastAsiaTheme="minorEastAsia"/>
          <w:bCs/>
          <w:sz w:val="22"/>
          <w:szCs w:val="22"/>
          <w:lang w:val="en-GB" w:eastAsia="zh-CN"/>
        </w:rPr>
        <w:t>.</w:t>
      </w:r>
      <w:r w:rsidR="003E32FF" w:rsidRPr="008E049E">
        <w:rPr>
          <w:bCs/>
          <w:sz w:val="22"/>
          <w:szCs w:val="22"/>
          <w:lang w:val="en-GB"/>
        </w:rPr>
        <w:t xml:space="preserve"> 1988.The effect of national culture on the choice of entry </w:t>
      </w:r>
      <w:r w:rsidR="00A8462F" w:rsidRPr="008E049E">
        <w:rPr>
          <w:bCs/>
          <w:sz w:val="22"/>
          <w:szCs w:val="22"/>
          <w:lang w:val="en-GB"/>
        </w:rPr>
        <w:t>mode</w:t>
      </w:r>
      <w:r w:rsidR="00554F58" w:rsidRPr="008E049E">
        <w:rPr>
          <w:bCs/>
          <w:sz w:val="22"/>
          <w:szCs w:val="22"/>
          <w:lang w:val="en-GB"/>
        </w:rPr>
        <w:t>.</w:t>
      </w:r>
      <w:r w:rsidR="00A8462F" w:rsidRPr="008E049E">
        <w:rPr>
          <w:bCs/>
          <w:sz w:val="22"/>
          <w:szCs w:val="22"/>
          <w:lang w:val="en-GB"/>
        </w:rPr>
        <w:t xml:space="preserve"> </w:t>
      </w:r>
      <w:r w:rsidR="00A8462F" w:rsidRPr="008E049E">
        <w:rPr>
          <w:bCs/>
          <w:i/>
          <w:sz w:val="22"/>
          <w:szCs w:val="22"/>
          <w:lang w:val="en-GB"/>
        </w:rPr>
        <w:t>Journa</w:t>
      </w:r>
      <w:r w:rsidR="00A8462F" w:rsidRPr="008E049E">
        <w:rPr>
          <w:bCs/>
          <w:sz w:val="22"/>
          <w:szCs w:val="22"/>
          <w:lang w:val="en-GB"/>
        </w:rPr>
        <w:t>l</w:t>
      </w:r>
      <w:r w:rsidR="003E32FF" w:rsidRPr="008E049E">
        <w:rPr>
          <w:bCs/>
          <w:i/>
          <w:sz w:val="22"/>
          <w:szCs w:val="22"/>
          <w:lang w:val="en-GB"/>
        </w:rPr>
        <w:t xml:space="preserve"> of International Business Studies</w:t>
      </w:r>
      <w:r w:rsidR="003E32FF" w:rsidRPr="008E049E">
        <w:rPr>
          <w:bCs/>
          <w:sz w:val="22"/>
          <w:szCs w:val="22"/>
          <w:lang w:val="en-GB"/>
        </w:rPr>
        <w:t>, 19</w:t>
      </w:r>
      <w:r w:rsidR="00554F58" w:rsidRPr="008E049E">
        <w:rPr>
          <w:bCs/>
          <w:sz w:val="22"/>
          <w:szCs w:val="22"/>
          <w:lang w:val="en-GB"/>
        </w:rPr>
        <w:t>(3):</w:t>
      </w:r>
      <w:r w:rsidR="003E32FF" w:rsidRPr="008E049E">
        <w:rPr>
          <w:bCs/>
          <w:sz w:val="22"/>
          <w:szCs w:val="22"/>
          <w:lang w:val="en-GB"/>
        </w:rPr>
        <w:t>411-433.</w:t>
      </w:r>
    </w:p>
    <w:p w14:paraId="3E55E5F4" w14:textId="1C8C7FDD" w:rsidR="006861A2" w:rsidRPr="008E049E" w:rsidRDefault="006861A2" w:rsidP="005F2D8B">
      <w:pPr>
        <w:spacing w:after="120"/>
        <w:ind w:left="360" w:hanging="360"/>
        <w:outlineLvl w:val="0"/>
        <w:rPr>
          <w:bCs/>
          <w:sz w:val="22"/>
          <w:szCs w:val="22"/>
          <w:lang w:val="en-GB"/>
        </w:rPr>
      </w:pPr>
      <w:r w:rsidRPr="008E049E">
        <w:rPr>
          <w:bCs/>
          <w:sz w:val="22"/>
          <w:szCs w:val="22"/>
          <w:lang w:val="en-GB"/>
        </w:rPr>
        <w:t>Kotabe, M., Jiang, C. X., &amp; Murray, J. Y. 2011. Managerial ties, knowledge acquisition, realized absorptive capacity and new product market performance of emerging multinational companies:</w:t>
      </w:r>
      <w:r w:rsidR="0049655F">
        <w:rPr>
          <w:bCs/>
          <w:sz w:val="22"/>
          <w:szCs w:val="22"/>
          <w:lang w:val="en-GB"/>
        </w:rPr>
        <w:t xml:space="preserve"> </w:t>
      </w:r>
      <w:r w:rsidRPr="008E049E">
        <w:rPr>
          <w:bCs/>
          <w:sz w:val="22"/>
          <w:szCs w:val="22"/>
          <w:lang w:val="en-GB"/>
        </w:rPr>
        <w:t xml:space="preserve">A case of China. </w:t>
      </w:r>
      <w:r w:rsidRPr="008E049E">
        <w:rPr>
          <w:bCs/>
          <w:i/>
          <w:sz w:val="22"/>
          <w:szCs w:val="22"/>
          <w:lang w:val="en-GB"/>
        </w:rPr>
        <w:t>Journal of World Business</w:t>
      </w:r>
      <w:r w:rsidRPr="008E049E">
        <w:rPr>
          <w:bCs/>
          <w:sz w:val="22"/>
          <w:szCs w:val="22"/>
          <w:lang w:val="en-GB"/>
        </w:rPr>
        <w:t>, 46(2), 166–176.</w:t>
      </w:r>
    </w:p>
    <w:p w14:paraId="646682BB" w14:textId="77777777" w:rsidR="00E90A30" w:rsidRDefault="00E90A30" w:rsidP="005F2D8B">
      <w:pPr>
        <w:spacing w:after="120"/>
        <w:ind w:left="360" w:hanging="360"/>
        <w:outlineLvl w:val="0"/>
        <w:rPr>
          <w:bCs/>
          <w:sz w:val="22"/>
          <w:szCs w:val="22"/>
          <w:lang w:val="en-GB"/>
        </w:rPr>
      </w:pPr>
      <w:r w:rsidRPr="00E90A30">
        <w:rPr>
          <w:bCs/>
          <w:sz w:val="22"/>
          <w:szCs w:val="22"/>
          <w:lang w:val="en-GB"/>
        </w:rPr>
        <w:lastRenderedPageBreak/>
        <w:t xml:space="preserve">Kotabe, M. &amp; Kothari, T. 2016. Emerging market multinational companies’ evolutionary paths to building a competitive advantage from emerging markets to developed countries, </w:t>
      </w:r>
      <w:r w:rsidRPr="00E90A30">
        <w:rPr>
          <w:bCs/>
          <w:i/>
          <w:sz w:val="22"/>
          <w:szCs w:val="22"/>
          <w:lang w:val="en-GB"/>
        </w:rPr>
        <w:t>Journal of World Business</w:t>
      </w:r>
      <w:r w:rsidRPr="00E90A30">
        <w:rPr>
          <w:bCs/>
          <w:sz w:val="22"/>
          <w:szCs w:val="22"/>
          <w:lang w:val="en-GB"/>
        </w:rPr>
        <w:t>, 51(5): 729-743.</w:t>
      </w:r>
    </w:p>
    <w:p w14:paraId="21EDAB9E" w14:textId="1D0BAFDD" w:rsidR="0049120D" w:rsidRPr="008E049E" w:rsidRDefault="0049120D" w:rsidP="005F2D8B">
      <w:pPr>
        <w:spacing w:after="120"/>
        <w:ind w:left="360" w:hanging="360"/>
        <w:outlineLvl w:val="0"/>
        <w:rPr>
          <w:bCs/>
          <w:sz w:val="22"/>
          <w:szCs w:val="22"/>
          <w:lang w:val="en-GB"/>
        </w:rPr>
      </w:pPr>
      <w:r w:rsidRPr="008E049E">
        <w:rPr>
          <w:bCs/>
          <w:sz w:val="22"/>
          <w:szCs w:val="22"/>
          <w:lang w:val="en-GB"/>
        </w:rPr>
        <w:t xml:space="preserve">Kugler, M. &amp; Rappoport, H., 2007, International labor and capital flows: Substitutes or complements?, </w:t>
      </w:r>
      <w:r w:rsidRPr="008E049E">
        <w:rPr>
          <w:bCs/>
          <w:i/>
          <w:sz w:val="22"/>
          <w:szCs w:val="22"/>
          <w:lang w:val="en-GB"/>
        </w:rPr>
        <w:t>Economic Letters,</w:t>
      </w:r>
      <w:r w:rsidRPr="008E049E">
        <w:rPr>
          <w:bCs/>
          <w:sz w:val="22"/>
          <w:szCs w:val="22"/>
          <w:lang w:val="en-GB"/>
        </w:rPr>
        <w:t xml:space="preserve"> 92, 2, 155-62.</w:t>
      </w:r>
    </w:p>
    <w:p w14:paraId="386FE6AA" w14:textId="444FFF4F" w:rsidR="002529B1" w:rsidRPr="002529B1" w:rsidRDefault="002529B1" w:rsidP="005F2D8B">
      <w:pPr>
        <w:spacing w:after="120"/>
        <w:ind w:left="360" w:hanging="360"/>
        <w:outlineLvl w:val="0"/>
        <w:rPr>
          <w:bCs/>
          <w:sz w:val="22"/>
          <w:szCs w:val="22"/>
        </w:rPr>
      </w:pPr>
      <w:r w:rsidRPr="002529B1">
        <w:rPr>
          <w:bCs/>
          <w:sz w:val="22"/>
          <w:szCs w:val="22"/>
        </w:rPr>
        <w:t>Kumaraswamy</w:t>
      </w:r>
      <w:r w:rsidR="00B72154">
        <w:rPr>
          <w:bCs/>
          <w:sz w:val="22"/>
          <w:szCs w:val="22"/>
        </w:rPr>
        <w:t>,</w:t>
      </w:r>
      <w:r>
        <w:rPr>
          <w:bCs/>
          <w:sz w:val="22"/>
          <w:szCs w:val="22"/>
        </w:rPr>
        <w:t xml:space="preserve"> A</w:t>
      </w:r>
      <w:r w:rsidR="00B72154">
        <w:rPr>
          <w:bCs/>
          <w:sz w:val="22"/>
          <w:szCs w:val="22"/>
        </w:rPr>
        <w:t>.</w:t>
      </w:r>
      <w:r>
        <w:rPr>
          <w:bCs/>
          <w:sz w:val="22"/>
          <w:szCs w:val="22"/>
        </w:rPr>
        <w:t>, Mudambi</w:t>
      </w:r>
      <w:r w:rsidR="00B72154">
        <w:rPr>
          <w:bCs/>
          <w:sz w:val="22"/>
          <w:szCs w:val="22"/>
        </w:rPr>
        <w:t>,</w:t>
      </w:r>
      <w:r>
        <w:rPr>
          <w:bCs/>
          <w:sz w:val="22"/>
          <w:szCs w:val="22"/>
        </w:rPr>
        <w:t xml:space="preserve"> R</w:t>
      </w:r>
      <w:r w:rsidR="00B72154">
        <w:rPr>
          <w:bCs/>
          <w:sz w:val="22"/>
          <w:szCs w:val="22"/>
        </w:rPr>
        <w:t>.</w:t>
      </w:r>
      <w:r>
        <w:rPr>
          <w:bCs/>
          <w:sz w:val="22"/>
          <w:szCs w:val="22"/>
        </w:rPr>
        <w:t>, Saranga</w:t>
      </w:r>
      <w:r w:rsidR="00B72154">
        <w:rPr>
          <w:bCs/>
          <w:sz w:val="22"/>
          <w:szCs w:val="22"/>
        </w:rPr>
        <w:t>,</w:t>
      </w:r>
      <w:r>
        <w:rPr>
          <w:bCs/>
          <w:sz w:val="22"/>
          <w:szCs w:val="22"/>
        </w:rPr>
        <w:t xml:space="preserve"> H</w:t>
      </w:r>
      <w:r w:rsidR="00B72154">
        <w:rPr>
          <w:bCs/>
          <w:sz w:val="22"/>
          <w:szCs w:val="22"/>
        </w:rPr>
        <w:t>.</w:t>
      </w:r>
      <w:r>
        <w:rPr>
          <w:bCs/>
          <w:sz w:val="22"/>
          <w:szCs w:val="22"/>
        </w:rPr>
        <w:t xml:space="preserve">, </w:t>
      </w:r>
      <w:r w:rsidR="00364224">
        <w:rPr>
          <w:bCs/>
          <w:sz w:val="22"/>
          <w:szCs w:val="22"/>
        </w:rPr>
        <w:t xml:space="preserve">&amp; </w:t>
      </w:r>
      <w:r w:rsidR="00CA691D">
        <w:rPr>
          <w:bCs/>
          <w:sz w:val="22"/>
          <w:szCs w:val="22"/>
        </w:rPr>
        <w:t>Tripathy</w:t>
      </w:r>
      <w:r w:rsidR="00B72154">
        <w:rPr>
          <w:bCs/>
          <w:sz w:val="22"/>
          <w:szCs w:val="22"/>
        </w:rPr>
        <w:t>,</w:t>
      </w:r>
      <w:r w:rsidR="00CA691D">
        <w:rPr>
          <w:bCs/>
          <w:sz w:val="22"/>
          <w:szCs w:val="22"/>
        </w:rPr>
        <w:t xml:space="preserve"> A</w:t>
      </w:r>
      <w:r w:rsidR="00CA691D">
        <w:rPr>
          <w:rFonts w:eastAsiaTheme="minorEastAsia" w:hint="eastAsia"/>
          <w:bCs/>
          <w:sz w:val="22"/>
          <w:szCs w:val="22"/>
          <w:lang w:eastAsia="zh-CN"/>
        </w:rPr>
        <w:t>.</w:t>
      </w:r>
      <w:r>
        <w:rPr>
          <w:bCs/>
          <w:sz w:val="22"/>
          <w:szCs w:val="22"/>
        </w:rPr>
        <w:t xml:space="preserve"> </w:t>
      </w:r>
      <w:r w:rsidRPr="002529B1">
        <w:rPr>
          <w:bCs/>
          <w:sz w:val="22"/>
          <w:szCs w:val="22"/>
        </w:rPr>
        <w:t>2012</w:t>
      </w:r>
      <w:r w:rsidR="00CA691D">
        <w:rPr>
          <w:rFonts w:eastAsiaTheme="minorEastAsia" w:hint="eastAsia"/>
          <w:bCs/>
          <w:sz w:val="22"/>
          <w:szCs w:val="22"/>
          <w:lang w:eastAsia="zh-CN"/>
        </w:rPr>
        <w:t>.</w:t>
      </w:r>
      <w:r>
        <w:rPr>
          <w:bCs/>
          <w:sz w:val="22"/>
          <w:szCs w:val="22"/>
        </w:rPr>
        <w:t xml:space="preserve"> Catch-up strategies in the Indian auto components industry: Domestic firms’ responses to market liberalization</w:t>
      </w:r>
      <w:r w:rsidRPr="002529B1">
        <w:rPr>
          <w:bCs/>
          <w:i/>
          <w:sz w:val="22"/>
          <w:szCs w:val="22"/>
        </w:rPr>
        <w:t>. Journal of International Business Studies</w:t>
      </w:r>
      <w:r>
        <w:rPr>
          <w:bCs/>
          <w:sz w:val="22"/>
          <w:szCs w:val="22"/>
        </w:rPr>
        <w:t>, 43</w:t>
      </w:r>
      <w:r w:rsidR="00A8462F">
        <w:rPr>
          <w:bCs/>
          <w:sz w:val="22"/>
          <w:szCs w:val="22"/>
        </w:rPr>
        <w:t>(4)</w:t>
      </w:r>
      <w:r>
        <w:rPr>
          <w:bCs/>
          <w:sz w:val="22"/>
          <w:szCs w:val="22"/>
        </w:rPr>
        <w:t>: 368-395.</w:t>
      </w:r>
    </w:p>
    <w:p w14:paraId="5492F636" w14:textId="3D132A79" w:rsidR="00747906" w:rsidRDefault="00747906" w:rsidP="00C60FB4">
      <w:pPr>
        <w:spacing w:after="120"/>
        <w:ind w:left="360" w:hanging="360"/>
        <w:jc w:val="both"/>
        <w:rPr>
          <w:sz w:val="22"/>
          <w:szCs w:val="22"/>
        </w:rPr>
      </w:pPr>
      <w:r>
        <w:rPr>
          <w:sz w:val="22"/>
          <w:szCs w:val="22"/>
        </w:rPr>
        <w:t xml:space="preserve">Laursen, K., &amp; Salter, A. J. </w:t>
      </w:r>
      <w:r w:rsidRPr="00747906">
        <w:rPr>
          <w:sz w:val="22"/>
          <w:szCs w:val="22"/>
        </w:rPr>
        <w:t xml:space="preserve">2014. The paradox of openness: Appropriability, external search and collaboration. </w:t>
      </w:r>
      <w:r w:rsidRPr="00747906">
        <w:rPr>
          <w:i/>
          <w:sz w:val="22"/>
          <w:szCs w:val="22"/>
        </w:rPr>
        <w:t>Research Policy</w:t>
      </w:r>
      <w:r w:rsidRPr="00747906">
        <w:rPr>
          <w:sz w:val="22"/>
          <w:szCs w:val="22"/>
        </w:rPr>
        <w:t>, 43(5), 867-878.</w:t>
      </w:r>
    </w:p>
    <w:p w14:paraId="647FF83A" w14:textId="77777777" w:rsidR="00B72154" w:rsidRDefault="004F699D" w:rsidP="00C60FB4">
      <w:pPr>
        <w:spacing w:after="120"/>
        <w:ind w:left="360" w:hanging="360"/>
        <w:jc w:val="both"/>
        <w:rPr>
          <w:sz w:val="22"/>
          <w:szCs w:val="22"/>
        </w:rPr>
      </w:pPr>
      <w:r w:rsidRPr="00A95756">
        <w:rPr>
          <w:rStyle w:val="doi"/>
          <w:sz w:val="22"/>
          <w:szCs w:val="22"/>
          <w:lang w:val="en"/>
        </w:rPr>
        <w:t xml:space="preserve">Lessard, D., 2014. The evolution of EMNCs and EMNC thinking: a capabilities perspective.  </w:t>
      </w:r>
      <w:r w:rsidRPr="00A95756">
        <w:rPr>
          <w:sz w:val="22"/>
          <w:szCs w:val="22"/>
        </w:rPr>
        <w:t>in</w:t>
      </w:r>
      <w:r w:rsidR="00683602" w:rsidRPr="00683602">
        <w:rPr>
          <w:sz w:val="22"/>
          <w:szCs w:val="22"/>
        </w:rPr>
        <w:t xml:space="preserve"> Cuervo-Cazurra, A., &amp; Ramamurti, R. </w:t>
      </w:r>
      <w:r w:rsidR="00683602">
        <w:rPr>
          <w:sz w:val="22"/>
          <w:szCs w:val="22"/>
        </w:rPr>
        <w:t xml:space="preserve">(eds) </w:t>
      </w:r>
      <w:r w:rsidR="00683602" w:rsidRPr="00683602">
        <w:rPr>
          <w:sz w:val="22"/>
          <w:szCs w:val="22"/>
        </w:rPr>
        <w:t xml:space="preserve">2014. </w:t>
      </w:r>
      <w:r w:rsidR="00683602" w:rsidRPr="00683602">
        <w:rPr>
          <w:i/>
          <w:sz w:val="22"/>
          <w:szCs w:val="22"/>
        </w:rPr>
        <w:t>Understanding multinationals from emerging markets</w:t>
      </w:r>
      <w:r w:rsidR="00683602" w:rsidRPr="00683602">
        <w:rPr>
          <w:sz w:val="22"/>
          <w:szCs w:val="22"/>
        </w:rPr>
        <w:t>. Cambridge, Cambridge University Press.</w:t>
      </w:r>
    </w:p>
    <w:p w14:paraId="196EC157" w14:textId="71164A17" w:rsidR="00AF601C" w:rsidRPr="00A95756" w:rsidRDefault="00CA691D" w:rsidP="00C60FB4">
      <w:pPr>
        <w:spacing w:after="120"/>
        <w:ind w:left="360" w:hanging="360"/>
        <w:jc w:val="both"/>
        <w:rPr>
          <w:sz w:val="22"/>
          <w:szCs w:val="22"/>
        </w:rPr>
      </w:pPr>
      <w:r>
        <w:rPr>
          <w:rStyle w:val="doi"/>
          <w:sz w:val="22"/>
          <w:szCs w:val="22"/>
          <w:lang w:val="en"/>
        </w:rPr>
        <w:t>Leung, K. 2014</w:t>
      </w:r>
      <w:r w:rsidR="00AF601C" w:rsidRPr="00A95756">
        <w:rPr>
          <w:rStyle w:val="doi"/>
          <w:sz w:val="22"/>
          <w:szCs w:val="22"/>
          <w:lang w:val="en"/>
        </w:rPr>
        <w:t xml:space="preserve">. Globalization of Chinese firms: What happens to culture? </w:t>
      </w:r>
      <w:r w:rsidR="00AF601C" w:rsidRPr="00A95756">
        <w:rPr>
          <w:rStyle w:val="doi"/>
          <w:i/>
          <w:sz w:val="22"/>
          <w:szCs w:val="22"/>
          <w:lang w:val="en"/>
        </w:rPr>
        <w:t>Management and Organization Review</w:t>
      </w:r>
      <w:r w:rsidR="00AF601C" w:rsidRPr="00A95756">
        <w:rPr>
          <w:rStyle w:val="doi"/>
          <w:sz w:val="22"/>
          <w:szCs w:val="22"/>
          <w:lang w:val="en"/>
        </w:rPr>
        <w:t xml:space="preserve">, </w:t>
      </w:r>
      <w:r w:rsidR="00AF601C" w:rsidRPr="009D3597">
        <w:rPr>
          <w:rStyle w:val="doi"/>
          <w:sz w:val="22"/>
          <w:szCs w:val="22"/>
          <w:lang w:val="en"/>
        </w:rPr>
        <w:t>10</w:t>
      </w:r>
      <w:r w:rsidR="009D3597">
        <w:rPr>
          <w:rStyle w:val="doi"/>
          <w:sz w:val="22"/>
          <w:szCs w:val="22"/>
          <w:lang w:val="en"/>
        </w:rPr>
        <w:t>(3)</w:t>
      </w:r>
      <w:r w:rsidR="00AF601C" w:rsidRPr="009D3597">
        <w:rPr>
          <w:rStyle w:val="doi"/>
          <w:sz w:val="22"/>
          <w:szCs w:val="22"/>
          <w:lang w:val="en"/>
        </w:rPr>
        <w:t xml:space="preserve">: </w:t>
      </w:r>
      <w:r w:rsidR="00AF601C" w:rsidRPr="00A95756">
        <w:rPr>
          <w:rStyle w:val="doi"/>
          <w:sz w:val="22"/>
          <w:szCs w:val="22"/>
          <w:lang w:val="en"/>
        </w:rPr>
        <w:t>391-397.</w:t>
      </w:r>
    </w:p>
    <w:p w14:paraId="48FBE698" w14:textId="216D8435" w:rsidR="00106EB5" w:rsidRDefault="00106EB5" w:rsidP="005F2D8B">
      <w:pPr>
        <w:spacing w:after="120"/>
        <w:ind w:left="360" w:hanging="360"/>
        <w:jc w:val="both"/>
        <w:rPr>
          <w:sz w:val="22"/>
          <w:szCs w:val="22"/>
        </w:rPr>
      </w:pPr>
      <w:r w:rsidRPr="006F16B8">
        <w:rPr>
          <w:sz w:val="22"/>
          <w:szCs w:val="22"/>
        </w:rPr>
        <w:t>Li</w:t>
      </w:r>
      <w:r w:rsidR="00B72154">
        <w:rPr>
          <w:sz w:val="22"/>
          <w:szCs w:val="22"/>
        </w:rPr>
        <w:t>,</w:t>
      </w:r>
      <w:r w:rsidRPr="006F16B8">
        <w:rPr>
          <w:sz w:val="22"/>
          <w:szCs w:val="22"/>
        </w:rPr>
        <w:t xml:space="preserve"> J</w:t>
      </w:r>
      <w:r w:rsidR="00B72154">
        <w:rPr>
          <w:sz w:val="22"/>
          <w:szCs w:val="22"/>
        </w:rPr>
        <w:t>.</w:t>
      </w:r>
      <w:r w:rsidRPr="006F16B8">
        <w:rPr>
          <w:sz w:val="22"/>
          <w:szCs w:val="22"/>
        </w:rPr>
        <w:t>, Li</w:t>
      </w:r>
      <w:r w:rsidR="00B72154">
        <w:rPr>
          <w:sz w:val="22"/>
          <w:szCs w:val="22"/>
        </w:rPr>
        <w:t>,</w:t>
      </w:r>
      <w:r w:rsidRPr="006F16B8">
        <w:rPr>
          <w:sz w:val="22"/>
          <w:szCs w:val="22"/>
        </w:rPr>
        <w:t xml:space="preserve"> Y</w:t>
      </w:r>
      <w:r w:rsidR="00B72154">
        <w:rPr>
          <w:sz w:val="22"/>
          <w:szCs w:val="22"/>
        </w:rPr>
        <w:t>.</w:t>
      </w:r>
      <w:r w:rsidRPr="006F16B8">
        <w:rPr>
          <w:sz w:val="22"/>
          <w:szCs w:val="22"/>
        </w:rPr>
        <w:t>,</w:t>
      </w:r>
      <w:r w:rsidR="00364224">
        <w:rPr>
          <w:sz w:val="22"/>
          <w:szCs w:val="22"/>
        </w:rPr>
        <w:t xml:space="preserve"> &amp;</w:t>
      </w:r>
      <w:r w:rsidRPr="006F16B8">
        <w:rPr>
          <w:sz w:val="22"/>
          <w:szCs w:val="22"/>
        </w:rPr>
        <w:t xml:space="preserve"> Shapiro</w:t>
      </w:r>
      <w:r w:rsidR="00B72154">
        <w:rPr>
          <w:sz w:val="22"/>
          <w:szCs w:val="22"/>
        </w:rPr>
        <w:t>,</w:t>
      </w:r>
      <w:r w:rsidRPr="006F16B8">
        <w:rPr>
          <w:sz w:val="22"/>
          <w:szCs w:val="22"/>
        </w:rPr>
        <w:t xml:space="preserve"> D. 2012. Knowledge seeking and outward FDI by emerging market firms: The moderating effect of inward FDI</w:t>
      </w:r>
      <w:r w:rsidR="009C6BB2">
        <w:rPr>
          <w:sz w:val="22"/>
          <w:szCs w:val="22"/>
        </w:rPr>
        <w:t>.</w:t>
      </w:r>
      <w:r w:rsidRPr="006F16B8">
        <w:rPr>
          <w:sz w:val="22"/>
          <w:szCs w:val="22"/>
        </w:rPr>
        <w:t xml:space="preserve"> </w:t>
      </w:r>
      <w:r w:rsidRPr="006F16B8">
        <w:rPr>
          <w:i/>
          <w:sz w:val="22"/>
          <w:szCs w:val="22"/>
        </w:rPr>
        <w:t>Global Strategy Journal</w:t>
      </w:r>
      <w:r w:rsidR="00554F58">
        <w:rPr>
          <w:i/>
          <w:sz w:val="22"/>
          <w:szCs w:val="22"/>
        </w:rPr>
        <w:t>,</w:t>
      </w:r>
      <w:r w:rsidR="009C6BB2">
        <w:rPr>
          <w:i/>
          <w:sz w:val="22"/>
          <w:szCs w:val="22"/>
        </w:rPr>
        <w:t xml:space="preserve"> </w:t>
      </w:r>
      <w:r w:rsidRPr="006F16B8">
        <w:rPr>
          <w:sz w:val="22"/>
          <w:szCs w:val="22"/>
        </w:rPr>
        <w:t>2(4): 277-295.</w:t>
      </w:r>
    </w:p>
    <w:p w14:paraId="22BC6278" w14:textId="51F26CC9" w:rsidR="00B013CE" w:rsidRDefault="00A95D00" w:rsidP="005F2D8B">
      <w:pPr>
        <w:spacing w:after="120"/>
        <w:ind w:left="360" w:hanging="360"/>
        <w:rPr>
          <w:sz w:val="22"/>
          <w:szCs w:val="22"/>
        </w:rPr>
      </w:pPr>
      <w:r w:rsidRPr="006F16B8">
        <w:rPr>
          <w:sz w:val="22"/>
          <w:szCs w:val="22"/>
        </w:rPr>
        <w:t>Lin</w:t>
      </w:r>
      <w:r w:rsidR="00B72154">
        <w:rPr>
          <w:sz w:val="22"/>
          <w:szCs w:val="22"/>
        </w:rPr>
        <w:t>,</w:t>
      </w:r>
      <w:r w:rsidRPr="006F16B8">
        <w:rPr>
          <w:sz w:val="22"/>
          <w:szCs w:val="22"/>
        </w:rPr>
        <w:t xml:space="preserve"> Z</w:t>
      </w:r>
      <w:r w:rsidR="00B72154">
        <w:rPr>
          <w:sz w:val="22"/>
          <w:szCs w:val="22"/>
        </w:rPr>
        <w:t>.</w:t>
      </w:r>
      <w:r w:rsidRPr="006F16B8">
        <w:rPr>
          <w:sz w:val="22"/>
          <w:szCs w:val="22"/>
        </w:rPr>
        <w:t>, Peng</w:t>
      </w:r>
      <w:r w:rsidR="00B72154">
        <w:rPr>
          <w:sz w:val="22"/>
          <w:szCs w:val="22"/>
        </w:rPr>
        <w:t>,</w:t>
      </w:r>
      <w:r w:rsidRPr="006F16B8">
        <w:rPr>
          <w:sz w:val="22"/>
          <w:szCs w:val="22"/>
        </w:rPr>
        <w:t xml:space="preserve"> M</w:t>
      </w:r>
      <w:r w:rsidR="00B72154">
        <w:rPr>
          <w:sz w:val="22"/>
          <w:szCs w:val="22"/>
        </w:rPr>
        <w:t>.</w:t>
      </w:r>
      <w:r w:rsidRPr="006F16B8">
        <w:rPr>
          <w:sz w:val="22"/>
          <w:szCs w:val="22"/>
        </w:rPr>
        <w:t>W</w:t>
      </w:r>
      <w:r w:rsidR="00B72154">
        <w:rPr>
          <w:sz w:val="22"/>
          <w:szCs w:val="22"/>
        </w:rPr>
        <w:t>.</w:t>
      </w:r>
      <w:r w:rsidRPr="006F16B8">
        <w:rPr>
          <w:sz w:val="22"/>
          <w:szCs w:val="22"/>
        </w:rPr>
        <w:t>, Yang</w:t>
      </w:r>
      <w:r w:rsidR="00B72154">
        <w:rPr>
          <w:sz w:val="22"/>
          <w:szCs w:val="22"/>
        </w:rPr>
        <w:t>,</w:t>
      </w:r>
      <w:r w:rsidRPr="006F16B8">
        <w:rPr>
          <w:sz w:val="22"/>
          <w:szCs w:val="22"/>
        </w:rPr>
        <w:t xml:space="preserve"> H</w:t>
      </w:r>
      <w:r w:rsidR="00B72154">
        <w:rPr>
          <w:sz w:val="22"/>
          <w:szCs w:val="22"/>
        </w:rPr>
        <w:t>.</w:t>
      </w:r>
      <w:r w:rsidRPr="006F16B8">
        <w:rPr>
          <w:sz w:val="22"/>
          <w:szCs w:val="22"/>
        </w:rPr>
        <w:t>B</w:t>
      </w:r>
      <w:r w:rsidR="00B72154">
        <w:rPr>
          <w:sz w:val="22"/>
          <w:szCs w:val="22"/>
        </w:rPr>
        <w:t>.</w:t>
      </w:r>
      <w:r w:rsidRPr="006F16B8">
        <w:rPr>
          <w:sz w:val="22"/>
          <w:szCs w:val="22"/>
        </w:rPr>
        <w:t xml:space="preserve">, </w:t>
      </w:r>
      <w:r w:rsidR="00364224">
        <w:rPr>
          <w:sz w:val="22"/>
          <w:szCs w:val="22"/>
        </w:rPr>
        <w:t xml:space="preserve">&amp; </w:t>
      </w:r>
      <w:r w:rsidRPr="006F16B8">
        <w:rPr>
          <w:sz w:val="22"/>
          <w:szCs w:val="22"/>
        </w:rPr>
        <w:t>Sun</w:t>
      </w:r>
      <w:r w:rsidR="00B72154">
        <w:rPr>
          <w:sz w:val="22"/>
          <w:szCs w:val="22"/>
        </w:rPr>
        <w:t>,</w:t>
      </w:r>
      <w:r w:rsidRPr="006F16B8">
        <w:rPr>
          <w:sz w:val="22"/>
          <w:szCs w:val="22"/>
        </w:rPr>
        <w:t xml:space="preserve"> S</w:t>
      </w:r>
      <w:r w:rsidR="00B72154">
        <w:rPr>
          <w:sz w:val="22"/>
          <w:szCs w:val="22"/>
        </w:rPr>
        <w:t>.</w:t>
      </w:r>
      <w:r w:rsidRPr="006F16B8">
        <w:rPr>
          <w:sz w:val="22"/>
          <w:szCs w:val="22"/>
        </w:rPr>
        <w:t>L. 2009.</w:t>
      </w:r>
      <w:r w:rsidRPr="006F16B8">
        <w:t xml:space="preserve"> </w:t>
      </w:r>
      <w:r w:rsidRPr="006F16B8">
        <w:rPr>
          <w:sz w:val="22"/>
          <w:szCs w:val="22"/>
        </w:rPr>
        <w:t xml:space="preserve">How do networks and learning drive M&amp;As? An institutional comparison between China and the United States. </w:t>
      </w:r>
      <w:r w:rsidRPr="006F16B8">
        <w:rPr>
          <w:i/>
          <w:sz w:val="22"/>
          <w:szCs w:val="22"/>
        </w:rPr>
        <w:t>Strategic Management Journal</w:t>
      </w:r>
      <w:r w:rsidR="00554F58">
        <w:rPr>
          <w:i/>
          <w:sz w:val="22"/>
          <w:szCs w:val="22"/>
        </w:rPr>
        <w:t>,</w:t>
      </w:r>
      <w:r w:rsidRPr="006F16B8">
        <w:rPr>
          <w:sz w:val="22"/>
          <w:szCs w:val="22"/>
        </w:rPr>
        <w:t xml:space="preserve"> 30(10): 1113-1132.</w:t>
      </w:r>
    </w:p>
    <w:p w14:paraId="7F7FBA85" w14:textId="0D4116FF" w:rsidR="00B013CE" w:rsidRDefault="00CF079C" w:rsidP="005F2D8B">
      <w:pPr>
        <w:spacing w:after="120"/>
        <w:ind w:left="360" w:hanging="360"/>
        <w:rPr>
          <w:sz w:val="22"/>
          <w:szCs w:val="22"/>
        </w:rPr>
      </w:pPr>
      <w:r>
        <w:rPr>
          <w:sz w:val="22"/>
          <w:szCs w:val="22"/>
        </w:rPr>
        <w:t>Loree</w:t>
      </w:r>
      <w:r w:rsidR="00B72154">
        <w:rPr>
          <w:sz w:val="22"/>
          <w:szCs w:val="22"/>
        </w:rPr>
        <w:t>,</w:t>
      </w:r>
      <w:r>
        <w:rPr>
          <w:sz w:val="22"/>
          <w:szCs w:val="22"/>
        </w:rPr>
        <w:t xml:space="preserve"> D</w:t>
      </w:r>
      <w:r w:rsidR="00B72154">
        <w:rPr>
          <w:sz w:val="22"/>
          <w:szCs w:val="22"/>
        </w:rPr>
        <w:t>.</w:t>
      </w:r>
      <w:r>
        <w:rPr>
          <w:sz w:val="22"/>
          <w:szCs w:val="22"/>
        </w:rPr>
        <w:t xml:space="preserve">, </w:t>
      </w:r>
      <w:r w:rsidR="00B72154">
        <w:rPr>
          <w:sz w:val="22"/>
          <w:szCs w:val="22"/>
        </w:rPr>
        <w:t xml:space="preserve">&amp; </w:t>
      </w:r>
      <w:r>
        <w:rPr>
          <w:sz w:val="22"/>
          <w:szCs w:val="22"/>
        </w:rPr>
        <w:t>Guisinger</w:t>
      </w:r>
      <w:r w:rsidR="00B72154">
        <w:rPr>
          <w:sz w:val="22"/>
          <w:szCs w:val="22"/>
        </w:rPr>
        <w:t>,</w:t>
      </w:r>
      <w:r>
        <w:rPr>
          <w:sz w:val="22"/>
          <w:szCs w:val="22"/>
        </w:rPr>
        <w:t xml:space="preserve"> S. 1995. </w:t>
      </w:r>
      <w:r w:rsidR="00F02D75" w:rsidRPr="00F02D75">
        <w:rPr>
          <w:sz w:val="22"/>
          <w:szCs w:val="22"/>
        </w:rPr>
        <w:t>Policy and non-policy</w:t>
      </w:r>
      <w:r w:rsidR="00F02D75">
        <w:rPr>
          <w:sz w:val="22"/>
          <w:szCs w:val="22"/>
        </w:rPr>
        <w:t xml:space="preserve"> </w:t>
      </w:r>
      <w:r w:rsidR="00F02D75" w:rsidRPr="00F02D75">
        <w:rPr>
          <w:sz w:val="22"/>
          <w:szCs w:val="22"/>
        </w:rPr>
        <w:t xml:space="preserve">determinants </w:t>
      </w:r>
      <w:r>
        <w:rPr>
          <w:sz w:val="22"/>
          <w:szCs w:val="22"/>
        </w:rPr>
        <w:t>of US foreign direct investment.</w:t>
      </w:r>
      <w:r w:rsidR="00F02D75" w:rsidRPr="00F02D75">
        <w:rPr>
          <w:sz w:val="22"/>
          <w:szCs w:val="22"/>
        </w:rPr>
        <w:t xml:space="preserve"> </w:t>
      </w:r>
      <w:r w:rsidR="00F02D75" w:rsidRPr="00CF079C">
        <w:rPr>
          <w:i/>
          <w:sz w:val="22"/>
          <w:szCs w:val="22"/>
        </w:rPr>
        <w:t>Journal of International Business Studies</w:t>
      </w:r>
      <w:r w:rsidR="00554F58">
        <w:rPr>
          <w:i/>
          <w:sz w:val="22"/>
          <w:szCs w:val="22"/>
        </w:rPr>
        <w:t>,</w:t>
      </w:r>
      <w:r w:rsidR="00F02D75" w:rsidRPr="00CF079C">
        <w:rPr>
          <w:i/>
          <w:sz w:val="22"/>
          <w:szCs w:val="22"/>
        </w:rPr>
        <w:t xml:space="preserve"> </w:t>
      </w:r>
      <w:r w:rsidR="00F02D75" w:rsidRPr="009C6BB2">
        <w:rPr>
          <w:sz w:val="22"/>
          <w:szCs w:val="22"/>
        </w:rPr>
        <w:t>26(2): 281–299.</w:t>
      </w:r>
    </w:p>
    <w:p w14:paraId="26CC61B4" w14:textId="7590B52E" w:rsidR="00A0323D" w:rsidRPr="00EA706D" w:rsidRDefault="00A0323D" w:rsidP="005F2D8B">
      <w:pPr>
        <w:spacing w:after="120"/>
        <w:ind w:left="360" w:hanging="360"/>
        <w:rPr>
          <w:sz w:val="22"/>
        </w:rPr>
      </w:pPr>
      <w:r w:rsidRPr="00EA706D">
        <w:rPr>
          <w:color w:val="000000"/>
          <w:sz w:val="22"/>
        </w:rPr>
        <w:t>Lu, J.  Liu, X., Wright, M.,</w:t>
      </w:r>
      <w:r w:rsidRPr="009D3597">
        <w:rPr>
          <w:color w:val="000000"/>
          <w:sz w:val="22"/>
        </w:rPr>
        <w:t xml:space="preserve"> </w:t>
      </w:r>
      <w:r w:rsidR="00364224">
        <w:rPr>
          <w:color w:val="000000"/>
          <w:sz w:val="22"/>
        </w:rPr>
        <w:t xml:space="preserve">&amp; </w:t>
      </w:r>
      <w:r w:rsidR="00CA691D">
        <w:rPr>
          <w:color w:val="000000"/>
          <w:sz w:val="22"/>
        </w:rPr>
        <w:t>Filatotchev, I. 2014</w:t>
      </w:r>
      <w:r w:rsidR="00CA691D">
        <w:rPr>
          <w:rFonts w:eastAsiaTheme="minorEastAsia" w:hint="eastAsia"/>
          <w:color w:val="000000"/>
          <w:sz w:val="22"/>
          <w:lang w:eastAsia="zh-CN"/>
        </w:rPr>
        <w:t>.</w:t>
      </w:r>
      <w:r w:rsidRPr="00EA706D">
        <w:rPr>
          <w:color w:val="000000"/>
          <w:sz w:val="22"/>
        </w:rPr>
        <w:t xml:space="preserve"> International experience and FDI location choices of Chinese firms: The moderating effects of home country government support and host country institutions</w:t>
      </w:r>
      <w:r w:rsidR="00554F58">
        <w:rPr>
          <w:color w:val="000000"/>
          <w:sz w:val="22"/>
        </w:rPr>
        <w:t>.</w:t>
      </w:r>
      <w:r w:rsidRPr="00EA706D">
        <w:rPr>
          <w:color w:val="000000"/>
          <w:sz w:val="22"/>
        </w:rPr>
        <w:t xml:space="preserve"> </w:t>
      </w:r>
      <w:r w:rsidRPr="00EA706D">
        <w:rPr>
          <w:i/>
          <w:color w:val="000000"/>
          <w:sz w:val="22"/>
          <w:lang w:val="en-AU"/>
        </w:rPr>
        <w:t>Journal of International Business Studies</w:t>
      </w:r>
      <w:r w:rsidR="00554F58">
        <w:rPr>
          <w:i/>
          <w:color w:val="000000"/>
          <w:sz w:val="22"/>
          <w:lang w:val="en-AU"/>
        </w:rPr>
        <w:t>,</w:t>
      </w:r>
      <w:r w:rsidRPr="00EA706D">
        <w:rPr>
          <w:color w:val="000000"/>
          <w:sz w:val="22"/>
          <w:lang w:val="en-AU"/>
        </w:rPr>
        <w:t xml:space="preserve"> 45, 428-4</w:t>
      </w:r>
      <w:r w:rsidRPr="009D3597">
        <w:rPr>
          <w:color w:val="000000"/>
          <w:sz w:val="22"/>
          <w:lang w:val="en-AU"/>
        </w:rPr>
        <w:t>9</w:t>
      </w:r>
      <w:r w:rsidR="009D3597">
        <w:rPr>
          <w:color w:val="000000"/>
          <w:sz w:val="22"/>
          <w:lang w:val="en-AU"/>
        </w:rPr>
        <w:t>.</w:t>
      </w:r>
    </w:p>
    <w:p w14:paraId="62238889" w14:textId="2FC1A09B" w:rsidR="00FF589A" w:rsidRDefault="00FF589A" w:rsidP="005F2D8B">
      <w:pPr>
        <w:widowControl w:val="0"/>
        <w:spacing w:after="120"/>
        <w:ind w:left="360" w:hanging="360"/>
        <w:rPr>
          <w:noProof/>
          <w:sz w:val="22"/>
          <w:szCs w:val="22"/>
          <w:lang w:val="en-AU"/>
        </w:rPr>
      </w:pPr>
      <w:bookmarkStart w:id="3" w:name="_ENREF_49"/>
      <w:r w:rsidRPr="006F16B8">
        <w:rPr>
          <w:noProof/>
          <w:sz w:val="22"/>
          <w:szCs w:val="22"/>
          <w:lang w:val="en-AU"/>
        </w:rPr>
        <w:t>Luo Y</w:t>
      </w:r>
      <w:r w:rsidR="00554F58">
        <w:rPr>
          <w:noProof/>
          <w:sz w:val="22"/>
          <w:szCs w:val="22"/>
          <w:lang w:val="en-AU"/>
        </w:rPr>
        <w:t>.</w:t>
      </w:r>
      <w:r w:rsidRPr="006F16B8">
        <w:rPr>
          <w:noProof/>
          <w:sz w:val="22"/>
          <w:szCs w:val="22"/>
          <w:lang w:val="en-AU"/>
        </w:rPr>
        <w:t>D</w:t>
      </w:r>
      <w:r w:rsidR="00554F58">
        <w:rPr>
          <w:noProof/>
          <w:sz w:val="22"/>
          <w:szCs w:val="22"/>
          <w:lang w:val="en-AU"/>
        </w:rPr>
        <w:t>.</w:t>
      </w:r>
      <w:r w:rsidR="00106EB5" w:rsidRPr="006F16B8">
        <w:rPr>
          <w:noProof/>
          <w:sz w:val="22"/>
          <w:szCs w:val="22"/>
          <w:lang w:val="en-AU"/>
        </w:rPr>
        <w:t>,</w:t>
      </w:r>
      <w:r w:rsidR="0020477F" w:rsidRPr="006F16B8">
        <w:rPr>
          <w:noProof/>
          <w:sz w:val="22"/>
          <w:szCs w:val="22"/>
          <w:lang w:val="en-AU"/>
        </w:rPr>
        <w:t xml:space="preserve"> </w:t>
      </w:r>
      <w:r w:rsidR="00364224">
        <w:rPr>
          <w:noProof/>
          <w:sz w:val="22"/>
          <w:szCs w:val="22"/>
          <w:lang w:val="en-AU"/>
        </w:rPr>
        <w:t xml:space="preserve">&amp; </w:t>
      </w:r>
      <w:r w:rsidRPr="006F16B8">
        <w:rPr>
          <w:noProof/>
          <w:sz w:val="22"/>
          <w:szCs w:val="22"/>
          <w:lang w:val="en-AU"/>
        </w:rPr>
        <w:t xml:space="preserve">Tung RL. 2007. International expansion of emerging market enterprises: A springboard perspective. </w:t>
      </w:r>
      <w:r w:rsidRPr="006F16B8">
        <w:rPr>
          <w:i/>
          <w:noProof/>
          <w:sz w:val="22"/>
          <w:szCs w:val="22"/>
          <w:lang w:val="en-AU"/>
        </w:rPr>
        <w:t>Journal of International Business Studies</w:t>
      </w:r>
      <w:r w:rsidR="00554F58">
        <w:rPr>
          <w:i/>
          <w:noProof/>
          <w:sz w:val="22"/>
          <w:szCs w:val="22"/>
          <w:lang w:val="en-AU"/>
        </w:rPr>
        <w:t>,</w:t>
      </w:r>
      <w:r w:rsidRPr="006F16B8">
        <w:rPr>
          <w:noProof/>
          <w:sz w:val="22"/>
          <w:szCs w:val="22"/>
          <w:lang w:val="en-AU"/>
        </w:rPr>
        <w:t xml:space="preserve"> 38(4): 481-498.</w:t>
      </w:r>
      <w:bookmarkEnd w:id="3"/>
    </w:p>
    <w:p w14:paraId="0839D24E" w14:textId="519B3896" w:rsidR="00D76364" w:rsidRPr="006F16B8" w:rsidRDefault="00D76364" w:rsidP="005F2D8B">
      <w:pPr>
        <w:widowControl w:val="0"/>
        <w:spacing w:after="120"/>
        <w:ind w:left="360" w:hanging="360"/>
        <w:rPr>
          <w:noProof/>
          <w:sz w:val="22"/>
          <w:szCs w:val="22"/>
          <w:lang w:val="en-AU"/>
        </w:rPr>
      </w:pPr>
      <w:r>
        <w:rPr>
          <w:noProof/>
          <w:sz w:val="22"/>
          <w:szCs w:val="22"/>
          <w:lang w:val="en-AU"/>
        </w:rPr>
        <w:t>Luo Y</w:t>
      </w:r>
      <w:r w:rsidR="006B3149">
        <w:rPr>
          <w:noProof/>
          <w:sz w:val="22"/>
          <w:szCs w:val="22"/>
          <w:lang w:val="en-AU"/>
        </w:rPr>
        <w:t>.</w:t>
      </w:r>
      <w:r>
        <w:rPr>
          <w:noProof/>
          <w:sz w:val="22"/>
          <w:szCs w:val="22"/>
          <w:lang w:val="en-AU"/>
        </w:rPr>
        <w:t>D</w:t>
      </w:r>
      <w:r w:rsidR="006B3149">
        <w:rPr>
          <w:noProof/>
          <w:sz w:val="22"/>
          <w:szCs w:val="22"/>
          <w:lang w:val="en-AU"/>
        </w:rPr>
        <w:t>.</w:t>
      </w:r>
      <w:r>
        <w:rPr>
          <w:noProof/>
          <w:sz w:val="22"/>
          <w:szCs w:val="22"/>
          <w:lang w:val="en-AU"/>
        </w:rPr>
        <w:t xml:space="preserve">, </w:t>
      </w:r>
      <w:r w:rsidR="00364224">
        <w:rPr>
          <w:noProof/>
          <w:sz w:val="22"/>
          <w:szCs w:val="22"/>
          <w:lang w:val="en-AU"/>
        </w:rPr>
        <w:t xml:space="preserve">&amp; </w:t>
      </w:r>
      <w:r>
        <w:rPr>
          <w:noProof/>
          <w:sz w:val="22"/>
          <w:szCs w:val="22"/>
          <w:lang w:val="en-AU"/>
        </w:rPr>
        <w:t xml:space="preserve">Wang </w:t>
      </w:r>
      <w:r w:rsidR="0092395B">
        <w:rPr>
          <w:noProof/>
          <w:sz w:val="22"/>
          <w:szCs w:val="22"/>
          <w:lang w:val="en-AU"/>
        </w:rPr>
        <w:t>S</w:t>
      </w:r>
      <w:r w:rsidR="006B3149">
        <w:rPr>
          <w:noProof/>
          <w:sz w:val="22"/>
          <w:szCs w:val="22"/>
          <w:lang w:val="en-AU"/>
        </w:rPr>
        <w:t>.</w:t>
      </w:r>
      <w:r w:rsidR="0092395B">
        <w:rPr>
          <w:noProof/>
          <w:sz w:val="22"/>
          <w:szCs w:val="22"/>
          <w:lang w:val="en-AU"/>
        </w:rPr>
        <w:t xml:space="preserve">L. </w:t>
      </w:r>
      <w:r>
        <w:rPr>
          <w:noProof/>
          <w:sz w:val="22"/>
          <w:szCs w:val="22"/>
          <w:lang w:val="en-AU"/>
        </w:rPr>
        <w:t>2012</w:t>
      </w:r>
      <w:r w:rsidR="0092395B">
        <w:rPr>
          <w:noProof/>
          <w:sz w:val="22"/>
          <w:szCs w:val="22"/>
          <w:lang w:val="en-AU"/>
        </w:rPr>
        <w:t xml:space="preserve">. </w:t>
      </w:r>
      <w:r w:rsidR="0092395B" w:rsidRPr="0092395B">
        <w:rPr>
          <w:noProof/>
          <w:sz w:val="22"/>
          <w:szCs w:val="22"/>
          <w:lang w:val="en-AU"/>
        </w:rPr>
        <w:t>Foreign direct investment strategies by developing country multinationals: A diagnostic model for home country effects</w:t>
      </w:r>
      <w:r w:rsidR="00554F58">
        <w:rPr>
          <w:noProof/>
          <w:sz w:val="22"/>
          <w:szCs w:val="22"/>
          <w:lang w:val="en-AU"/>
        </w:rPr>
        <w:t>.</w:t>
      </w:r>
      <w:r w:rsidR="0092395B">
        <w:rPr>
          <w:noProof/>
          <w:sz w:val="22"/>
          <w:szCs w:val="22"/>
          <w:lang w:val="en-AU"/>
        </w:rPr>
        <w:t xml:space="preserve"> </w:t>
      </w:r>
      <w:r w:rsidR="0092395B" w:rsidRPr="0092395B">
        <w:rPr>
          <w:i/>
          <w:noProof/>
          <w:sz w:val="22"/>
          <w:szCs w:val="22"/>
          <w:lang w:val="en-AU"/>
        </w:rPr>
        <w:t>Global Strategy Journal</w:t>
      </w:r>
      <w:r w:rsidR="00554F58">
        <w:rPr>
          <w:noProof/>
          <w:sz w:val="22"/>
          <w:szCs w:val="22"/>
          <w:lang w:val="en-AU"/>
        </w:rPr>
        <w:t xml:space="preserve">, </w:t>
      </w:r>
      <w:r w:rsidR="0092395B" w:rsidRPr="006F16B8">
        <w:rPr>
          <w:noProof/>
          <w:sz w:val="22"/>
          <w:szCs w:val="22"/>
          <w:lang w:val="en-AU"/>
        </w:rPr>
        <w:t>2(</w:t>
      </w:r>
      <w:r w:rsidR="009D3597">
        <w:rPr>
          <w:noProof/>
          <w:sz w:val="22"/>
          <w:szCs w:val="22"/>
          <w:lang w:val="en-AU"/>
        </w:rPr>
        <w:t>3</w:t>
      </w:r>
      <w:r w:rsidR="0092395B" w:rsidRPr="006F16B8">
        <w:rPr>
          <w:noProof/>
          <w:sz w:val="22"/>
          <w:szCs w:val="22"/>
          <w:lang w:val="en-AU"/>
        </w:rPr>
        <w:t>)</w:t>
      </w:r>
      <w:r w:rsidR="009D3597">
        <w:rPr>
          <w:noProof/>
          <w:sz w:val="22"/>
          <w:szCs w:val="22"/>
          <w:lang w:val="en-AU"/>
        </w:rPr>
        <w:t>:</w:t>
      </w:r>
      <w:r w:rsidR="006B3149">
        <w:rPr>
          <w:noProof/>
          <w:sz w:val="22"/>
          <w:szCs w:val="22"/>
          <w:lang w:val="en-AU"/>
        </w:rPr>
        <w:t xml:space="preserve"> </w:t>
      </w:r>
      <w:r w:rsidR="009D3597">
        <w:rPr>
          <w:noProof/>
          <w:sz w:val="22"/>
          <w:szCs w:val="22"/>
          <w:lang w:val="en-AU"/>
        </w:rPr>
        <w:t>244-261</w:t>
      </w:r>
    </w:p>
    <w:p w14:paraId="1D449981" w14:textId="100E69C8" w:rsidR="00E11424" w:rsidRDefault="00E11424" w:rsidP="005F2D8B">
      <w:pPr>
        <w:widowControl w:val="0"/>
        <w:spacing w:after="120" w:line="276" w:lineRule="auto"/>
        <w:ind w:left="360" w:hanging="360"/>
        <w:rPr>
          <w:noProof/>
          <w:sz w:val="22"/>
          <w:szCs w:val="22"/>
          <w:lang w:val="en-AU"/>
        </w:rPr>
      </w:pPr>
      <w:r w:rsidRPr="00E11424">
        <w:rPr>
          <w:noProof/>
          <w:sz w:val="22"/>
          <w:szCs w:val="22"/>
          <w:lang w:val="en-AU"/>
        </w:rPr>
        <w:t xml:space="preserve">Luo, Y.D. &amp; Zhang, H. 2016. Emerging Market MNEs: Qualitative Review and Theoretical Directions, </w:t>
      </w:r>
      <w:r w:rsidRPr="00E11424">
        <w:rPr>
          <w:i/>
          <w:noProof/>
          <w:sz w:val="22"/>
          <w:szCs w:val="22"/>
          <w:lang w:val="en-AU"/>
        </w:rPr>
        <w:t>Journal of Interantional Management</w:t>
      </w:r>
      <w:r w:rsidRPr="00E11424">
        <w:rPr>
          <w:noProof/>
          <w:sz w:val="22"/>
          <w:szCs w:val="22"/>
          <w:lang w:val="en-AU"/>
        </w:rPr>
        <w:t xml:space="preserve">, </w:t>
      </w:r>
      <w:r w:rsidR="00702925">
        <w:rPr>
          <w:noProof/>
          <w:sz w:val="22"/>
          <w:szCs w:val="22"/>
          <w:lang w:val="en-AU"/>
        </w:rPr>
        <w:t>22(4): 333-350.</w:t>
      </w:r>
    </w:p>
    <w:p w14:paraId="6457FFAC" w14:textId="74A44441" w:rsidR="00675BC2" w:rsidRPr="006F16B8" w:rsidRDefault="00A01B1A" w:rsidP="005F2D8B">
      <w:pPr>
        <w:widowControl w:val="0"/>
        <w:spacing w:after="120" w:line="276" w:lineRule="auto"/>
        <w:ind w:left="360" w:hanging="360"/>
        <w:rPr>
          <w:noProof/>
          <w:sz w:val="22"/>
          <w:szCs w:val="22"/>
          <w:lang w:val="en-AU"/>
        </w:rPr>
      </w:pPr>
      <w:r w:rsidRPr="006F16B8">
        <w:rPr>
          <w:noProof/>
          <w:sz w:val="22"/>
          <w:szCs w:val="22"/>
          <w:lang w:val="en-AU"/>
        </w:rPr>
        <w:t>Madhok</w:t>
      </w:r>
      <w:r w:rsidR="002E4D9F">
        <w:rPr>
          <w:noProof/>
          <w:sz w:val="22"/>
          <w:szCs w:val="22"/>
          <w:lang w:val="en-AU"/>
        </w:rPr>
        <w:t>,</w:t>
      </w:r>
      <w:r w:rsidRPr="006F16B8">
        <w:rPr>
          <w:noProof/>
          <w:sz w:val="22"/>
          <w:szCs w:val="22"/>
          <w:lang w:val="en-AU"/>
        </w:rPr>
        <w:t xml:space="preserve"> A</w:t>
      </w:r>
      <w:r w:rsidR="002E4D9F">
        <w:rPr>
          <w:noProof/>
          <w:sz w:val="22"/>
          <w:szCs w:val="22"/>
          <w:lang w:val="en-AU"/>
        </w:rPr>
        <w:t>.</w:t>
      </w:r>
      <w:r w:rsidR="00A52189" w:rsidRPr="006F16B8">
        <w:rPr>
          <w:noProof/>
          <w:sz w:val="22"/>
          <w:szCs w:val="22"/>
          <w:lang w:val="en-AU"/>
        </w:rPr>
        <w:t xml:space="preserve">, </w:t>
      </w:r>
      <w:r w:rsidR="00364224">
        <w:rPr>
          <w:noProof/>
          <w:sz w:val="22"/>
          <w:szCs w:val="22"/>
          <w:lang w:val="en-AU"/>
        </w:rPr>
        <w:t xml:space="preserve">&amp; </w:t>
      </w:r>
      <w:r w:rsidRPr="006F16B8">
        <w:rPr>
          <w:noProof/>
          <w:sz w:val="22"/>
          <w:szCs w:val="22"/>
          <w:lang w:val="en-AU"/>
        </w:rPr>
        <w:t>Keyhani</w:t>
      </w:r>
      <w:r w:rsidR="002E4D9F">
        <w:rPr>
          <w:noProof/>
          <w:sz w:val="22"/>
          <w:szCs w:val="22"/>
          <w:lang w:val="en-AU"/>
        </w:rPr>
        <w:t>,</w:t>
      </w:r>
      <w:r w:rsidRPr="006F16B8">
        <w:rPr>
          <w:noProof/>
          <w:sz w:val="22"/>
          <w:szCs w:val="22"/>
          <w:lang w:val="en-AU"/>
        </w:rPr>
        <w:t xml:space="preserve"> M. 2012. Acquisitions as entrepreneurship: Asymmetries, opportunities and the internationalization of multinationals from emerging economies</w:t>
      </w:r>
      <w:r w:rsidR="009C6BB2">
        <w:rPr>
          <w:noProof/>
          <w:sz w:val="22"/>
          <w:szCs w:val="22"/>
          <w:lang w:val="en-AU"/>
        </w:rPr>
        <w:t>.</w:t>
      </w:r>
      <w:r w:rsidR="002E4D9F">
        <w:rPr>
          <w:noProof/>
          <w:sz w:val="22"/>
          <w:szCs w:val="22"/>
          <w:lang w:val="en-AU"/>
        </w:rPr>
        <w:t xml:space="preserve"> </w:t>
      </w:r>
      <w:r w:rsidRPr="006F16B8">
        <w:rPr>
          <w:i/>
          <w:noProof/>
          <w:sz w:val="22"/>
          <w:szCs w:val="22"/>
          <w:lang w:val="en-AU"/>
        </w:rPr>
        <w:t>Global Strategy Journal</w:t>
      </w:r>
      <w:r w:rsidR="00554F58">
        <w:rPr>
          <w:i/>
          <w:noProof/>
          <w:sz w:val="22"/>
          <w:szCs w:val="22"/>
          <w:lang w:val="en-AU"/>
        </w:rPr>
        <w:t>,</w:t>
      </w:r>
      <w:r w:rsidRPr="006F16B8">
        <w:rPr>
          <w:i/>
          <w:noProof/>
          <w:sz w:val="22"/>
          <w:szCs w:val="22"/>
          <w:lang w:val="en-AU"/>
        </w:rPr>
        <w:t xml:space="preserve"> </w:t>
      </w:r>
      <w:r w:rsidRPr="006F16B8">
        <w:rPr>
          <w:noProof/>
          <w:sz w:val="22"/>
          <w:szCs w:val="22"/>
          <w:lang w:val="en-AU"/>
        </w:rPr>
        <w:t xml:space="preserve">2(1): 26-40. </w:t>
      </w:r>
    </w:p>
    <w:p w14:paraId="0FAE4D3A" w14:textId="77777777" w:rsidR="00321D03" w:rsidRDefault="00321D03" w:rsidP="005F2D8B">
      <w:pPr>
        <w:spacing w:after="120"/>
        <w:ind w:left="360" w:hanging="360"/>
        <w:jc w:val="both"/>
        <w:rPr>
          <w:sz w:val="22"/>
          <w:szCs w:val="22"/>
        </w:rPr>
      </w:pPr>
      <w:r w:rsidRPr="00321D03">
        <w:rPr>
          <w:sz w:val="22"/>
          <w:szCs w:val="22"/>
        </w:rPr>
        <w:t xml:space="preserve">Manolova, T. S., Manev, I. M., &amp; Gyoshev, B. S. (2010). In good company: The role of personal and inter-firm networks for new-venture internationalization in a transition economy. </w:t>
      </w:r>
      <w:r w:rsidRPr="00665D27">
        <w:rPr>
          <w:i/>
          <w:sz w:val="22"/>
          <w:szCs w:val="22"/>
        </w:rPr>
        <w:t>Journal of World Business</w:t>
      </w:r>
      <w:r w:rsidRPr="00321D03">
        <w:rPr>
          <w:sz w:val="22"/>
          <w:szCs w:val="22"/>
        </w:rPr>
        <w:t>, 45(3), 257–265.</w:t>
      </w:r>
    </w:p>
    <w:p w14:paraId="5D487B92" w14:textId="2CD574C6" w:rsidR="00612ED4" w:rsidRPr="00DD3F56" w:rsidRDefault="00612ED4" w:rsidP="005F2D8B">
      <w:pPr>
        <w:spacing w:after="120"/>
        <w:ind w:left="360" w:hanging="360"/>
        <w:jc w:val="both"/>
        <w:rPr>
          <w:sz w:val="22"/>
          <w:szCs w:val="22"/>
        </w:rPr>
      </w:pPr>
      <w:r w:rsidRPr="006F16B8">
        <w:rPr>
          <w:sz w:val="22"/>
          <w:szCs w:val="22"/>
        </w:rPr>
        <w:t>Mathews</w:t>
      </w:r>
      <w:r w:rsidR="00B72154">
        <w:rPr>
          <w:sz w:val="22"/>
          <w:szCs w:val="22"/>
        </w:rPr>
        <w:t>,</w:t>
      </w:r>
      <w:r w:rsidRPr="006F16B8">
        <w:rPr>
          <w:sz w:val="22"/>
          <w:szCs w:val="22"/>
        </w:rPr>
        <w:t xml:space="preserve"> J</w:t>
      </w:r>
      <w:r w:rsidR="002E4D9F">
        <w:rPr>
          <w:sz w:val="22"/>
          <w:szCs w:val="22"/>
        </w:rPr>
        <w:t>.</w:t>
      </w:r>
      <w:r w:rsidRPr="006F16B8">
        <w:rPr>
          <w:sz w:val="22"/>
          <w:szCs w:val="22"/>
        </w:rPr>
        <w:t xml:space="preserve">A. 2006. Dragon multinationals: New players in 21st century globalization. </w:t>
      </w:r>
      <w:r w:rsidRPr="006F16B8">
        <w:rPr>
          <w:bCs/>
          <w:i/>
          <w:iCs/>
          <w:sz w:val="22"/>
          <w:szCs w:val="22"/>
        </w:rPr>
        <w:t xml:space="preserve">Asia </w:t>
      </w:r>
      <w:r w:rsidRPr="00DD3F56">
        <w:rPr>
          <w:bCs/>
          <w:i/>
          <w:iCs/>
          <w:sz w:val="22"/>
          <w:szCs w:val="22"/>
        </w:rPr>
        <w:t>Pacific Journal of Management</w:t>
      </w:r>
      <w:r w:rsidR="00554F58">
        <w:rPr>
          <w:bCs/>
          <w:i/>
          <w:iCs/>
          <w:sz w:val="22"/>
          <w:szCs w:val="22"/>
        </w:rPr>
        <w:t>,</w:t>
      </w:r>
      <w:r w:rsidRPr="00DD3F56">
        <w:rPr>
          <w:sz w:val="22"/>
          <w:szCs w:val="22"/>
        </w:rPr>
        <w:t xml:space="preserve"> 23</w:t>
      </w:r>
      <w:r w:rsidR="002E4D9F">
        <w:rPr>
          <w:sz w:val="22"/>
          <w:szCs w:val="22"/>
        </w:rPr>
        <w:t>(1)</w:t>
      </w:r>
      <w:r w:rsidRPr="00DD3F56">
        <w:rPr>
          <w:sz w:val="22"/>
          <w:szCs w:val="22"/>
        </w:rPr>
        <w:t xml:space="preserve">: 5-27. </w:t>
      </w:r>
    </w:p>
    <w:p w14:paraId="40B98A66" w14:textId="49CED498" w:rsidR="00A52189" w:rsidRPr="00DD3F56" w:rsidRDefault="00A52189" w:rsidP="005F2D8B">
      <w:pPr>
        <w:spacing w:after="120"/>
        <w:ind w:left="360" w:hanging="360"/>
        <w:jc w:val="both"/>
        <w:rPr>
          <w:sz w:val="22"/>
          <w:szCs w:val="22"/>
        </w:rPr>
      </w:pPr>
      <w:r w:rsidRPr="00DD3F56">
        <w:rPr>
          <w:sz w:val="22"/>
          <w:szCs w:val="22"/>
        </w:rPr>
        <w:lastRenderedPageBreak/>
        <w:t>Mayer</w:t>
      </w:r>
      <w:r w:rsidR="00B72154">
        <w:rPr>
          <w:sz w:val="22"/>
          <w:szCs w:val="22"/>
        </w:rPr>
        <w:t>,</w:t>
      </w:r>
      <w:r w:rsidRPr="00DD3F56">
        <w:rPr>
          <w:sz w:val="22"/>
          <w:szCs w:val="22"/>
        </w:rPr>
        <w:t xml:space="preserve"> T</w:t>
      </w:r>
      <w:r w:rsidR="002E4D9F">
        <w:rPr>
          <w:sz w:val="22"/>
          <w:szCs w:val="22"/>
        </w:rPr>
        <w:t>.</w:t>
      </w:r>
      <w:r w:rsidRPr="00DD3F56">
        <w:rPr>
          <w:sz w:val="22"/>
          <w:szCs w:val="22"/>
        </w:rPr>
        <w:t xml:space="preserve">, </w:t>
      </w:r>
      <w:r w:rsidR="002E4D9F">
        <w:rPr>
          <w:sz w:val="22"/>
          <w:szCs w:val="22"/>
        </w:rPr>
        <w:t xml:space="preserve">&amp; </w:t>
      </w:r>
      <w:r w:rsidRPr="00DD3F56">
        <w:rPr>
          <w:sz w:val="22"/>
          <w:szCs w:val="22"/>
        </w:rPr>
        <w:t>Zignago</w:t>
      </w:r>
      <w:r w:rsidR="002E4D9F">
        <w:rPr>
          <w:sz w:val="22"/>
          <w:szCs w:val="22"/>
        </w:rPr>
        <w:t>,</w:t>
      </w:r>
      <w:r w:rsidRPr="00DD3F56">
        <w:rPr>
          <w:sz w:val="22"/>
          <w:szCs w:val="22"/>
        </w:rPr>
        <w:t xml:space="preserve"> S. 2011. Notes on CEPII’s distances measures</w:t>
      </w:r>
      <w:r w:rsidR="004D0A39">
        <w:rPr>
          <w:sz w:val="22"/>
          <w:szCs w:val="22"/>
        </w:rPr>
        <w:t xml:space="preserve">: The GeoDist Database, </w:t>
      </w:r>
      <w:r w:rsidRPr="00DD3F56">
        <w:rPr>
          <w:sz w:val="22"/>
          <w:szCs w:val="22"/>
        </w:rPr>
        <w:t xml:space="preserve"> CEPII Working Paper 2011-25 (accessed at:</w:t>
      </w:r>
      <w:r w:rsidRPr="00DD3F56">
        <w:t xml:space="preserve"> </w:t>
      </w:r>
      <w:r w:rsidR="004D0A39" w:rsidRPr="004D0A39">
        <w:rPr>
          <w:sz w:val="22"/>
          <w:szCs w:val="22"/>
        </w:rPr>
        <w:t>https://papers.ssrn.com/sol3/papers.cfm?abstract_id=1994531</w:t>
      </w:r>
      <w:r w:rsidRPr="00DD3F56">
        <w:rPr>
          <w:sz w:val="22"/>
          <w:szCs w:val="22"/>
        </w:rPr>
        <w:t xml:space="preserve">). </w:t>
      </w:r>
    </w:p>
    <w:p w14:paraId="68B17B21" w14:textId="33E492AB" w:rsidR="00E90A30" w:rsidRDefault="00F9132B" w:rsidP="00E90A30">
      <w:pPr>
        <w:spacing w:after="120"/>
        <w:ind w:left="360" w:hanging="360"/>
        <w:jc w:val="both"/>
        <w:rPr>
          <w:sz w:val="22"/>
          <w:szCs w:val="22"/>
        </w:rPr>
      </w:pPr>
      <w:r w:rsidRPr="00C10448">
        <w:rPr>
          <w:sz w:val="22"/>
          <w:szCs w:val="22"/>
        </w:rPr>
        <w:t xml:space="preserve">McFadden, D. 1984. Econometric analysis of qualitative response models. In: Griliches, Z., Intriligator, M.D. (Eds.), </w:t>
      </w:r>
      <w:r w:rsidRPr="00C60FB4">
        <w:rPr>
          <w:i/>
          <w:sz w:val="22"/>
          <w:szCs w:val="22"/>
        </w:rPr>
        <w:t>Handbook of Econometrics</w:t>
      </w:r>
      <w:r w:rsidRPr="00C10448">
        <w:rPr>
          <w:sz w:val="22"/>
          <w:szCs w:val="22"/>
        </w:rPr>
        <w:t>, Vol. 2. Elsevier/North-Holland, Amsterdam.</w:t>
      </w:r>
    </w:p>
    <w:p w14:paraId="33970CBD" w14:textId="61893B36" w:rsidR="00234263" w:rsidRDefault="00234263" w:rsidP="00E90A30">
      <w:pPr>
        <w:spacing w:after="120"/>
        <w:ind w:left="360" w:hanging="360"/>
        <w:jc w:val="both"/>
        <w:rPr>
          <w:rFonts w:ascii="cmr10" w:eastAsia="SimSun" w:hAnsi="cmr10" w:cs="cmr10"/>
          <w:sz w:val="22"/>
          <w:szCs w:val="22"/>
          <w:lang w:val="en-GB" w:eastAsia="en-GB"/>
        </w:rPr>
      </w:pPr>
      <w:r>
        <w:rPr>
          <w:sz w:val="22"/>
          <w:szCs w:val="22"/>
        </w:rPr>
        <w:t xml:space="preserve">McFadden, D. &amp; Train. K. 2000. </w:t>
      </w:r>
      <w:r w:rsidRPr="00234263">
        <w:rPr>
          <w:sz w:val="22"/>
          <w:szCs w:val="22"/>
        </w:rPr>
        <w:t xml:space="preserve">Mixed </w:t>
      </w:r>
      <w:r>
        <w:rPr>
          <w:sz w:val="22"/>
          <w:szCs w:val="22"/>
        </w:rPr>
        <w:t>MNL</w:t>
      </w:r>
      <w:r w:rsidRPr="00234263">
        <w:rPr>
          <w:sz w:val="22"/>
          <w:szCs w:val="22"/>
        </w:rPr>
        <w:t xml:space="preserve"> models of discrete</w:t>
      </w:r>
      <w:r>
        <w:rPr>
          <w:sz w:val="22"/>
          <w:szCs w:val="22"/>
        </w:rPr>
        <w:t xml:space="preserve"> </w:t>
      </w:r>
      <w:r w:rsidRPr="00234263">
        <w:rPr>
          <w:sz w:val="22"/>
          <w:szCs w:val="22"/>
        </w:rPr>
        <w:t>response</w:t>
      </w:r>
      <w:r>
        <w:rPr>
          <w:sz w:val="22"/>
          <w:szCs w:val="22"/>
        </w:rPr>
        <w:t>.</w:t>
      </w:r>
      <w:r w:rsidRPr="00234263">
        <w:rPr>
          <w:sz w:val="22"/>
          <w:szCs w:val="22"/>
        </w:rPr>
        <w:t xml:space="preserve"> </w:t>
      </w:r>
      <w:r w:rsidRPr="00234263">
        <w:rPr>
          <w:i/>
          <w:sz w:val="22"/>
          <w:szCs w:val="22"/>
        </w:rPr>
        <w:t>Journal of Applied Econometrics</w:t>
      </w:r>
      <w:r w:rsidRPr="00234263">
        <w:rPr>
          <w:sz w:val="22"/>
          <w:szCs w:val="22"/>
        </w:rPr>
        <w:t xml:space="preserve"> 15, 447–470</w:t>
      </w:r>
      <w:r>
        <w:rPr>
          <w:rFonts w:ascii="cmr10" w:eastAsia="SimSun" w:hAnsi="cmr10" w:cs="cmr10"/>
          <w:sz w:val="22"/>
          <w:szCs w:val="22"/>
          <w:lang w:val="en-GB" w:eastAsia="en-GB"/>
        </w:rPr>
        <w:t>.</w:t>
      </w:r>
    </w:p>
    <w:p w14:paraId="129A6489" w14:textId="0EC4D4BB" w:rsidR="00E839B2" w:rsidRPr="006F16B8" w:rsidRDefault="00E839B2" w:rsidP="005F2D8B">
      <w:pPr>
        <w:spacing w:after="120"/>
        <w:ind w:left="360" w:hanging="360"/>
        <w:outlineLvl w:val="0"/>
        <w:rPr>
          <w:sz w:val="22"/>
          <w:szCs w:val="22"/>
        </w:rPr>
      </w:pPr>
      <w:r w:rsidRPr="006F16B8">
        <w:rPr>
          <w:sz w:val="22"/>
          <w:szCs w:val="22"/>
        </w:rPr>
        <w:t>Meyer</w:t>
      </w:r>
      <w:r w:rsidR="00B72154">
        <w:rPr>
          <w:sz w:val="22"/>
          <w:szCs w:val="22"/>
        </w:rPr>
        <w:t>,</w:t>
      </w:r>
      <w:r w:rsidRPr="006F16B8">
        <w:rPr>
          <w:sz w:val="22"/>
          <w:szCs w:val="22"/>
        </w:rPr>
        <w:t xml:space="preserve"> K</w:t>
      </w:r>
      <w:r w:rsidR="00B72154">
        <w:rPr>
          <w:sz w:val="22"/>
          <w:szCs w:val="22"/>
        </w:rPr>
        <w:t>.</w:t>
      </w:r>
      <w:r w:rsidRPr="006F16B8">
        <w:rPr>
          <w:sz w:val="22"/>
          <w:szCs w:val="22"/>
        </w:rPr>
        <w:t>E</w:t>
      </w:r>
      <w:r w:rsidR="00B72154">
        <w:rPr>
          <w:sz w:val="22"/>
          <w:szCs w:val="22"/>
        </w:rPr>
        <w:t>.</w:t>
      </w:r>
      <w:r w:rsidRPr="006F16B8">
        <w:rPr>
          <w:sz w:val="22"/>
          <w:szCs w:val="22"/>
        </w:rPr>
        <w:t>, Estrin</w:t>
      </w:r>
      <w:r w:rsidR="00B72154">
        <w:rPr>
          <w:sz w:val="22"/>
          <w:szCs w:val="22"/>
        </w:rPr>
        <w:t>,</w:t>
      </w:r>
      <w:r w:rsidRPr="006F16B8">
        <w:rPr>
          <w:sz w:val="22"/>
          <w:szCs w:val="22"/>
        </w:rPr>
        <w:t xml:space="preserve"> S</w:t>
      </w:r>
      <w:r w:rsidR="00B72154">
        <w:rPr>
          <w:sz w:val="22"/>
          <w:szCs w:val="22"/>
        </w:rPr>
        <w:t>.</w:t>
      </w:r>
      <w:r w:rsidRPr="006F16B8">
        <w:rPr>
          <w:sz w:val="22"/>
          <w:szCs w:val="22"/>
        </w:rPr>
        <w:t>, Bhaumik</w:t>
      </w:r>
      <w:r w:rsidR="00B72154">
        <w:rPr>
          <w:sz w:val="22"/>
          <w:szCs w:val="22"/>
        </w:rPr>
        <w:t>,</w:t>
      </w:r>
      <w:r w:rsidRPr="006F16B8">
        <w:rPr>
          <w:sz w:val="22"/>
          <w:szCs w:val="22"/>
        </w:rPr>
        <w:t xml:space="preserve"> S</w:t>
      </w:r>
      <w:r w:rsidR="00B72154">
        <w:rPr>
          <w:sz w:val="22"/>
          <w:szCs w:val="22"/>
        </w:rPr>
        <w:t>.</w:t>
      </w:r>
      <w:r w:rsidRPr="006F16B8">
        <w:rPr>
          <w:sz w:val="22"/>
          <w:szCs w:val="22"/>
        </w:rPr>
        <w:t>K</w:t>
      </w:r>
      <w:r w:rsidR="00B72154">
        <w:rPr>
          <w:sz w:val="22"/>
          <w:szCs w:val="22"/>
        </w:rPr>
        <w:t>.</w:t>
      </w:r>
      <w:r w:rsidR="004714B9" w:rsidRPr="006F16B8">
        <w:rPr>
          <w:sz w:val="22"/>
          <w:szCs w:val="22"/>
        </w:rPr>
        <w:t xml:space="preserve">, </w:t>
      </w:r>
      <w:r w:rsidR="00364224">
        <w:rPr>
          <w:sz w:val="22"/>
          <w:szCs w:val="22"/>
        </w:rPr>
        <w:t xml:space="preserve">&amp; </w:t>
      </w:r>
      <w:r w:rsidRPr="006F16B8">
        <w:rPr>
          <w:sz w:val="22"/>
          <w:szCs w:val="22"/>
        </w:rPr>
        <w:t>Peng</w:t>
      </w:r>
      <w:r w:rsidR="00B72154">
        <w:rPr>
          <w:sz w:val="22"/>
          <w:szCs w:val="22"/>
        </w:rPr>
        <w:t>,</w:t>
      </w:r>
      <w:r w:rsidRPr="006F16B8">
        <w:rPr>
          <w:sz w:val="22"/>
          <w:szCs w:val="22"/>
        </w:rPr>
        <w:t xml:space="preserve"> M</w:t>
      </w:r>
      <w:r w:rsidR="00B72154">
        <w:rPr>
          <w:sz w:val="22"/>
          <w:szCs w:val="22"/>
        </w:rPr>
        <w:t>.</w:t>
      </w:r>
      <w:r w:rsidRPr="006F16B8">
        <w:rPr>
          <w:sz w:val="22"/>
          <w:szCs w:val="22"/>
        </w:rPr>
        <w:t>W. 2009</w:t>
      </w:r>
      <w:r w:rsidR="003D1C78" w:rsidRPr="006F16B8">
        <w:rPr>
          <w:sz w:val="22"/>
          <w:szCs w:val="22"/>
        </w:rPr>
        <w:t>.</w:t>
      </w:r>
      <w:r w:rsidRPr="006F16B8">
        <w:rPr>
          <w:sz w:val="22"/>
          <w:szCs w:val="22"/>
        </w:rPr>
        <w:t xml:space="preserve"> Institutions, Resources, and Entry Strategies in Emerging Economies</w:t>
      </w:r>
      <w:r w:rsidR="009C6BB2">
        <w:rPr>
          <w:sz w:val="22"/>
          <w:szCs w:val="22"/>
        </w:rPr>
        <w:t>.</w:t>
      </w:r>
      <w:r w:rsidRPr="006F16B8">
        <w:rPr>
          <w:sz w:val="22"/>
          <w:szCs w:val="22"/>
        </w:rPr>
        <w:t xml:space="preserve"> </w:t>
      </w:r>
      <w:r w:rsidRPr="006F16B8">
        <w:rPr>
          <w:i/>
          <w:iCs/>
          <w:sz w:val="22"/>
          <w:szCs w:val="22"/>
        </w:rPr>
        <w:t>Strategic Management Journal</w:t>
      </w:r>
      <w:r w:rsidRPr="006F16B8">
        <w:rPr>
          <w:sz w:val="22"/>
          <w:szCs w:val="22"/>
        </w:rPr>
        <w:t xml:space="preserve"> 30(1): 61-80.</w:t>
      </w:r>
    </w:p>
    <w:p w14:paraId="1B07F241" w14:textId="24C49054" w:rsidR="00E839B2" w:rsidRDefault="00E839B2" w:rsidP="005F2D8B">
      <w:pPr>
        <w:spacing w:after="120"/>
        <w:ind w:left="360" w:hanging="360"/>
        <w:outlineLvl w:val="0"/>
        <w:rPr>
          <w:sz w:val="22"/>
          <w:szCs w:val="22"/>
        </w:rPr>
      </w:pPr>
      <w:r w:rsidRPr="006F16B8">
        <w:rPr>
          <w:sz w:val="22"/>
          <w:szCs w:val="22"/>
        </w:rPr>
        <w:t>Meyer K</w:t>
      </w:r>
      <w:r w:rsidR="00B72154">
        <w:rPr>
          <w:sz w:val="22"/>
          <w:szCs w:val="22"/>
        </w:rPr>
        <w:t>.</w:t>
      </w:r>
      <w:r w:rsidRPr="006F16B8">
        <w:rPr>
          <w:sz w:val="22"/>
          <w:szCs w:val="22"/>
        </w:rPr>
        <w:t>E</w:t>
      </w:r>
      <w:r w:rsidR="00B72154">
        <w:rPr>
          <w:sz w:val="22"/>
          <w:szCs w:val="22"/>
        </w:rPr>
        <w:t>.</w:t>
      </w:r>
      <w:r w:rsidR="0023373B" w:rsidRPr="006F16B8">
        <w:rPr>
          <w:sz w:val="22"/>
          <w:szCs w:val="22"/>
        </w:rPr>
        <w:t xml:space="preserve">, </w:t>
      </w:r>
      <w:r w:rsidR="00364224">
        <w:rPr>
          <w:sz w:val="22"/>
          <w:szCs w:val="22"/>
        </w:rPr>
        <w:t xml:space="preserve">&amp; </w:t>
      </w:r>
      <w:r w:rsidRPr="006F16B8">
        <w:rPr>
          <w:sz w:val="22"/>
          <w:szCs w:val="22"/>
        </w:rPr>
        <w:t>Thaijongrak</w:t>
      </w:r>
      <w:r w:rsidR="00B72154">
        <w:rPr>
          <w:sz w:val="22"/>
          <w:szCs w:val="22"/>
        </w:rPr>
        <w:t>,</w:t>
      </w:r>
      <w:r w:rsidRPr="006F16B8">
        <w:rPr>
          <w:sz w:val="22"/>
          <w:szCs w:val="22"/>
        </w:rPr>
        <w:t xml:space="preserve"> O. 2013. The Dynamics of Emerging Economy MNEs: How the internationalization process model can guide future research</w:t>
      </w:r>
      <w:r w:rsidR="00554F58">
        <w:rPr>
          <w:sz w:val="22"/>
          <w:szCs w:val="22"/>
        </w:rPr>
        <w:t>.</w:t>
      </w:r>
      <w:r w:rsidRPr="006F16B8">
        <w:rPr>
          <w:sz w:val="22"/>
          <w:szCs w:val="22"/>
        </w:rPr>
        <w:t xml:space="preserve"> </w:t>
      </w:r>
      <w:r w:rsidRPr="006F16B8">
        <w:rPr>
          <w:i/>
          <w:sz w:val="22"/>
          <w:szCs w:val="22"/>
        </w:rPr>
        <w:t>Asia Pacific Journal of Management</w:t>
      </w:r>
      <w:r w:rsidR="00554F58">
        <w:rPr>
          <w:i/>
          <w:sz w:val="22"/>
          <w:szCs w:val="22"/>
        </w:rPr>
        <w:t>,</w:t>
      </w:r>
      <w:r w:rsidR="00AB57B6">
        <w:rPr>
          <w:i/>
          <w:sz w:val="22"/>
          <w:szCs w:val="22"/>
        </w:rPr>
        <w:t xml:space="preserve"> </w:t>
      </w:r>
      <w:r w:rsidR="00AB57B6" w:rsidRPr="00AB57B6">
        <w:rPr>
          <w:sz w:val="22"/>
          <w:szCs w:val="22"/>
        </w:rPr>
        <w:t>30: 1125-1153</w:t>
      </w:r>
      <w:r w:rsidR="00AB57B6">
        <w:rPr>
          <w:sz w:val="22"/>
          <w:szCs w:val="22"/>
        </w:rPr>
        <w:t>.</w:t>
      </w:r>
    </w:p>
    <w:p w14:paraId="266ABE7B" w14:textId="62BAA29E" w:rsidR="00A26B05" w:rsidRDefault="00A26B05" w:rsidP="005F2D8B">
      <w:pPr>
        <w:spacing w:after="120"/>
        <w:ind w:left="360" w:hanging="360"/>
        <w:outlineLvl w:val="0"/>
        <w:rPr>
          <w:sz w:val="22"/>
          <w:szCs w:val="22"/>
        </w:rPr>
      </w:pPr>
      <w:r w:rsidRPr="00A26B05">
        <w:rPr>
          <w:sz w:val="22"/>
          <w:szCs w:val="22"/>
        </w:rPr>
        <w:t>Meyer, K</w:t>
      </w:r>
      <w:r>
        <w:rPr>
          <w:sz w:val="22"/>
          <w:szCs w:val="22"/>
        </w:rPr>
        <w:t>.</w:t>
      </w:r>
      <w:r w:rsidRPr="00A26B05">
        <w:rPr>
          <w:sz w:val="22"/>
          <w:szCs w:val="22"/>
        </w:rPr>
        <w:t>E., van Witteloostuijn, A</w:t>
      </w:r>
      <w:r>
        <w:rPr>
          <w:sz w:val="22"/>
          <w:szCs w:val="22"/>
        </w:rPr>
        <w:t>.</w:t>
      </w:r>
      <w:r w:rsidRPr="00A26B05">
        <w:rPr>
          <w:sz w:val="22"/>
          <w:szCs w:val="22"/>
        </w:rPr>
        <w:t xml:space="preserve"> </w:t>
      </w:r>
      <w:r>
        <w:rPr>
          <w:sz w:val="22"/>
          <w:szCs w:val="22"/>
        </w:rPr>
        <w:t>&amp; Beugelsdijk, S. (</w:t>
      </w:r>
      <w:r w:rsidRPr="00A26B05">
        <w:rPr>
          <w:sz w:val="22"/>
          <w:szCs w:val="22"/>
        </w:rPr>
        <w:t>2017</w:t>
      </w:r>
      <w:r>
        <w:rPr>
          <w:sz w:val="22"/>
          <w:szCs w:val="22"/>
        </w:rPr>
        <w:t>)</w:t>
      </w:r>
      <w:r w:rsidRPr="00A26B05">
        <w:rPr>
          <w:sz w:val="22"/>
          <w:szCs w:val="22"/>
        </w:rPr>
        <w:t xml:space="preserve">. What’s in a p? Reassessing </w:t>
      </w:r>
      <w:r>
        <w:rPr>
          <w:sz w:val="22"/>
          <w:szCs w:val="22"/>
        </w:rPr>
        <w:t>b</w:t>
      </w:r>
      <w:r w:rsidRPr="00A26B05">
        <w:rPr>
          <w:sz w:val="22"/>
          <w:szCs w:val="22"/>
        </w:rPr>
        <w:t xml:space="preserve">est </w:t>
      </w:r>
      <w:r>
        <w:rPr>
          <w:sz w:val="22"/>
          <w:szCs w:val="22"/>
        </w:rPr>
        <w:t>practices for c</w:t>
      </w:r>
      <w:r w:rsidRPr="00A26B05">
        <w:rPr>
          <w:sz w:val="22"/>
          <w:szCs w:val="22"/>
        </w:rPr>
        <w:t xml:space="preserve">onducting and </w:t>
      </w:r>
      <w:r>
        <w:rPr>
          <w:sz w:val="22"/>
          <w:szCs w:val="22"/>
        </w:rPr>
        <w:t>reporting h</w:t>
      </w:r>
      <w:r w:rsidRPr="00A26B05">
        <w:rPr>
          <w:sz w:val="22"/>
          <w:szCs w:val="22"/>
        </w:rPr>
        <w:t>ypothesis-</w:t>
      </w:r>
      <w:r>
        <w:rPr>
          <w:sz w:val="22"/>
          <w:szCs w:val="22"/>
        </w:rPr>
        <w:t>testing r</w:t>
      </w:r>
      <w:r w:rsidRPr="00A26B05">
        <w:rPr>
          <w:sz w:val="22"/>
          <w:szCs w:val="22"/>
        </w:rPr>
        <w:t xml:space="preserve">esearch, </w:t>
      </w:r>
      <w:r w:rsidRPr="00A26B05">
        <w:rPr>
          <w:i/>
          <w:sz w:val="22"/>
          <w:szCs w:val="22"/>
        </w:rPr>
        <w:t>Journal of International Business Studies</w:t>
      </w:r>
      <w:r w:rsidRPr="00A26B05">
        <w:rPr>
          <w:sz w:val="22"/>
          <w:szCs w:val="22"/>
        </w:rPr>
        <w:t xml:space="preserve">, 48(5), 535-551. </w:t>
      </w:r>
    </w:p>
    <w:p w14:paraId="13F3495F" w14:textId="36E265DE" w:rsidR="008C3994" w:rsidRDefault="008C3994" w:rsidP="005F2D8B">
      <w:pPr>
        <w:spacing w:after="120"/>
        <w:ind w:left="360" w:hanging="360"/>
        <w:outlineLvl w:val="0"/>
        <w:rPr>
          <w:sz w:val="22"/>
          <w:szCs w:val="22"/>
        </w:rPr>
      </w:pPr>
      <w:r w:rsidRPr="006F16B8">
        <w:rPr>
          <w:sz w:val="22"/>
          <w:szCs w:val="22"/>
        </w:rPr>
        <w:t>Meyer K</w:t>
      </w:r>
      <w:r>
        <w:rPr>
          <w:sz w:val="22"/>
          <w:szCs w:val="22"/>
        </w:rPr>
        <w:t>.</w:t>
      </w:r>
      <w:r w:rsidRPr="006F16B8">
        <w:rPr>
          <w:sz w:val="22"/>
          <w:szCs w:val="22"/>
        </w:rPr>
        <w:t>E</w:t>
      </w:r>
      <w:r>
        <w:rPr>
          <w:sz w:val="22"/>
          <w:szCs w:val="22"/>
        </w:rPr>
        <w:t>.</w:t>
      </w:r>
      <w:r w:rsidRPr="006F16B8">
        <w:rPr>
          <w:sz w:val="22"/>
          <w:szCs w:val="22"/>
        </w:rPr>
        <w:t xml:space="preserve">, </w:t>
      </w:r>
      <w:r>
        <w:rPr>
          <w:sz w:val="22"/>
          <w:szCs w:val="22"/>
        </w:rPr>
        <w:t xml:space="preserve">&amp; Xin, K.R. 2018. </w:t>
      </w:r>
      <w:r w:rsidRPr="008C3994">
        <w:rPr>
          <w:sz w:val="22"/>
          <w:szCs w:val="22"/>
        </w:rPr>
        <w:t xml:space="preserve">Managing </w:t>
      </w:r>
      <w:r>
        <w:rPr>
          <w:sz w:val="22"/>
          <w:szCs w:val="22"/>
        </w:rPr>
        <w:t>t</w:t>
      </w:r>
      <w:r w:rsidRPr="008C3994">
        <w:rPr>
          <w:sz w:val="22"/>
          <w:szCs w:val="22"/>
        </w:rPr>
        <w:t xml:space="preserve">alent in </w:t>
      </w:r>
      <w:r>
        <w:rPr>
          <w:sz w:val="22"/>
          <w:szCs w:val="22"/>
        </w:rPr>
        <w:t>e</w:t>
      </w:r>
      <w:r w:rsidRPr="008C3994">
        <w:rPr>
          <w:sz w:val="22"/>
          <w:szCs w:val="22"/>
        </w:rPr>
        <w:t xml:space="preserve">merging </w:t>
      </w:r>
      <w:r>
        <w:rPr>
          <w:sz w:val="22"/>
          <w:szCs w:val="22"/>
        </w:rPr>
        <w:t>e</w:t>
      </w:r>
      <w:r w:rsidRPr="008C3994">
        <w:rPr>
          <w:sz w:val="22"/>
          <w:szCs w:val="22"/>
        </w:rPr>
        <w:t xml:space="preserve">conomy </w:t>
      </w:r>
      <w:r>
        <w:rPr>
          <w:sz w:val="22"/>
          <w:szCs w:val="22"/>
        </w:rPr>
        <w:t>m</w:t>
      </w:r>
      <w:r w:rsidRPr="008C3994">
        <w:rPr>
          <w:sz w:val="22"/>
          <w:szCs w:val="22"/>
        </w:rPr>
        <w:t xml:space="preserve">ultinationals: Integrating </w:t>
      </w:r>
      <w:r>
        <w:rPr>
          <w:sz w:val="22"/>
          <w:szCs w:val="22"/>
        </w:rPr>
        <w:t>s</w:t>
      </w:r>
      <w:r w:rsidRPr="008C3994">
        <w:rPr>
          <w:sz w:val="22"/>
          <w:szCs w:val="22"/>
        </w:rPr>
        <w:t xml:space="preserve">trategic </w:t>
      </w:r>
      <w:r>
        <w:rPr>
          <w:sz w:val="22"/>
          <w:szCs w:val="22"/>
        </w:rPr>
        <w:t>m</w:t>
      </w:r>
      <w:r w:rsidRPr="008C3994">
        <w:rPr>
          <w:sz w:val="22"/>
          <w:szCs w:val="22"/>
        </w:rPr>
        <w:t xml:space="preserve">anagement and </w:t>
      </w:r>
      <w:r>
        <w:rPr>
          <w:sz w:val="22"/>
          <w:szCs w:val="22"/>
        </w:rPr>
        <w:t>h</w:t>
      </w:r>
      <w:r w:rsidRPr="008C3994">
        <w:rPr>
          <w:sz w:val="22"/>
          <w:szCs w:val="22"/>
        </w:rPr>
        <w:t xml:space="preserve">uman </w:t>
      </w:r>
      <w:r>
        <w:rPr>
          <w:sz w:val="22"/>
          <w:szCs w:val="22"/>
        </w:rPr>
        <w:t>r</w:t>
      </w:r>
      <w:r w:rsidRPr="008C3994">
        <w:rPr>
          <w:sz w:val="22"/>
          <w:szCs w:val="22"/>
        </w:rPr>
        <w:t xml:space="preserve">esource </w:t>
      </w:r>
      <w:r>
        <w:rPr>
          <w:sz w:val="22"/>
          <w:szCs w:val="22"/>
        </w:rPr>
        <w:t>m</w:t>
      </w:r>
      <w:r w:rsidRPr="008C3994">
        <w:rPr>
          <w:sz w:val="22"/>
          <w:szCs w:val="22"/>
        </w:rPr>
        <w:t>anagement</w:t>
      </w:r>
      <w:r w:rsidRPr="008C3994">
        <w:rPr>
          <w:i/>
          <w:sz w:val="22"/>
          <w:szCs w:val="22"/>
        </w:rPr>
        <w:t>, International Journal of Human Resource Management</w:t>
      </w:r>
      <w:r w:rsidRPr="008C3994">
        <w:rPr>
          <w:sz w:val="22"/>
          <w:szCs w:val="22"/>
        </w:rPr>
        <w:t xml:space="preserve">, </w:t>
      </w:r>
      <w:r>
        <w:rPr>
          <w:sz w:val="22"/>
          <w:szCs w:val="22"/>
        </w:rPr>
        <w:t>in press, doi:</w:t>
      </w:r>
      <w:r w:rsidRPr="008C3994">
        <w:rPr>
          <w:sz w:val="22"/>
          <w:szCs w:val="22"/>
        </w:rPr>
        <w:t>10.1080/09585192.2017.1336362</w:t>
      </w:r>
    </w:p>
    <w:p w14:paraId="1AE5747E" w14:textId="28B0FE5F" w:rsidR="002E4B76" w:rsidRPr="006F16B8" w:rsidRDefault="002E4B76" w:rsidP="005F2D8B">
      <w:pPr>
        <w:spacing w:after="120"/>
        <w:ind w:left="360" w:hanging="360"/>
        <w:outlineLvl w:val="0"/>
        <w:rPr>
          <w:sz w:val="22"/>
          <w:szCs w:val="22"/>
        </w:rPr>
      </w:pPr>
      <w:r>
        <w:rPr>
          <w:sz w:val="22"/>
          <w:szCs w:val="22"/>
        </w:rPr>
        <w:t xml:space="preserve">Monteiro, F. 2015. </w:t>
      </w:r>
      <w:r w:rsidRPr="002E4B76">
        <w:rPr>
          <w:sz w:val="22"/>
          <w:szCs w:val="22"/>
        </w:rPr>
        <w:t>Selective attention and the initiation of the global knowledge-sourcing process in multinational corporations</w:t>
      </w:r>
      <w:r>
        <w:rPr>
          <w:sz w:val="22"/>
          <w:szCs w:val="22"/>
        </w:rPr>
        <w:t xml:space="preserve">. </w:t>
      </w:r>
      <w:r w:rsidRPr="002E4B76">
        <w:rPr>
          <w:i/>
          <w:sz w:val="22"/>
          <w:szCs w:val="22"/>
        </w:rPr>
        <w:t>Journal of International Business Studies</w:t>
      </w:r>
      <w:r w:rsidR="00554F58">
        <w:rPr>
          <w:i/>
          <w:sz w:val="22"/>
          <w:szCs w:val="22"/>
        </w:rPr>
        <w:t>,</w:t>
      </w:r>
      <w:r w:rsidR="00E258BC">
        <w:rPr>
          <w:sz w:val="22"/>
          <w:szCs w:val="22"/>
        </w:rPr>
        <w:t xml:space="preserve"> 46(5):</w:t>
      </w:r>
      <w:r w:rsidR="00E258BC" w:rsidRPr="00E258BC">
        <w:rPr>
          <w:sz w:val="22"/>
          <w:szCs w:val="22"/>
        </w:rPr>
        <w:t xml:space="preserve"> 505-527</w:t>
      </w:r>
      <w:r w:rsidR="00E258BC">
        <w:rPr>
          <w:sz w:val="22"/>
          <w:szCs w:val="22"/>
        </w:rPr>
        <w:t>.</w:t>
      </w:r>
    </w:p>
    <w:p w14:paraId="6FB2C72F" w14:textId="4E0B8AC2" w:rsidR="00FF589A" w:rsidRPr="006F16B8" w:rsidRDefault="00FF589A" w:rsidP="005F2D8B">
      <w:pPr>
        <w:widowControl w:val="0"/>
        <w:spacing w:after="120"/>
        <w:ind w:left="360" w:hanging="360"/>
        <w:rPr>
          <w:noProof/>
          <w:sz w:val="22"/>
          <w:szCs w:val="22"/>
          <w:lang w:val="en-AU"/>
        </w:rPr>
      </w:pPr>
      <w:bookmarkStart w:id="4" w:name="_ENREF_56"/>
      <w:r w:rsidRPr="006F16B8">
        <w:rPr>
          <w:noProof/>
          <w:sz w:val="22"/>
          <w:szCs w:val="22"/>
        </w:rPr>
        <w:t>Morck R., Yeung B</w:t>
      </w:r>
      <w:r w:rsidR="00DA1492">
        <w:rPr>
          <w:noProof/>
          <w:sz w:val="22"/>
          <w:szCs w:val="22"/>
        </w:rPr>
        <w:t>,</w:t>
      </w:r>
      <w:r w:rsidR="00364224">
        <w:rPr>
          <w:noProof/>
          <w:sz w:val="22"/>
          <w:szCs w:val="22"/>
        </w:rPr>
        <w:t xml:space="preserve"> &amp;</w:t>
      </w:r>
      <w:r w:rsidR="00DA1492">
        <w:rPr>
          <w:noProof/>
          <w:sz w:val="22"/>
          <w:szCs w:val="22"/>
        </w:rPr>
        <w:t xml:space="preserve"> </w:t>
      </w:r>
      <w:r w:rsidRPr="006F16B8">
        <w:rPr>
          <w:noProof/>
          <w:sz w:val="22"/>
          <w:szCs w:val="22"/>
        </w:rPr>
        <w:t xml:space="preserve">Zhao M. 2008. </w:t>
      </w:r>
      <w:r w:rsidRPr="006F16B8">
        <w:rPr>
          <w:noProof/>
          <w:sz w:val="22"/>
          <w:szCs w:val="22"/>
          <w:lang w:val="en-AU"/>
        </w:rPr>
        <w:t xml:space="preserve">Perspectives on China's outward foreign direct investment. </w:t>
      </w:r>
      <w:r w:rsidRPr="006F16B8">
        <w:rPr>
          <w:i/>
          <w:noProof/>
          <w:sz w:val="22"/>
          <w:szCs w:val="22"/>
          <w:lang w:val="en-AU"/>
        </w:rPr>
        <w:t>Journal of International Business Studies</w:t>
      </w:r>
      <w:r w:rsidR="00554F58">
        <w:rPr>
          <w:i/>
          <w:noProof/>
          <w:sz w:val="22"/>
          <w:szCs w:val="22"/>
          <w:lang w:val="en-AU"/>
        </w:rPr>
        <w:t>,</w:t>
      </w:r>
      <w:r w:rsidRPr="006F16B8">
        <w:rPr>
          <w:noProof/>
          <w:sz w:val="22"/>
          <w:szCs w:val="22"/>
          <w:lang w:val="en-AU"/>
        </w:rPr>
        <w:t xml:space="preserve"> 39(3): 337-350.</w:t>
      </w:r>
      <w:bookmarkEnd w:id="4"/>
    </w:p>
    <w:p w14:paraId="11D52FCA" w14:textId="6DBE462B" w:rsidR="009D5BFB" w:rsidRPr="00A83AD9" w:rsidRDefault="009D5BFB" w:rsidP="005F2D8B">
      <w:pPr>
        <w:autoSpaceDE w:val="0"/>
        <w:autoSpaceDN w:val="0"/>
        <w:adjustRightInd w:val="0"/>
        <w:spacing w:after="120"/>
        <w:ind w:left="360" w:hanging="360"/>
        <w:rPr>
          <w:sz w:val="22"/>
          <w:lang w:val="en-GB"/>
        </w:rPr>
      </w:pPr>
      <w:r w:rsidRPr="00A83AD9">
        <w:rPr>
          <w:sz w:val="22"/>
          <w:lang w:val="en-GB"/>
        </w:rPr>
        <w:t>Musteen</w:t>
      </w:r>
      <w:r w:rsidR="00B72154">
        <w:rPr>
          <w:sz w:val="22"/>
          <w:lang w:val="en-GB"/>
        </w:rPr>
        <w:t>,</w:t>
      </w:r>
      <w:r w:rsidRPr="00A83AD9">
        <w:rPr>
          <w:sz w:val="22"/>
          <w:lang w:val="en-GB"/>
        </w:rPr>
        <w:t xml:space="preserve"> M</w:t>
      </w:r>
      <w:r w:rsidR="00B72154">
        <w:rPr>
          <w:sz w:val="22"/>
          <w:lang w:val="en-GB"/>
        </w:rPr>
        <w:t>.</w:t>
      </w:r>
      <w:r w:rsidRPr="00A83AD9">
        <w:rPr>
          <w:sz w:val="22"/>
          <w:lang w:val="en-GB"/>
        </w:rPr>
        <w:t>, Datta</w:t>
      </w:r>
      <w:r w:rsidR="00B72154">
        <w:rPr>
          <w:sz w:val="22"/>
          <w:lang w:val="en-GB"/>
        </w:rPr>
        <w:t>,</w:t>
      </w:r>
      <w:r w:rsidRPr="00A83AD9">
        <w:rPr>
          <w:sz w:val="22"/>
          <w:lang w:val="en-GB"/>
        </w:rPr>
        <w:t xml:space="preserve"> D</w:t>
      </w:r>
      <w:r w:rsidR="00B72154">
        <w:rPr>
          <w:sz w:val="22"/>
          <w:lang w:val="en-GB"/>
        </w:rPr>
        <w:t>.</w:t>
      </w:r>
      <w:r w:rsidRPr="00A83AD9">
        <w:rPr>
          <w:sz w:val="22"/>
          <w:lang w:val="en-GB"/>
        </w:rPr>
        <w:t>K</w:t>
      </w:r>
      <w:r w:rsidR="00B72154">
        <w:rPr>
          <w:sz w:val="22"/>
          <w:lang w:val="en-GB"/>
        </w:rPr>
        <w:t>.</w:t>
      </w:r>
      <w:r w:rsidRPr="00A83AD9">
        <w:rPr>
          <w:sz w:val="22"/>
          <w:lang w:val="en-GB"/>
        </w:rPr>
        <w:t xml:space="preserve">, </w:t>
      </w:r>
      <w:r w:rsidR="00364224">
        <w:rPr>
          <w:sz w:val="22"/>
          <w:lang w:val="en-GB"/>
        </w:rPr>
        <w:t xml:space="preserve">&amp; </w:t>
      </w:r>
      <w:r w:rsidRPr="00A83AD9">
        <w:rPr>
          <w:sz w:val="22"/>
          <w:lang w:val="en-GB"/>
        </w:rPr>
        <w:t>Francis, J. 2014. Early internationalization by firms in transition economies into developed markets: The role of international network</w:t>
      </w:r>
      <w:r w:rsidR="00554F58">
        <w:rPr>
          <w:sz w:val="22"/>
          <w:lang w:val="en-GB"/>
        </w:rPr>
        <w:t>.</w:t>
      </w:r>
      <w:r w:rsidRPr="00A83AD9">
        <w:rPr>
          <w:sz w:val="22"/>
          <w:lang w:val="en-GB"/>
        </w:rPr>
        <w:t xml:space="preserve"> </w:t>
      </w:r>
      <w:r w:rsidRPr="00A83AD9">
        <w:rPr>
          <w:i/>
          <w:sz w:val="22"/>
          <w:lang w:val="en-GB"/>
        </w:rPr>
        <w:t>Global Strategy Journal</w:t>
      </w:r>
      <w:r w:rsidRPr="00A83AD9">
        <w:rPr>
          <w:sz w:val="22"/>
          <w:lang w:val="en-GB"/>
        </w:rPr>
        <w:t>, 4(3): 221-237.</w:t>
      </w:r>
    </w:p>
    <w:p w14:paraId="3A971F91" w14:textId="7489184C" w:rsidR="00612ED4" w:rsidRDefault="00612ED4" w:rsidP="005F2D8B">
      <w:pPr>
        <w:spacing w:after="120"/>
        <w:ind w:left="360" w:hanging="360"/>
        <w:outlineLvl w:val="0"/>
        <w:rPr>
          <w:bCs/>
          <w:sz w:val="22"/>
          <w:szCs w:val="22"/>
          <w:lang w:val="en-AU"/>
        </w:rPr>
      </w:pPr>
      <w:r w:rsidRPr="006F16B8">
        <w:rPr>
          <w:bCs/>
          <w:sz w:val="22"/>
          <w:szCs w:val="22"/>
          <w:lang w:val="en-AU"/>
        </w:rPr>
        <w:t>Narula</w:t>
      </w:r>
      <w:r w:rsidR="00B72154">
        <w:rPr>
          <w:bCs/>
          <w:sz w:val="22"/>
          <w:szCs w:val="22"/>
          <w:lang w:val="en-AU"/>
        </w:rPr>
        <w:t>,</w:t>
      </w:r>
      <w:r w:rsidRPr="006F16B8">
        <w:rPr>
          <w:bCs/>
          <w:sz w:val="22"/>
          <w:szCs w:val="22"/>
          <w:lang w:val="en-AU"/>
        </w:rPr>
        <w:t xml:space="preserve"> R. </w:t>
      </w:r>
      <w:r w:rsidR="00DA382B" w:rsidRPr="006F16B8">
        <w:rPr>
          <w:bCs/>
          <w:sz w:val="22"/>
          <w:szCs w:val="22"/>
          <w:lang w:val="en-AU"/>
        </w:rPr>
        <w:t>2012</w:t>
      </w:r>
      <w:r w:rsidR="00D87D2A" w:rsidRPr="006F16B8">
        <w:rPr>
          <w:bCs/>
          <w:sz w:val="22"/>
          <w:szCs w:val="22"/>
          <w:lang w:val="en-AU"/>
        </w:rPr>
        <w:t xml:space="preserve">. Do we need different frameworks to explain infant MNEs from developing countries? </w:t>
      </w:r>
      <w:r w:rsidR="00DA382B" w:rsidRPr="006F16B8">
        <w:rPr>
          <w:bCs/>
          <w:i/>
          <w:sz w:val="22"/>
          <w:szCs w:val="22"/>
          <w:lang w:val="en-AU"/>
        </w:rPr>
        <w:t xml:space="preserve">Global Strategy </w:t>
      </w:r>
      <w:r w:rsidR="00E258BC" w:rsidRPr="006F16B8">
        <w:rPr>
          <w:bCs/>
          <w:i/>
          <w:sz w:val="22"/>
          <w:szCs w:val="22"/>
          <w:lang w:val="en-AU"/>
        </w:rPr>
        <w:t>Journal</w:t>
      </w:r>
      <w:r w:rsidR="00A95756">
        <w:rPr>
          <w:bCs/>
          <w:i/>
          <w:sz w:val="22"/>
          <w:szCs w:val="22"/>
          <w:lang w:val="en-AU"/>
        </w:rPr>
        <w:t>,</w:t>
      </w:r>
      <w:r w:rsidR="00E258BC" w:rsidRPr="006F16B8">
        <w:rPr>
          <w:bCs/>
          <w:i/>
          <w:sz w:val="22"/>
          <w:szCs w:val="22"/>
          <w:lang w:val="en-AU"/>
        </w:rPr>
        <w:t xml:space="preserve"> </w:t>
      </w:r>
      <w:r w:rsidR="00E258BC" w:rsidRPr="006F16B8">
        <w:rPr>
          <w:bCs/>
          <w:sz w:val="22"/>
          <w:szCs w:val="22"/>
          <w:lang w:val="en-AU"/>
        </w:rPr>
        <w:t>2</w:t>
      </w:r>
      <w:r w:rsidR="00D87D2A" w:rsidRPr="006F16B8">
        <w:rPr>
          <w:bCs/>
          <w:sz w:val="22"/>
          <w:szCs w:val="22"/>
          <w:lang w:val="en-AU"/>
        </w:rPr>
        <w:t>(3): 188-204.</w:t>
      </w:r>
    </w:p>
    <w:p w14:paraId="4A762268" w14:textId="2162DE4F" w:rsidR="009A570D" w:rsidRDefault="009A570D" w:rsidP="005F2D8B">
      <w:pPr>
        <w:spacing w:after="120"/>
        <w:ind w:left="360" w:hanging="360"/>
        <w:outlineLvl w:val="0"/>
        <w:rPr>
          <w:bCs/>
          <w:sz w:val="22"/>
          <w:szCs w:val="22"/>
          <w:lang w:val="en-AU"/>
        </w:rPr>
      </w:pPr>
      <w:r>
        <w:rPr>
          <w:bCs/>
          <w:sz w:val="22"/>
          <w:szCs w:val="22"/>
          <w:lang w:val="en-AU"/>
        </w:rPr>
        <w:t xml:space="preserve">Narula, R. &amp; Verbeke, A. 2015. </w:t>
      </w:r>
      <w:r w:rsidRPr="009A570D">
        <w:rPr>
          <w:bCs/>
          <w:sz w:val="22"/>
          <w:szCs w:val="22"/>
          <w:lang w:val="en-AU"/>
        </w:rPr>
        <w:t>Making internalization theory good for practice: The essence of Alan Rugman's contributions to international business</w:t>
      </w:r>
      <w:r>
        <w:rPr>
          <w:bCs/>
          <w:sz w:val="22"/>
          <w:szCs w:val="22"/>
          <w:lang w:val="en-AU"/>
        </w:rPr>
        <w:t xml:space="preserve">, </w:t>
      </w:r>
      <w:r w:rsidRPr="009A570D">
        <w:rPr>
          <w:bCs/>
          <w:i/>
          <w:sz w:val="22"/>
          <w:szCs w:val="22"/>
          <w:lang w:val="en-AU"/>
        </w:rPr>
        <w:t>Journal of World Business</w:t>
      </w:r>
      <w:r>
        <w:rPr>
          <w:bCs/>
          <w:sz w:val="22"/>
          <w:szCs w:val="22"/>
          <w:lang w:val="en-AU"/>
        </w:rPr>
        <w:t>, 50(4), 612-622.</w:t>
      </w:r>
    </w:p>
    <w:p w14:paraId="49A911DA" w14:textId="2F1FB192" w:rsidR="00076F1A" w:rsidRDefault="00076F1A" w:rsidP="005F2D8B">
      <w:pPr>
        <w:spacing w:after="120"/>
        <w:ind w:left="360" w:hanging="360"/>
        <w:outlineLvl w:val="0"/>
        <w:rPr>
          <w:bCs/>
          <w:sz w:val="22"/>
          <w:szCs w:val="22"/>
          <w:lang w:val="en-AU"/>
        </w:rPr>
      </w:pPr>
      <w:r>
        <w:rPr>
          <w:bCs/>
          <w:sz w:val="22"/>
          <w:szCs w:val="22"/>
          <w:lang w:val="en-AU"/>
        </w:rPr>
        <w:t>North</w:t>
      </w:r>
      <w:r w:rsidR="00B72154">
        <w:rPr>
          <w:bCs/>
          <w:sz w:val="22"/>
          <w:szCs w:val="22"/>
          <w:lang w:val="en-AU"/>
        </w:rPr>
        <w:t>,</w:t>
      </w:r>
      <w:r>
        <w:rPr>
          <w:bCs/>
          <w:sz w:val="22"/>
          <w:szCs w:val="22"/>
          <w:lang w:val="en-AU"/>
        </w:rPr>
        <w:t xml:space="preserve"> D</w:t>
      </w:r>
      <w:r w:rsidR="00DA1492">
        <w:rPr>
          <w:bCs/>
          <w:sz w:val="22"/>
          <w:szCs w:val="22"/>
          <w:lang w:val="en-AU"/>
        </w:rPr>
        <w:t>.</w:t>
      </w:r>
      <w:r>
        <w:rPr>
          <w:bCs/>
          <w:sz w:val="22"/>
          <w:szCs w:val="22"/>
          <w:lang w:val="en-AU"/>
        </w:rPr>
        <w:t xml:space="preserve"> 1990</w:t>
      </w:r>
      <w:r w:rsidR="00A95756">
        <w:rPr>
          <w:bCs/>
          <w:sz w:val="22"/>
          <w:szCs w:val="22"/>
          <w:lang w:val="en-AU"/>
        </w:rPr>
        <w:t>.</w:t>
      </w:r>
      <w:r w:rsidR="00266151" w:rsidRPr="00266151">
        <w:rPr>
          <w:rFonts w:ascii="Arial" w:hAnsi="Arial" w:cs="Arial"/>
          <w:color w:val="333333"/>
          <w:sz w:val="22"/>
          <w:szCs w:val="22"/>
        </w:rPr>
        <w:t xml:space="preserve"> </w:t>
      </w:r>
      <w:r w:rsidR="00266151" w:rsidRPr="00CA792A">
        <w:rPr>
          <w:bCs/>
          <w:i/>
          <w:sz w:val="22"/>
          <w:szCs w:val="22"/>
        </w:rPr>
        <w:t>Institutions, Institutional Change and Economic Performance</w:t>
      </w:r>
      <w:r w:rsidR="00A95756">
        <w:rPr>
          <w:bCs/>
          <w:sz w:val="22"/>
          <w:szCs w:val="22"/>
          <w:lang w:val="en-AU"/>
        </w:rPr>
        <w:t>.</w:t>
      </w:r>
      <w:r w:rsidR="00266151">
        <w:rPr>
          <w:bCs/>
          <w:sz w:val="22"/>
          <w:szCs w:val="22"/>
          <w:lang w:val="en-AU"/>
        </w:rPr>
        <w:t xml:space="preserve"> Cambridge: Cambridge University Press.</w:t>
      </w:r>
    </w:p>
    <w:p w14:paraId="761EBC39" w14:textId="12111EC2" w:rsidR="008C44DD" w:rsidRDefault="008C44DD" w:rsidP="005F2D8B">
      <w:pPr>
        <w:spacing w:after="120"/>
        <w:ind w:left="360" w:hanging="360"/>
        <w:outlineLvl w:val="0"/>
        <w:rPr>
          <w:bCs/>
          <w:sz w:val="22"/>
          <w:szCs w:val="22"/>
          <w:lang w:val="en-AU"/>
        </w:rPr>
      </w:pPr>
      <w:r>
        <w:rPr>
          <w:bCs/>
          <w:sz w:val="22"/>
          <w:szCs w:val="22"/>
          <w:lang w:val="en-AU"/>
        </w:rPr>
        <w:t>Nunnenkamp</w:t>
      </w:r>
      <w:r w:rsidR="00B72154">
        <w:rPr>
          <w:bCs/>
          <w:sz w:val="22"/>
          <w:szCs w:val="22"/>
          <w:lang w:val="en-AU"/>
        </w:rPr>
        <w:t>,</w:t>
      </w:r>
      <w:r>
        <w:rPr>
          <w:bCs/>
          <w:sz w:val="22"/>
          <w:szCs w:val="22"/>
          <w:lang w:val="en-AU"/>
        </w:rPr>
        <w:t xml:space="preserve"> P</w:t>
      </w:r>
      <w:r w:rsidR="00E258BC">
        <w:rPr>
          <w:bCs/>
          <w:sz w:val="22"/>
          <w:szCs w:val="22"/>
          <w:lang w:val="en-AU"/>
        </w:rPr>
        <w:t>.</w:t>
      </w:r>
      <w:r>
        <w:rPr>
          <w:bCs/>
          <w:sz w:val="22"/>
          <w:szCs w:val="22"/>
          <w:lang w:val="en-AU"/>
        </w:rPr>
        <w:t xml:space="preserve"> </w:t>
      </w:r>
      <w:r w:rsidR="00364224">
        <w:rPr>
          <w:bCs/>
          <w:sz w:val="22"/>
          <w:szCs w:val="22"/>
          <w:lang w:val="en-AU"/>
        </w:rPr>
        <w:t xml:space="preserve">&amp; </w:t>
      </w:r>
      <w:r>
        <w:rPr>
          <w:bCs/>
          <w:sz w:val="22"/>
          <w:szCs w:val="22"/>
          <w:lang w:val="en-AU"/>
        </w:rPr>
        <w:t>Spatz</w:t>
      </w:r>
      <w:r w:rsidR="00B72154">
        <w:rPr>
          <w:bCs/>
          <w:sz w:val="22"/>
          <w:szCs w:val="22"/>
          <w:lang w:val="en-AU"/>
        </w:rPr>
        <w:t>,</w:t>
      </w:r>
      <w:r>
        <w:rPr>
          <w:bCs/>
          <w:sz w:val="22"/>
          <w:szCs w:val="22"/>
          <w:lang w:val="en-AU"/>
        </w:rPr>
        <w:t xml:space="preserve"> J. </w:t>
      </w:r>
      <w:r w:rsidR="00DA1492">
        <w:rPr>
          <w:bCs/>
          <w:sz w:val="22"/>
          <w:szCs w:val="22"/>
          <w:lang w:val="en-AU"/>
        </w:rPr>
        <w:t xml:space="preserve">2004. </w:t>
      </w:r>
      <w:r w:rsidRPr="008C44DD">
        <w:rPr>
          <w:bCs/>
          <w:sz w:val="22"/>
          <w:szCs w:val="22"/>
          <w:lang w:val="en-AU"/>
        </w:rPr>
        <w:t>Intellectual property rights and foreign direct investment: A disaggregated analysis</w:t>
      </w:r>
      <w:r w:rsidR="00A95756">
        <w:rPr>
          <w:bCs/>
          <w:sz w:val="22"/>
          <w:szCs w:val="22"/>
          <w:lang w:val="en-AU"/>
        </w:rPr>
        <w:t>.</w:t>
      </w:r>
      <w:r>
        <w:rPr>
          <w:bCs/>
          <w:sz w:val="22"/>
          <w:szCs w:val="22"/>
          <w:lang w:val="en-AU"/>
        </w:rPr>
        <w:t xml:space="preserve"> </w:t>
      </w:r>
      <w:r w:rsidRPr="008C44DD">
        <w:rPr>
          <w:bCs/>
          <w:i/>
          <w:sz w:val="22"/>
          <w:szCs w:val="22"/>
          <w:lang w:val="en-AU"/>
        </w:rPr>
        <w:t>Review of World Economics</w:t>
      </w:r>
      <w:r>
        <w:rPr>
          <w:bCs/>
          <w:sz w:val="22"/>
          <w:szCs w:val="22"/>
          <w:lang w:val="en-AU"/>
        </w:rPr>
        <w:t>, 140(3): 393-414.</w:t>
      </w:r>
    </w:p>
    <w:p w14:paraId="1427C35B" w14:textId="149EBB21" w:rsidR="009A3849" w:rsidRDefault="009A3849" w:rsidP="005F2D8B">
      <w:pPr>
        <w:spacing w:after="120"/>
        <w:ind w:left="360" w:hanging="360"/>
        <w:outlineLvl w:val="0"/>
        <w:rPr>
          <w:bCs/>
          <w:sz w:val="22"/>
          <w:szCs w:val="22"/>
          <w:lang w:val="en-AU"/>
        </w:rPr>
      </w:pPr>
      <w:r>
        <w:rPr>
          <w:bCs/>
          <w:sz w:val="22"/>
          <w:szCs w:val="22"/>
          <w:lang w:val="en-AU"/>
        </w:rPr>
        <w:t>O’Neil, J.</w:t>
      </w:r>
      <w:r w:rsidR="00760BD6">
        <w:rPr>
          <w:bCs/>
          <w:sz w:val="22"/>
          <w:szCs w:val="22"/>
          <w:lang w:val="en-AU"/>
        </w:rPr>
        <w:t xml:space="preserve"> 2011.</w:t>
      </w:r>
      <w:r>
        <w:rPr>
          <w:bCs/>
          <w:sz w:val="22"/>
          <w:szCs w:val="22"/>
          <w:lang w:val="en-AU"/>
        </w:rPr>
        <w:t xml:space="preserve"> </w:t>
      </w:r>
      <w:r w:rsidRPr="0061406C">
        <w:rPr>
          <w:bCs/>
          <w:i/>
          <w:sz w:val="22"/>
          <w:szCs w:val="22"/>
          <w:lang w:val="en-AU"/>
        </w:rPr>
        <w:t>The Growth Map</w:t>
      </w:r>
      <w:r>
        <w:rPr>
          <w:bCs/>
          <w:sz w:val="22"/>
          <w:szCs w:val="22"/>
          <w:lang w:val="en-AU"/>
        </w:rPr>
        <w:t>, Portfolio Penguin</w:t>
      </w:r>
      <w:r w:rsidR="00084021">
        <w:rPr>
          <w:bCs/>
          <w:sz w:val="22"/>
          <w:szCs w:val="22"/>
          <w:lang w:val="en-AU"/>
        </w:rPr>
        <w:t>.</w:t>
      </w:r>
    </w:p>
    <w:p w14:paraId="09D91919" w14:textId="1AF47FB8" w:rsidR="004D2EF1" w:rsidRPr="006F16B8" w:rsidRDefault="004D2EF1" w:rsidP="005F2D8B">
      <w:pPr>
        <w:tabs>
          <w:tab w:val="left" w:pos="0"/>
          <w:tab w:val="left" w:pos="540"/>
          <w:tab w:val="left" w:pos="851"/>
          <w:tab w:val="left" w:pos="1417"/>
          <w:tab w:val="left" w:pos="1985"/>
          <w:tab w:val="left" w:pos="2551"/>
          <w:tab w:val="left" w:pos="3118"/>
          <w:tab w:val="left" w:pos="3685"/>
          <w:tab w:val="left" w:pos="4252"/>
          <w:tab w:val="left" w:pos="4819"/>
          <w:tab w:val="left" w:pos="5386"/>
          <w:tab w:val="left" w:pos="5953"/>
          <w:tab w:val="left" w:pos="6520"/>
          <w:tab w:val="left" w:pos="7086"/>
          <w:tab w:val="left" w:pos="7654"/>
          <w:tab w:val="left" w:pos="8220"/>
          <w:tab w:val="left" w:pos="8788"/>
          <w:tab w:val="left" w:pos="9354"/>
          <w:tab w:val="left" w:pos="9922"/>
          <w:tab w:val="left" w:pos="10488"/>
          <w:tab w:val="left" w:pos="11054"/>
          <w:tab w:val="left" w:pos="11622"/>
          <w:tab w:val="left" w:pos="12188"/>
          <w:tab w:val="left" w:pos="12756"/>
          <w:tab w:val="left" w:pos="13322"/>
          <w:tab w:val="left" w:pos="13890"/>
          <w:tab w:val="left" w:pos="14456"/>
          <w:tab w:val="left" w:pos="15023"/>
          <w:tab w:val="left" w:pos="15590"/>
          <w:tab w:val="left" w:pos="16157"/>
          <w:tab w:val="left" w:pos="16724"/>
          <w:tab w:val="left" w:pos="17291"/>
          <w:tab w:val="left" w:pos="17858"/>
          <w:tab w:val="left" w:pos="18425"/>
          <w:tab w:val="left" w:pos="18992"/>
          <w:tab w:val="left" w:pos="19559"/>
          <w:tab w:val="left" w:pos="20125"/>
          <w:tab w:val="left" w:pos="20693"/>
          <w:tab w:val="left" w:pos="21259"/>
          <w:tab w:val="left" w:pos="21827"/>
        </w:tabs>
        <w:adjustRightInd w:val="0"/>
        <w:snapToGrid w:val="0"/>
        <w:spacing w:after="120"/>
        <w:ind w:left="360" w:hanging="360"/>
        <w:jc w:val="both"/>
        <w:rPr>
          <w:rFonts w:eastAsia="PMingLiU"/>
          <w:sz w:val="22"/>
          <w:szCs w:val="22"/>
          <w:lang w:eastAsia="zh-TW"/>
        </w:rPr>
      </w:pPr>
      <w:r w:rsidRPr="006F16B8">
        <w:rPr>
          <w:rFonts w:eastAsia="PMingLiU"/>
          <w:sz w:val="22"/>
          <w:szCs w:val="22"/>
          <w:lang w:eastAsia="zh-TW"/>
        </w:rPr>
        <w:t>Prashantham</w:t>
      </w:r>
      <w:r w:rsidR="00B72154">
        <w:rPr>
          <w:rFonts w:eastAsia="PMingLiU"/>
          <w:sz w:val="22"/>
          <w:szCs w:val="22"/>
          <w:lang w:eastAsia="zh-TW"/>
        </w:rPr>
        <w:t>,</w:t>
      </w:r>
      <w:r w:rsidRPr="006F16B8">
        <w:rPr>
          <w:rFonts w:eastAsia="PMingLiU"/>
          <w:sz w:val="22"/>
          <w:szCs w:val="22"/>
          <w:lang w:eastAsia="zh-TW"/>
        </w:rPr>
        <w:t xml:space="preserve"> S</w:t>
      </w:r>
      <w:r w:rsidR="0070244D">
        <w:rPr>
          <w:rFonts w:eastAsia="PMingLiU"/>
          <w:sz w:val="22"/>
          <w:szCs w:val="22"/>
          <w:lang w:eastAsia="zh-TW"/>
        </w:rPr>
        <w:t xml:space="preserve">. </w:t>
      </w:r>
      <w:r w:rsidR="00364224">
        <w:rPr>
          <w:rFonts w:eastAsia="PMingLiU"/>
          <w:sz w:val="22"/>
          <w:szCs w:val="22"/>
          <w:lang w:eastAsia="zh-TW"/>
        </w:rPr>
        <w:t xml:space="preserve">&amp; </w:t>
      </w:r>
      <w:r w:rsidRPr="006F16B8">
        <w:rPr>
          <w:rFonts w:eastAsia="PMingLiU"/>
          <w:sz w:val="22"/>
          <w:szCs w:val="22"/>
          <w:lang w:eastAsia="zh-TW"/>
        </w:rPr>
        <w:t>Dhanaraj</w:t>
      </w:r>
      <w:r w:rsidR="00B72154">
        <w:rPr>
          <w:rFonts w:eastAsia="PMingLiU"/>
          <w:sz w:val="22"/>
          <w:szCs w:val="22"/>
          <w:lang w:eastAsia="zh-TW"/>
        </w:rPr>
        <w:t>,</w:t>
      </w:r>
      <w:r w:rsidRPr="006F16B8">
        <w:rPr>
          <w:rFonts w:eastAsia="PMingLiU"/>
          <w:sz w:val="22"/>
          <w:szCs w:val="22"/>
          <w:lang w:eastAsia="zh-TW"/>
        </w:rPr>
        <w:t xml:space="preserve"> C. 2011. The dynamic influence of social capital on the international growth of new ventures</w:t>
      </w:r>
      <w:r w:rsidR="009C6BB2">
        <w:rPr>
          <w:rFonts w:eastAsia="PMingLiU"/>
          <w:sz w:val="22"/>
          <w:szCs w:val="22"/>
          <w:lang w:eastAsia="zh-TW"/>
        </w:rPr>
        <w:t>.</w:t>
      </w:r>
      <w:r w:rsidRPr="006F16B8">
        <w:rPr>
          <w:rFonts w:eastAsia="PMingLiU"/>
          <w:sz w:val="22"/>
          <w:szCs w:val="22"/>
          <w:lang w:eastAsia="zh-TW"/>
        </w:rPr>
        <w:t xml:space="preserve"> </w:t>
      </w:r>
      <w:r w:rsidRPr="006F16B8">
        <w:rPr>
          <w:rFonts w:eastAsia="PMingLiU"/>
          <w:i/>
          <w:sz w:val="22"/>
          <w:szCs w:val="22"/>
          <w:lang w:eastAsia="zh-TW"/>
        </w:rPr>
        <w:t>Journal of Management Studies</w:t>
      </w:r>
      <w:r w:rsidR="00A95756">
        <w:rPr>
          <w:rFonts w:eastAsia="PMingLiU"/>
          <w:i/>
          <w:sz w:val="22"/>
          <w:szCs w:val="22"/>
          <w:lang w:eastAsia="zh-TW"/>
        </w:rPr>
        <w:t>,</w:t>
      </w:r>
      <w:r w:rsidRPr="006F16B8">
        <w:rPr>
          <w:rFonts w:eastAsia="PMingLiU"/>
          <w:sz w:val="22"/>
          <w:szCs w:val="22"/>
          <w:lang w:eastAsia="zh-TW"/>
        </w:rPr>
        <w:t xml:space="preserve"> 47(6): 967-994. </w:t>
      </w:r>
    </w:p>
    <w:p w14:paraId="0A8F8F06" w14:textId="30D474A3" w:rsidR="00612ED4" w:rsidRPr="006F16B8" w:rsidRDefault="00612ED4" w:rsidP="005F2D8B">
      <w:pPr>
        <w:tabs>
          <w:tab w:val="left" w:pos="0"/>
          <w:tab w:val="left" w:pos="540"/>
          <w:tab w:val="left" w:pos="851"/>
          <w:tab w:val="left" w:pos="1417"/>
          <w:tab w:val="left" w:pos="1985"/>
          <w:tab w:val="left" w:pos="2551"/>
          <w:tab w:val="left" w:pos="3118"/>
          <w:tab w:val="left" w:pos="3685"/>
          <w:tab w:val="left" w:pos="4252"/>
          <w:tab w:val="left" w:pos="4819"/>
          <w:tab w:val="left" w:pos="5386"/>
          <w:tab w:val="left" w:pos="5953"/>
          <w:tab w:val="left" w:pos="6520"/>
          <w:tab w:val="left" w:pos="7086"/>
          <w:tab w:val="left" w:pos="7654"/>
          <w:tab w:val="left" w:pos="8220"/>
          <w:tab w:val="left" w:pos="8788"/>
          <w:tab w:val="left" w:pos="9354"/>
          <w:tab w:val="left" w:pos="9922"/>
          <w:tab w:val="left" w:pos="10488"/>
          <w:tab w:val="left" w:pos="11054"/>
          <w:tab w:val="left" w:pos="11622"/>
          <w:tab w:val="left" w:pos="12188"/>
          <w:tab w:val="left" w:pos="12756"/>
          <w:tab w:val="left" w:pos="13322"/>
          <w:tab w:val="left" w:pos="13890"/>
          <w:tab w:val="left" w:pos="14456"/>
          <w:tab w:val="left" w:pos="15023"/>
          <w:tab w:val="left" w:pos="15590"/>
          <w:tab w:val="left" w:pos="16157"/>
          <w:tab w:val="left" w:pos="16724"/>
          <w:tab w:val="left" w:pos="17291"/>
          <w:tab w:val="left" w:pos="17858"/>
          <w:tab w:val="left" w:pos="18425"/>
          <w:tab w:val="left" w:pos="18992"/>
          <w:tab w:val="left" w:pos="19559"/>
          <w:tab w:val="left" w:pos="20125"/>
          <w:tab w:val="left" w:pos="20693"/>
          <w:tab w:val="left" w:pos="21259"/>
          <w:tab w:val="left" w:pos="21827"/>
        </w:tabs>
        <w:adjustRightInd w:val="0"/>
        <w:snapToGrid w:val="0"/>
        <w:spacing w:after="120"/>
        <w:ind w:left="360" w:hanging="360"/>
        <w:jc w:val="both"/>
        <w:rPr>
          <w:rFonts w:eastAsia="PMingLiU"/>
          <w:sz w:val="22"/>
          <w:szCs w:val="22"/>
          <w:lang w:eastAsia="zh-TW"/>
        </w:rPr>
      </w:pPr>
      <w:r w:rsidRPr="006F16B8">
        <w:rPr>
          <w:rFonts w:eastAsia="PMingLiU"/>
          <w:sz w:val="22"/>
          <w:szCs w:val="22"/>
          <w:lang w:eastAsia="zh-TW"/>
        </w:rPr>
        <w:t>Ramamurti</w:t>
      </w:r>
      <w:r w:rsidR="00B72154">
        <w:rPr>
          <w:rFonts w:eastAsia="PMingLiU"/>
          <w:sz w:val="22"/>
          <w:szCs w:val="22"/>
          <w:lang w:eastAsia="zh-TW"/>
        </w:rPr>
        <w:t>,</w:t>
      </w:r>
      <w:r w:rsidRPr="006F16B8">
        <w:rPr>
          <w:rFonts w:eastAsia="PMingLiU"/>
          <w:sz w:val="22"/>
          <w:szCs w:val="22"/>
          <w:lang w:eastAsia="zh-TW"/>
        </w:rPr>
        <w:t xml:space="preserve"> R. 2012. What is really different about emerging market multinationals? </w:t>
      </w:r>
      <w:r w:rsidRPr="006F16B8">
        <w:rPr>
          <w:rFonts w:eastAsia="PMingLiU"/>
          <w:i/>
          <w:sz w:val="22"/>
          <w:szCs w:val="22"/>
          <w:lang w:eastAsia="zh-TW"/>
        </w:rPr>
        <w:t>Global Strategy Journal</w:t>
      </w:r>
      <w:r w:rsidR="00A95756">
        <w:rPr>
          <w:rFonts w:eastAsia="PMingLiU"/>
          <w:i/>
          <w:sz w:val="22"/>
          <w:szCs w:val="22"/>
          <w:lang w:eastAsia="zh-TW"/>
        </w:rPr>
        <w:t>,</w:t>
      </w:r>
      <w:r w:rsidRPr="006F16B8">
        <w:rPr>
          <w:rFonts w:eastAsia="PMingLiU"/>
          <w:sz w:val="22"/>
          <w:szCs w:val="22"/>
          <w:lang w:eastAsia="zh-TW"/>
        </w:rPr>
        <w:t xml:space="preserve"> 2(1): 41-47. </w:t>
      </w:r>
    </w:p>
    <w:p w14:paraId="406E7EDE" w14:textId="2B6724CB" w:rsidR="00612ED4" w:rsidRPr="009A363B" w:rsidRDefault="00612ED4" w:rsidP="005F2D8B">
      <w:pPr>
        <w:spacing w:after="120"/>
        <w:ind w:left="360" w:hanging="360"/>
        <w:jc w:val="both"/>
        <w:rPr>
          <w:sz w:val="22"/>
          <w:szCs w:val="22"/>
        </w:rPr>
      </w:pPr>
      <w:r w:rsidRPr="006F16B8">
        <w:rPr>
          <w:sz w:val="22"/>
          <w:szCs w:val="22"/>
        </w:rPr>
        <w:lastRenderedPageBreak/>
        <w:t>Ramasamy</w:t>
      </w:r>
      <w:r w:rsidR="00B72154">
        <w:rPr>
          <w:sz w:val="22"/>
          <w:szCs w:val="22"/>
        </w:rPr>
        <w:t>,</w:t>
      </w:r>
      <w:r w:rsidRPr="006F16B8">
        <w:rPr>
          <w:sz w:val="22"/>
          <w:szCs w:val="22"/>
        </w:rPr>
        <w:t xml:space="preserve"> B</w:t>
      </w:r>
      <w:r w:rsidR="00B72154">
        <w:rPr>
          <w:sz w:val="22"/>
          <w:szCs w:val="22"/>
        </w:rPr>
        <w:t>.</w:t>
      </w:r>
      <w:r w:rsidRPr="006F16B8">
        <w:rPr>
          <w:sz w:val="22"/>
          <w:szCs w:val="22"/>
        </w:rPr>
        <w:t>, Yeung</w:t>
      </w:r>
      <w:r w:rsidR="00B72154">
        <w:rPr>
          <w:sz w:val="22"/>
          <w:szCs w:val="22"/>
        </w:rPr>
        <w:t>,</w:t>
      </w:r>
      <w:r w:rsidRPr="006F16B8">
        <w:rPr>
          <w:sz w:val="22"/>
          <w:szCs w:val="22"/>
        </w:rPr>
        <w:t xml:space="preserve"> M</w:t>
      </w:r>
      <w:r w:rsidR="00B72154">
        <w:rPr>
          <w:sz w:val="22"/>
          <w:szCs w:val="22"/>
        </w:rPr>
        <w:t>.</w:t>
      </w:r>
      <w:r w:rsidR="004959B3" w:rsidRPr="006F16B8">
        <w:rPr>
          <w:sz w:val="22"/>
          <w:szCs w:val="22"/>
        </w:rPr>
        <w:t xml:space="preserve">, </w:t>
      </w:r>
      <w:r w:rsidR="00364224">
        <w:rPr>
          <w:sz w:val="22"/>
          <w:szCs w:val="22"/>
        </w:rPr>
        <w:t xml:space="preserve">&amp; </w:t>
      </w:r>
      <w:r w:rsidRPr="006F16B8">
        <w:rPr>
          <w:sz w:val="22"/>
          <w:szCs w:val="22"/>
        </w:rPr>
        <w:t>Laforet</w:t>
      </w:r>
      <w:r w:rsidR="00B72154">
        <w:rPr>
          <w:sz w:val="22"/>
          <w:szCs w:val="22"/>
        </w:rPr>
        <w:t>,</w:t>
      </w:r>
      <w:r w:rsidRPr="006F16B8">
        <w:rPr>
          <w:sz w:val="22"/>
          <w:szCs w:val="22"/>
        </w:rPr>
        <w:t xml:space="preserve"> S. 2012. China's outward foreign direct investment: Location choice and firm ownership</w:t>
      </w:r>
      <w:r w:rsidR="009C6BB2">
        <w:rPr>
          <w:sz w:val="22"/>
          <w:szCs w:val="22"/>
        </w:rPr>
        <w:t>.</w:t>
      </w:r>
      <w:r w:rsidRPr="006F16B8">
        <w:rPr>
          <w:sz w:val="22"/>
          <w:szCs w:val="22"/>
        </w:rPr>
        <w:t xml:space="preserve"> </w:t>
      </w:r>
      <w:r w:rsidRPr="00653AE5">
        <w:rPr>
          <w:i/>
          <w:sz w:val="22"/>
          <w:szCs w:val="22"/>
        </w:rPr>
        <w:t>Journal of World Business</w:t>
      </w:r>
      <w:r w:rsidR="00A95756">
        <w:rPr>
          <w:i/>
          <w:sz w:val="22"/>
          <w:szCs w:val="22"/>
        </w:rPr>
        <w:t>,</w:t>
      </w:r>
      <w:r w:rsidRPr="00653AE5">
        <w:rPr>
          <w:sz w:val="22"/>
          <w:szCs w:val="22"/>
        </w:rPr>
        <w:t xml:space="preserve"> 47(1)</w:t>
      </w:r>
      <w:r w:rsidR="009C6BB2" w:rsidRPr="009E1485">
        <w:rPr>
          <w:sz w:val="22"/>
          <w:szCs w:val="22"/>
        </w:rPr>
        <w:t>:</w:t>
      </w:r>
      <w:r w:rsidRPr="009A363B">
        <w:rPr>
          <w:sz w:val="22"/>
          <w:szCs w:val="22"/>
        </w:rPr>
        <w:t xml:space="preserve">17-25. </w:t>
      </w:r>
    </w:p>
    <w:p w14:paraId="1D021F0E" w14:textId="110A0D81" w:rsidR="00EE3664" w:rsidRPr="00EE3664" w:rsidRDefault="00EE3664" w:rsidP="0070244D">
      <w:pPr>
        <w:spacing w:after="120"/>
        <w:ind w:left="454" w:hanging="454"/>
        <w:rPr>
          <w:sz w:val="22"/>
          <w:szCs w:val="22"/>
          <w:lang w:val="en-GB"/>
        </w:rPr>
      </w:pPr>
      <w:r w:rsidRPr="00EE3664">
        <w:rPr>
          <w:sz w:val="22"/>
          <w:szCs w:val="22"/>
          <w:lang w:val="en-GB"/>
        </w:rPr>
        <w:t>Rugman</w:t>
      </w:r>
      <w:r w:rsidR="00B72154">
        <w:rPr>
          <w:sz w:val="22"/>
          <w:szCs w:val="22"/>
          <w:lang w:val="en-GB"/>
        </w:rPr>
        <w:t>,</w:t>
      </w:r>
      <w:r w:rsidRPr="00EE3664">
        <w:rPr>
          <w:sz w:val="22"/>
          <w:szCs w:val="22"/>
          <w:lang w:val="en-GB"/>
        </w:rPr>
        <w:t xml:space="preserve"> A</w:t>
      </w:r>
      <w:r w:rsidR="00760BD6">
        <w:rPr>
          <w:sz w:val="22"/>
          <w:szCs w:val="22"/>
          <w:lang w:val="en-GB"/>
        </w:rPr>
        <w:t>.</w:t>
      </w:r>
      <w:r w:rsidRPr="00EE3664">
        <w:rPr>
          <w:sz w:val="22"/>
          <w:szCs w:val="22"/>
          <w:lang w:val="en-GB"/>
        </w:rPr>
        <w:t>M</w:t>
      </w:r>
      <w:r w:rsidR="00760BD6">
        <w:rPr>
          <w:sz w:val="22"/>
          <w:szCs w:val="22"/>
          <w:lang w:val="en-GB"/>
        </w:rPr>
        <w:t>.</w:t>
      </w:r>
      <w:r w:rsidRPr="00EE3664">
        <w:rPr>
          <w:sz w:val="22"/>
          <w:szCs w:val="22"/>
          <w:lang w:val="en-GB"/>
        </w:rPr>
        <w:t xml:space="preserve"> </w:t>
      </w:r>
      <w:r>
        <w:rPr>
          <w:sz w:val="22"/>
          <w:szCs w:val="22"/>
          <w:lang w:val="en-GB"/>
        </w:rPr>
        <w:t xml:space="preserve">2009. </w:t>
      </w:r>
      <w:r>
        <w:rPr>
          <w:i/>
          <w:sz w:val="22"/>
          <w:szCs w:val="22"/>
          <w:lang w:val="en-GB"/>
        </w:rPr>
        <w:t>The Oxford Handbook of International Business</w:t>
      </w:r>
      <w:r w:rsidR="00A95756">
        <w:rPr>
          <w:i/>
          <w:sz w:val="22"/>
          <w:szCs w:val="22"/>
          <w:lang w:val="en-GB"/>
        </w:rPr>
        <w:t>.</w:t>
      </w:r>
      <w:r>
        <w:rPr>
          <w:i/>
          <w:sz w:val="22"/>
          <w:szCs w:val="22"/>
          <w:lang w:val="en-GB"/>
        </w:rPr>
        <w:t xml:space="preserve"> </w:t>
      </w:r>
      <w:r w:rsidRPr="00C60FB4">
        <w:rPr>
          <w:sz w:val="22"/>
          <w:szCs w:val="22"/>
          <w:lang w:val="en-GB"/>
        </w:rPr>
        <w:t>Oxford: Oxford University Press.</w:t>
      </w:r>
    </w:p>
    <w:p w14:paraId="46FCF472" w14:textId="0015D301" w:rsidR="00060EF2" w:rsidRDefault="00060EF2" w:rsidP="005F2D8B">
      <w:pPr>
        <w:spacing w:after="120"/>
        <w:ind w:left="539" w:hanging="539"/>
        <w:rPr>
          <w:sz w:val="22"/>
          <w:szCs w:val="22"/>
          <w:lang w:val="en-GB"/>
        </w:rPr>
      </w:pPr>
      <w:r w:rsidRPr="00060EF2">
        <w:rPr>
          <w:sz w:val="22"/>
          <w:szCs w:val="22"/>
          <w:lang w:val="en-GB"/>
        </w:rPr>
        <w:t>Rugm</w:t>
      </w:r>
      <w:r w:rsidR="007E7C70">
        <w:rPr>
          <w:sz w:val="22"/>
          <w:szCs w:val="22"/>
          <w:lang w:val="en-GB"/>
        </w:rPr>
        <w:t>an</w:t>
      </w:r>
      <w:r w:rsidR="00B72154">
        <w:rPr>
          <w:sz w:val="22"/>
          <w:szCs w:val="22"/>
          <w:lang w:val="en-GB"/>
        </w:rPr>
        <w:t>,</w:t>
      </w:r>
      <w:r w:rsidR="007E7C70">
        <w:rPr>
          <w:sz w:val="22"/>
          <w:szCs w:val="22"/>
          <w:lang w:val="en-GB"/>
        </w:rPr>
        <w:t xml:space="preserve"> A</w:t>
      </w:r>
      <w:r w:rsidR="00B72154">
        <w:rPr>
          <w:sz w:val="22"/>
          <w:szCs w:val="22"/>
          <w:lang w:val="en-GB"/>
        </w:rPr>
        <w:t>.</w:t>
      </w:r>
      <w:r w:rsidR="007E7C70">
        <w:rPr>
          <w:sz w:val="22"/>
          <w:szCs w:val="22"/>
          <w:lang w:val="en-GB"/>
        </w:rPr>
        <w:t>M</w:t>
      </w:r>
      <w:r w:rsidR="00B72154">
        <w:rPr>
          <w:sz w:val="22"/>
          <w:szCs w:val="22"/>
          <w:lang w:val="en-GB"/>
        </w:rPr>
        <w:t>.</w:t>
      </w:r>
      <w:r w:rsidR="007E7C70">
        <w:rPr>
          <w:sz w:val="22"/>
          <w:szCs w:val="22"/>
          <w:lang w:val="en-GB"/>
        </w:rPr>
        <w:t xml:space="preserve">, </w:t>
      </w:r>
      <w:r w:rsidR="00364224">
        <w:rPr>
          <w:sz w:val="22"/>
          <w:szCs w:val="22"/>
          <w:lang w:val="en-GB"/>
        </w:rPr>
        <w:t xml:space="preserve">&amp; </w:t>
      </w:r>
      <w:r w:rsidR="007E7C70">
        <w:rPr>
          <w:sz w:val="22"/>
          <w:szCs w:val="22"/>
          <w:lang w:val="en-GB"/>
        </w:rPr>
        <w:t>Nguyen, Q</w:t>
      </w:r>
      <w:r w:rsidR="00B72154">
        <w:rPr>
          <w:sz w:val="22"/>
          <w:szCs w:val="22"/>
          <w:lang w:val="en-GB"/>
        </w:rPr>
        <w:t>.</w:t>
      </w:r>
      <w:r w:rsidR="007E7C70">
        <w:rPr>
          <w:sz w:val="22"/>
          <w:szCs w:val="22"/>
          <w:lang w:val="en-GB"/>
        </w:rPr>
        <w:t>T</w:t>
      </w:r>
      <w:r w:rsidR="00B72154">
        <w:rPr>
          <w:sz w:val="22"/>
          <w:szCs w:val="22"/>
          <w:lang w:val="en-GB"/>
        </w:rPr>
        <w:t>.</w:t>
      </w:r>
      <w:r w:rsidR="007E7C70">
        <w:rPr>
          <w:sz w:val="22"/>
          <w:szCs w:val="22"/>
          <w:lang w:val="en-GB"/>
        </w:rPr>
        <w:t>K</w:t>
      </w:r>
      <w:r w:rsidR="00B72154">
        <w:rPr>
          <w:sz w:val="22"/>
          <w:szCs w:val="22"/>
          <w:lang w:val="en-GB"/>
        </w:rPr>
        <w:t>.</w:t>
      </w:r>
      <w:r w:rsidR="007E7C70">
        <w:rPr>
          <w:sz w:val="22"/>
          <w:szCs w:val="22"/>
          <w:lang w:val="en-GB"/>
        </w:rPr>
        <w:t xml:space="preserve"> 2014</w:t>
      </w:r>
      <w:r w:rsidRPr="00060EF2">
        <w:rPr>
          <w:sz w:val="22"/>
          <w:szCs w:val="22"/>
          <w:lang w:val="en-GB"/>
        </w:rPr>
        <w:t xml:space="preserve">. Modern international business thery and emerging economy multinational enterprises, in: A. Cuervo-Cazurra &amp; R. Ramamurti, eds., </w:t>
      </w:r>
      <w:r w:rsidRPr="00060EF2">
        <w:rPr>
          <w:i/>
          <w:sz w:val="22"/>
          <w:szCs w:val="22"/>
          <w:lang w:val="en-GB"/>
        </w:rPr>
        <w:t>Understanding Multinational from Emerging Markets</w:t>
      </w:r>
      <w:r w:rsidRPr="00060EF2">
        <w:rPr>
          <w:sz w:val="22"/>
          <w:szCs w:val="22"/>
          <w:lang w:val="en-GB"/>
        </w:rPr>
        <w:t xml:space="preserve">, Cambridge: Cambridge University Press. </w:t>
      </w:r>
    </w:p>
    <w:p w14:paraId="6E837E0B" w14:textId="71200B31" w:rsidR="00612ED4" w:rsidRPr="006F16B8" w:rsidRDefault="00612ED4" w:rsidP="005F2D8B">
      <w:pPr>
        <w:widowControl w:val="0"/>
        <w:spacing w:after="120"/>
        <w:ind w:left="360" w:hanging="360"/>
        <w:rPr>
          <w:noProof/>
          <w:sz w:val="22"/>
          <w:szCs w:val="22"/>
          <w:lang w:val="en-AU"/>
        </w:rPr>
      </w:pPr>
      <w:bookmarkStart w:id="5" w:name="_ENREF_63"/>
      <w:r w:rsidRPr="006F16B8">
        <w:rPr>
          <w:noProof/>
          <w:sz w:val="22"/>
          <w:szCs w:val="22"/>
          <w:lang w:val="en-AU"/>
        </w:rPr>
        <w:t>Rui</w:t>
      </w:r>
      <w:r w:rsidR="00B72154">
        <w:rPr>
          <w:noProof/>
          <w:sz w:val="22"/>
          <w:szCs w:val="22"/>
          <w:lang w:val="en-AU"/>
        </w:rPr>
        <w:t>,</w:t>
      </w:r>
      <w:r w:rsidRPr="006F16B8">
        <w:rPr>
          <w:noProof/>
          <w:sz w:val="22"/>
          <w:szCs w:val="22"/>
          <w:lang w:val="en-AU"/>
        </w:rPr>
        <w:t xml:space="preserve"> H</w:t>
      </w:r>
      <w:r w:rsidR="00B72154">
        <w:rPr>
          <w:noProof/>
          <w:sz w:val="22"/>
          <w:szCs w:val="22"/>
          <w:lang w:val="en-AU"/>
        </w:rPr>
        <w:t>.</w:t>
      </w:r>
      <w:r w:rsidR="00C63A09" w:rsidRPr="006F16B8">
        <w:rPr>
          <w:noProof/>
          <w:sz w:val="22"/>
          <w:szCs w:val="22"/>
          <w:lang w:val="en-AU"/>
        </w:rPr>
        <w:t xml:space="preserve">, </w:t>
      </w:r>
      <w:r w:rsidR="00364224">
        <w:rPr>
          <w:noProof/>
          <w:sz w:val="22"/>
          <w:szCs w:val="22"/>
          <w:lang w:val="en-AU"/>
        </w:rPr>
        <w:t xml:space="preserve">&amp; </w:t>
      </w:r>
      <w:r w:rsidRPr="006F16B8">
        <w:rPr>
          <w:noProof/>
          <w:sz w:val="22"/>
          <w:szCs w:val="22"/>
          <w:lang w:val="en-AU"/>
        </w:rPr>
        <w:t>Yip</w:t>
      </w:r>
      <w:r w:rsidR="00B72154">
        <w:rPr>
          <w:noProof/>
          <w:sz w:val="22"/>
          <w:szCs w:val="22"/>
          <w:lang w:val="en-AU"/>
        </w:rPr>
        <w:t>,</w:t>
      </w:r>
      <w:r w:rsidRPr="006F16B8">
        <w:rPr>
          <w:noProof/>
          <w:sz w:val="22"/>
          <w:szCs w:val="22"/>
          <w:lang w:val="en-AU"/>
        </w:rPr>
        <w:t xml:space="preserve"> G</w:t>
      </w:r>
      <w:r w:rsidR="00B72154">
        <w:rPr>
          <w:noProof/>
          <w:sz w:val="22"/>
          <w:szCs w:val="22"/>
          <w:lang w:val="en-AU"/>
        </w:rPr>
        <w:t>.</w:t>
      </w:r>
      <w:r w:rsidRPr="006F16B8">
        <w:rPr>
          <w:noProof/>
          <w:sz w:val="22"/>
          <w:szCs w:val="22"/>
          <w:lang w:val="en-AU"/>
        </w:rPr>
        <w:t xml:space="preserve">S. 2008. Foreign acquisitions by Chinese firms: A strategic intent perspective. </w:t>
      </w:r>
      <w:r w:rsidRPr="006F16B8">
        <w:rPr>
          <w:i/>
          <w:noProof/>
          <w:sz w:val="22"/>
          <w:szCs w:val="22"/>
          <w:lang w:val="en-AU"/>
        </w:rPr>
        <w:t xml:space="preserve">Journal of World </w:t>
      </w:r>
      <w:r w:rsidR="00A95756" w:rsidRPr="006F16B8">
        <w:rPr>
          <w:i/>
          <w:noProof/>
          <w:sz w:val="22"/>
          <w:szCs w:val="22"/>
          <w:lang w:val="en-AU"/>
        </w:rPr>
        <w:t>Business</w:t>
      </w:r>
      <w:r w:rsidR="00A95756">
        <w:rPr>
          <w:noProof/>
          <w:sz w:val="22"/>
          <w:szCs w:val="22"/>
          <w:lang w:val="en-AU"/>
        </w:rPr>
        <w:t xml:space="preserve">, </w:t>
      </w:r>
      <w:r w:rsidRPr="006F16B8">
        <w:rPr>
          <w:noProof/>
          <w:sz w:val="22"/>
          <w:szCs w:val="22"/>
          <w:lang w:val="en-AU"/>
        </w:rPr>
        <w:t>43(2): 213-226.</w:t>
      </w:r>
      <w:bookmarkEnd w:id="5"/>
    </w:p>
    <w:p w14:paraId="4587569E" w14:textId="45FC1E74" w:rsidR="00DB09F2" w:rsidRDefault="00DB09F2" w:rsidP="005F2D8B">
      <w:pPr>
        <w:autoSpaceDE w:val="0"/>
        <w:autoSpaceDN w:val="0"/>
        <w:adjustRightInd w:val="0"/>
        <w:spacing w:after="120"/>
        <w:ind w:left="284" w:hanging="284"/>
        <w:rPr>
          <w:sz w:val="22"/>
          <w:szCs w:val="22"/>
          <w:lang w:val="en-GB" w:eastAsia="en-GB"/>
        </w:rPr>
      </w:pPr>
      <w:r w:rsidRPr="00DB09F2">
        <w:rPr>
          <w:sz w:val="22"/>
          <w:szCs w:val="22"/>
          <w:lang w:val="en-GB" w:eastAsia="en-GB"/>
        </w:rPr>
        <w:t xml:space="preserve">Sambharya, R.B. 1996. </w:t>
      </w:r>
      <w:r w:rsidR="00364224" w:rsidRPr="00DB09F2">
        <w:rPr>
          <w:sz w:val="22"/>
          <w:szCs w:val="22"/>
          <w:lang w:val="en-GB" w:eastAsia="en-GB"/>
        </w:rPr>
        <w:t>Foreign</w:t>
      </w:r>
      <w:r w:rsidRPr="00DB09F2">
        <w:rPr>
          <w:sz w:val="22"/>
          <w:szCs w:val="22"/>
          <w:lang w:val="en-GB" w:eastAsia="en-GB"/>
        </w:rPr>
        <w:t xml:space="preserve"> experience of top management teams and international </w:t>
      </w:r>
      <w:r w:rsidRPr="00A95756">
        <w:rPr>
          <w:i/>
          <w:sz w:val="22"/>
          <w:szCs w:val="22"/>
          <w:lang w:val="en-GB" w:eastAsia="en-GB"/>
        </w:rPr>
        <w:t>diversification strategies of U.S. multinational corporations</w:t>
      </w:r>
      <w:r w:rsidR="00A95756" w:rsidRPr="00A95756">
        <w:rPr>
          <w:i/>
          <w:sz w:val="22"/>
          <w:szCs w:val="22"/>
          <w:lang w:val="en-GB" w:eastAsia="en-GB"/>
        </w:rPr>
        <w:t>.</w:t>
      </w:r>
      <w:r w:rsidRPr="00A95756">
        <w:rPr>
          <w:i/>
          <w:sz w:val="22"/>
          <w:szCs w:val="22"/>
          <w:lang w:val="en-GB" w:eastAsia="en-GB"/>
        </w:rPr>
        <w:t xml:space="preserve"> Strategic</w:t>
      </w:r>
      <w:r w:rsidRPr="00DB09F2">
        <w:rPr>
          <w:sz w:val="22"/>
          <w:szCs w:val="22"/>
          <w:lang w:val="en-GB" w:eastAsia="en-GB"/>
        </w:rPr>
        <w:t xml:space="preserve"> Management Journal, 17</w:t>
      </w:r>
      <w:r w:rsidR="0070244D">
        <w:rPr>
          <w:sz w:val="22"/>
          <w:szCs w:val="22"/>
          <w:lang w:val="en-GB" w:eastAsia="en-GB"/>
        </w:rPr>
        <w:t>(9)</w:t>
      </w:r>
      <w:r w:rsidRPr="00DB09F2">
        <w:rPr>
          <w:sz w:val="22"/>
          <w:szCs w:val="22"/>
          <w:lang w:val="en-GB" w:eastAsia="en-GB"/>
        </w:rPr>
        <w:t>: 739-746.</w:t>
      </w:r>
    </w:p>
    <w:p w14:paraId="68132AFF" w14:textId="77777777" w:rsidR="00A278A6" w:rsidRPr="00A278A6" w:rsidRDefault="00A278A6" w:rsidP="00A278A6">
      <w:pPr>
        <w:autoSpaceDE w:val="0"/>
        <w:autoSpaceDN w:val="0"/>
        <w:adjustRightInd w:val="0"/>
        <w:spacing w:after="120"/>
        <w:ind w:left="284" w:hanging="284"/>
        <w:rPr>
          <w:sz w:val="22"/>
          <w:szCs w:val="22"/>
          <w:lang w:val="en-GB" w:eastAsia="en-GB"/>
        </w:rPr>
      </w:pPr>
      <w:r w:rsidRPr="00A278A6">
        <w:rPr>
          <w:sz w:val="22"/>
          <w:szCs w:val="22"/>
          <w:lang w:val="en-GB" w:eastAsia="en-GB"/>
        </w:rPr>
        <w:t>Saxenian AL. 2006. The New Argonauts: Regional Advantage in a Global Economy. Harvard University Press: Cambridge, MA.</w:t>
      </w:r>
    </w:p>
    <w:p w14:paraId="0413CD5A" w14:textId="7B0EA5F6" w:rsidR="00B94CFB" w:rsidRDefault="00B94CFB" w:rsidP="005F2D8B">
      <w:pPr>
        <w:autoSpaceDE w:val="0"/>
        <w:autoSpaceDN w:val="0"/>
        <w:adjustRightInd w:val="0"/>
        <w:spacing w:after="120"/>
        <w:ind w:left="284" w:hanging="284"/>
        <w:rPr>
          <w:sz w:val="22"/>
          <w:szCs w:val="22"/>
          <w:lang w:val="en-GB" w:eastAsia="en-GB"/>
        </w:rPr>
      </w:pPr>
      <w:r w:rsidRPr="00B94CFB">
        <w:rPr>
          <w:sz w:val="22"/>
          <w:szCs w:val="22"/>
          <w:lang w:val="en-GB" w:eastAsia="en-GB"/>
        </w:rPr>
        <w:t xml:space="preserve">Selmier, W.T. and Oh, C.H., 2013. The power of major trade languages in trade and foreign direct investment. </w:t>
      </w:r>
      <w:r w:rsidRPr="00B94CFB">
        <w:rPr>
          <w:i/>
          <w:sz w:val="22"/>
          <w:szCs w:val="22"/>
          <w:lang w:val="en-GB" w:eastAsia="en-GB"/>
        </w:rPr>
        <w:t>Review of International Political Economy</w:t>
      </w:r>
      <w:r>
        <w:rPr>
          <w:sz w:val="22"/>
          <w:szCs w:val="22"/>
          <w:lang w:val="en-GB" w:eastAsia="en-GB"/>
        </w:rPr>
        <w:t xml:space="preserve">, 20(3): </w:t>
      </w:r>
      <w:r w:rsidRPr="00B94CFB">
        <w:rPr>
          <w:sz w:val="22"/>
          <w:szCs w:val="22"/>
          <w:lang w:val="en-GB" w:eastAsia="en-GB"/>
        </w:rPr>
        <w:t>486-514</w:t>
      </w:r>
    </w:p>
    <w:p w14:paraId="56ABEF02" w14:textId="294F0F92" w:rsidR="00541FD9" w:rsidRDefault="00FF589A" w:rsidP="005F2D8B">
      <w:pPr>
        <w:widowControl w:val="0"/>
        <w:tabs>
          <w:tab w:val="left" w:pos="567"/>
        </w:tabs>
        <w:spacing w:after="120"/>
        <w:ind w:left="567" w:hanging="567"/>
        <w:rPr>
          <w:sz w:val="22"/>
          <w:szCs w:val="22"/>
          <w:lang w:eastAsia="zh-TW"/>
        </w:rPr>
      </w:pPr>
      <w:r w:rsidRPr="006F16B8">
        <w:rPr>
          <w:sz w:val="22"/>
          <w:szCs w:val="22"/>
          <w:lang w:eastAsia="zh-TW"/>
        </w:rPr>
        <w:t>Shenkar</w:t>
      </w:r>
      <w:r w:rsidR="00B72154">
        <w:rPr>
          <w:sz w:val="22"/>
          <w:szCs w:val="22"/>
          <w:lang w:eastAsia="zh-TW"/>
        </w:rPr>
        <w:t>,</w:t>
      </w:r>
      <w:r w:rsidRPr="006F16B8">
        <w:rPr>
          <w:sz w:val="22"/>
          <w:szCs w:val="22"/>
          <w:lang w:eastAsia="zh-TW"/>
        </w:rPr>
        <w:t xml:space="preserve"> O. 2001. Cultural distance revised: toward a more rigorous conceptualization and measurement of cultural differences. </w:t>
      </w:r>
      <w:r w:rsidRPr="006F16B8">
        <w:rPr>
          <w:i/>
          <w:sz w:val="22"/>
          <w:szCs w:val="22"/>
        </w:rPr>
        <w:t>Journal of International Business Studies</w:t>
      </w:r>
      <w:r w:rsidR="00A95756">
        <w:rPr>
          <w:i/>
          <w:sz w:val="22"/>
          <w:szCs w:val="22"/>
        </w:rPr>
        <w:t>,</w:t>
      </w:r>
      <w:r w:rsidRPr="006F16B8">
        <w:rPr>
          <w:sz w:val="22"/>
          <w:szCs w:val="22"/>
          <w:lang w:eastAsia="zh-TW"/>
        </w:rPr>
        <w:t xml:space="preserve"> 32</w:t>
      </w:r>
      <w:r w:rsidR="0070244D">
        <w:rPr>
          <w:sz w:val="22"/>
          <w:szCs w:val="22"/>
          <w:lang w:eastAsia="zh-TW"/>
        </w:rPr>
        <w:t>(3)</w:t>
      </w:r>
      <w:r w:rsidRPr="006F16B8">
        <w:rPr>
          <w:sz w:val="22"/>
          <w:szCs w:val="22"/>
          <w:lang w:eastAsia="zh-TW"/>
        </w:rPr>
        <w:t>: 519-535.</w:t>
      </w:r>
    </w:p>
    <w:p w14:paraId="1CFCFA51" w14:textId="442722D8" w:rsidR="00DB09F2" w:rsidRDefault="0021413C" w:rsidP="00C60FB4">
      <w:pPr>
        <w:widowControl w:val="0"/>
        <w:tabs>
          <w:tab w:val="left" w:pos="567"/>
        </w:tabs>
        <w:spacing w:after="120"/>
        <w:ind w:left="567" w:hanging="567"/>
      </w:pPr>
      <w:r>
        <w:rPr>
          <w:sz w:val="22"/>
          <w:szCs w:val="22"/>
          <w:lang w:eastAsia="zh-TW"/>
        </w:rPr>
        <w:t>Shinkle, G</w:t>
      </w:r>
      <w:r w:rsidR="00B72154">
        <w:rPr>
          <w:sz w:val="22"/>
          <w:szCs w:val="22"/>
          <w:lang w:eastAsia="zh-TW"/>
        </w:rPr>
        <w:t>.</w:t>
      </w:r>
      <w:r>
        <w:rPr>
          <w:sz w:val="22"/>
          <w:szCs w:val="22"/>
          <w:lang w:eastAsia="zh-TW"/>
        </w:rPr>
        <w:t>A</w:t>
      </w:r>
      <w:r w:rsidR="00B72154">
        <w:rPr>
          <w:sz w:val="22"/>
          <w:szCs w:val="22"/>
          <w:lang w:eastAsia="zh-TW"/>
        </w:rPr>
        <w:t>.</w:t>
      </w:r>
      <w:r>
        <w:rPr>
          <w:sz w:val="22"/>
          <w:szCs w:val="22"/>
          <w:lang w:eastAsia="zh-TW"/>
        </w:rPr>
        <w:t xml:space="preserve">, </w:t>
      </w:r>
      <w:r w:rsidR="00364224">
        <w:rPr>
          <w:sz w:val="22"/>
          <w:szCs w:val="22"/>
          <w:lang w:eastAsia="zh-TW"/>
        </w:rPr>
        <w:t xml:space="preserve">&amp; </w:t>
      </w:r>
      <w:r w:rsidR="00CA691D">
        <w:rPr>
          <w:sz w:val="22"/>
          <w:szCs w:val="22"/>
          <w:lang w:eastAsia="zh-TW"/>
        </w:rPr>
        <w:t>Kriauciunas, A</w:t>
      </w:r>
      <w:r w:rsidR="00B72154">
        <w:rPr>
          <w:sz w:val="22"/>
          <w:szCs w:val="22"/>
          <w:lang w:eastAsia="zh-TW"/>
        </w:rPr>
        <w:t>.</w:t>
      </w:r>
      <w:r w:rsidR="00CA691D">
        <w:rPr>
          <w:sz w:val="22"/>
          <w:szCs w:val="22"/>
          <w:lang w:eastAsia="zh-TW"/>
        </w:rPr>
        <w:t>P</w:t>
      </w:r>
      <w:r w:rsidR="00CA691D">
        <w:rPr>
          <w:rFonts w:eastAsiaTheme="minorEastAsia" w:hint="eastAsia"/>
          <w:sz w:val="22"/>
          <w:szCs w:val="22"/>
          <w:lang w:eastAsia="zh-CN"/>
        </w:rPr>
        <w:t>.</w:t>
      </w:r>
      <w:r w:rsidR="00CA691D">
        <w:rPr>
          <w:sz w:val="22"/>
          <w:szCs w:val="22"/>
          <w:lang w:eastAsia="zh-TW"/>
        </w:rPr>
        <w:t xml:space="preserve"> 2012</w:t>
      </w:r>
      <w:r w:rsidR="00CA691D">
        <w:rPr>
          <w:rFonts w:eastAsiaTheme="minorEastAsia" w:hint="eastAsia"/>
          <w:sz w:val="22"/>
          <w:szCs w:val="22"/>
          <w:lang w:eastAsia="zh-CN"/>
        </w:rPr>
        <w:t>.</w:t>
      </w:r>
      <w:r>
        <w:rPr>
          <w:sz w:val="22"/>
          <w:szCs w:val="22"/>
          <w:lang w:eastAsia="zh-TW"/>
        </w:rPr>
        <w:t xml:space="preserve"> </w:t>
      </w:r>
      <w:r w:rsidRPr="0021413C">
        <w:rPr>
          <w:sz w:val="22"/>
          <w:szCs w:val="22"/>
          <w:lang w:eastAsia="zh-TW"/>
        </w:rPr>
        <w:t>The impact of current and founding institutions on strength of competitive aspirations in transition economies</w:t>
      </w:r>
      <w:r w:rsidR="00A95756">
        <w:rPr>
          <w:sz w:val="22"/>
          <w:szCs w:val="22"/>
          <w:lang w:eastAsia="zh-TW"/>
        </w:rPr>
        <w:t>.</w:t>
      </w:r>
      <w:r>
        <w:rPr>
          <w:sz w:val="22"/>
          <w:szCs w:val="22"/>
          <w:lang w:eastAsia="zh-TW"/>
        </w:rPr>
        <w:t xml:space="preserve"> </w:t>
      </w:r>
      <w:r w:rsidRPr="0021413C">
        <w:rPr>
          <w:i/>
          <w:sz w:val="22"/>
          <w:szCs w:val="22"/>
          <w:lang w:eastAsia="zh-TW"/>
        </w:rPr>
        <w:t>Strategic Management Journal</w:t>
      </w:r>
      <w:r w:rsidR="00A95756">
        <w:rPr>
          <w:i/>
          <w:sz w:val="22"/>
          <w:szCs w:val="22"/>
          <w:lang w:eastAsia="zh-TW"/>
        </w:rPr>
        <w:t>,</w:t>
      </w:r>
      <w:r>
        <w:rPr>
          <w:sz w:val="22"/>
          <w:szCs w:val="22"/>
          <w:lang w:eastAsia="zh-TW"/>
        </w:rPr>
        <w:t xml:space="preserve"> 33(4): 448-458.</w:t>
      </w:r>
    </w:p>
    <w:p w14:paraId="301BC00E" w14:textId="6849DDDA" w:rsidR="00BD33F5" w:rsidRPr="00DB09F2" w:rsidRDefault="00BD33F5" w:rsidP="00C60FB4">
      <w:pPr>
        <w:widowControl w:val="0"/>
        <w:tabs>
          <w:tab w:val="left" w:pos="567"/>
        </w:tabs>
        <w:spacing w:after="120"/>
        <w:ind w:left="567" w:hanging="567"/>
        <w:rPr>
          <w:sz w:val="22"/>
          <w:szCs w:val="22"/>
        </w:rPr>
      </w:pPr>
      <w:r w:rsidRPr="00DB09F2">
        <w:rPr>
          <w:sz w:val="22"/>
          <w:szCs w:val="22"/>
        </w:rPr>
        <w:t>Stahl, G.K., Björkman, I., Frandale, E., Morris, S.S., Paauwe, J., Stiles, P. Trevor, J., &amp; Wright, P. 2012. Six principles of effective global talent management</w:t>
      </w:r>
      <w:r w:rsidR="00A95756">
        <w:rPr>
          <w:sz w:val="22"/>
          <w:szCs w:val="22"/>
        </w:rPr>
        <w:t>.</w:t>
      </w:r>
      <w:r w:rsidRPr="00DB09F2">
        <w:rPr>
          <w:sz w:val="22"/>
          <w:szCs w:val="22"/>
        </w:rPr>
        <w:t xml:space="preserve"> </w:t>
      </w:r>
      <w:r w:rsidRPr="00DB09F2">
        <w:rPr>
          <w:i/>
          <w:sz w:val="22"/>
          <w:szCs w:val="22"/>
        </w:rPr>
        <w:t>Sloan Management Review</w:t>
      </w:r>
      <w:r w:rsidRPr="00DB09F2">
        <w:rPr>
          <w:sz w:val="22"/>
          <w:szCs w:val="22"/>
        </w:rPr>
        <w:t>, 53(2): 25-32.</w:t>
      </w:r>
    </w:p>
    <w:p w14:paraId="29958576" w14:textId="76B4C5D6" w:rsidR="00DB09F2" w:rsidRDefault="00DB09F2" w:rsidP="005F2D8B">
      <w:pPr>
        <w:autoSpaceDE w:val="0"/>
        <w:autoSpaceDN w:val="0"/>
        <w:adjustRightInd w:val="0"/>
        <w:spacing w:after="120"/>
        <w:ind w:left="284" w:hanging="284"/>
        <w:rPr>
          <w:noProof/>
          <w:sz w:val="22"/>
          <w:szCs w:val="22"/>
          <w:lang w:val="en-GB"/>
        </w:rPr>
      </w:pPr>
      <w:r w:rsidRPr="00DB09F2">
        <w:rPr>
          <w:noProof/>
          <w:sz w:val="22"/>
          <w:szCs w:val="22"/>
          <w:lang w:val="en-GB"/>
        </w:rPr>
        <w:t xml:space="preserve">Tan, D., &amp; Meyer, K.E. 2010. Business groups' outward FDI: A managerial resources perspective. </w:t>
      </w:r>
      <w:r w:rsidRPr="003D3267">
        <w:rPr>
          <w:i/>
          <w:noProof/>
          <w:sz w:val="22"/>
          <w:szCs w:val="22"/>
          <w:lang w:val="en-GB"/>
        </w:rPr>
        <w:t>Journal of International Management</w:t>
      </w:r>
      <w:r w:rsidR="00A95756">
        <w:rPr>
          <w:i/>
          <w:noProof/>
          <w:sz w:val="22"/>
          <w:szCs w:val="22"/>
          <w:lang w:val="en-GB"/>
        </w:rPr>
        <w:t>,</w:t>
      </w:r>
      <w:r w:rsidRPr="00DB09F2">
        <w:rPr>
          <w:noProof/>
          <w:sz w:val="22"/>
          <w:szCs w:val="22"/>
          <w:lang w:val="en-GB"/>
        </w:rPr>
        <w:t xml:space="preserve"> 16(2)</w:t>
      </w:r>
      <w:r w:rsidR="003D3267">
        <w:rPr>
          <w:noProof/>
          <w:sz w:val="22"/>
          <w:szCs w:val="22"/>
          <w:lang w:val="en-GB"/>
        </w:rPr>
        <w:t>:</w:t>
      </w:r>
      <w:r w:rsidRPr="00DB09F2">
        <w:rPr>
          <w:noProof/>
          <w:sz w:val="22"/>
          <w:szCs w:val="22"/>
          <w:lang w:val="en-GB"/>
        </w:rPr>
        <w:t>154-164.</w:t>
      </w:r>
    </w:p>
    <w:p w14:paraId="682DCEC4" w14:textId="6081CDA2" w:rsidR="00801B1F" w:rsidRDefault="00801B1F" w:rsidP="005F2D8B">
      <w:pPr>
        <w:autoSpaceDE w:val="0"/>
        <w:autoSpaceDN w:val="0"/>
        <w:adjustRightInd w:val="0"/>
        <w:spacing w:after="120"/>
        <w:ind w:left="284" w:hanging="284"/>
        <w:rPr>
          <w:noProof/>
          <w:sz w:val="22"/>
          <w:szCs w:val="22"/>
          <w:lang w:val="en-GB"/>
        </w:rPr>
      </w:pPr>
      <w:r w:rsidRPr="006F16B8">
        <w:rPr>
          <w:noProof/>
          <w:sz w:val="22"/>
          <w:szCs w:val="22"/>
          <w:lang w:val="en-GB"/>
        </w:rPr>
        <w:t>Tan</w:t>
      </w:r>
      <w:r w:rsidR="00B72154">
        <w:rPr>
          <w:noProof/>
          <w:sz w:val="22"/>
          <w:szCs w:val="22"/>
          <w:lang w:val="en-GB"/>
        </w:rPr>
        <w:t>,</w:t>
      </w:r>
      <w:r w:rsidRPr="006F16B8">
        <w:rPr>
          <w:noProof/>
          <w:sz w:val="22"/>
          <w:szCs w:val="22"/>
          <w:lang w:val="en-GB"/>
        </w:rPr>
        <w:t xml:space="preserve"> D</w:t>
      </w:r>
      <w:r w:rsidR="00B72154">
        <w:rPr>
          <w:noProof/>
          <w:sz w:val="22"/>
          <w:szCs w:val="22"/>
          <w:lang w:val="en-GB"/>
        </w:rPr>
        <w:t>.</w:t>
      </w:r>
      <w:r w:rsidR="004C7E5F" w:rsidRPr="006F16B8">
        <w:rPr>
          <w:noProof/>
          <w:sz w:val="22"/>
          <w:szCs w:val="22"/>
          <w:lang w:val="en-GB"/>
        </w:rPr>
        <w:t xml:space="preserve">, </w:t>
      </w:r>
      <w:r w:rsidR="00364224">
        <w:rPr>
          <w:noProof/>
          <w:sz w:val="22"/>
          <w:szCs w:val="22"/>
          <w:lang w:val="en-GB"/>
        </w:rPr>
        <w:t xml:space="preserve">&amp; </w:t>
      </w:r>
      <w:r w:rsidRPr="006F16B8">
        <w:rPr>
          <w:noProof/>
          <w:sz w:val="22"/>
          <w:szCs w:val="22"/>
          <w:lang w:val="en-GB"/>
        </w:rPr>
        <w:t>Meyer</w:t>
      </w:r>
      <w:r w:rsidR="00B72154">
        <w:rPr>
          <w:noProof/>
          <w:sz w:val="22"/>
          <w:szCs w:val="22"/>
          <w:lang w:val="en-GB"/>
        </w:rPr>
        <w:t>,</w:t>
      </w:r>
      <w:r w:rsidRPr="006F16B8">
        <w:rPr>
          <w:noProof/>
          <w:sz w:val="22"/>
          <w:szCs w:val="22"/>
          <w:lang w:val="en-GB"/>
        </w:rPr>
        <w:t xml:space="preserve"> K</w:t>
      </w:r>
      <w:r w:rsidR="00B72154">
        <w:rPr>
          <w:noProof/>
          <w:sz w:val="22"/>
          <w:szCs w:val="22"/>
          <w:lang w:val="en-GB"/>
        </w:rPr>
        <w:t>.</w:t>
      </w:r>
      <w:r w:rsidRPr="006F16B8">
        <w:rPr>
          <w:noProof/>
          <w:sz w:val="22"/>
          <w:szCs w:val="22"/>
          <w:lang w:val="en-GB"/>
        </w:rPr>
        <w:t>E</w:t>
      </w:r>
      <w:r w:rsidR="004C7E5F" w:rsidRPr="006F16B8">
        <w:rPr>
          <w:noProof/>
          <w:sz w:val="22"/>
          <w:szCs w:val="22"/>
          <w:lang w:val="en-GB"/>
        </w:rPr>
        <w:t>.</w:t>
      </w:r>
      <w:r w:rsidRPr="006F16B8">
        <w:rPr>
          <w:noProof/>
          <w:sz w:val="22"/>
          <w:szCs w:val="22"/>
          <w:lang w:val="en-GB"/>
        </w:rPr>
        <w:t xml:space="preserve"> 201</w:t>
      </w:r>
      <w:r w:rsidR="00DB09F2">
        <w:rPr>
          <w:noProof/>
          <w:sz w:val="22"/>
          <w:szCs w:val="22"/>
          <w:lang w:val="en-GB"/>
        </w:rPr>
        <w:t>1</w:t>
      </w:r>
      <w:r w:rsidRPr="006F16B8">
        <w:rPr>
          <w:noProof/>
          <w:sz w:val="22"/>
          <w:szCs w:val="22"/>
          <w:lang w:val="en-GB"/>
        </w:rPr>
        <w:t>. Country of origin and industry FDI agglomeration of foreign investors in an emerging economy</w:t>
      </w:r>
      <w:r w:rsidR="009C6BB2">
        <w:rPr>
          <w:noProof/>
          <w:sz w:val="22"/>
          <w:szCs w:val="22"/>
          <w:lang w:val="en-GB"/>
        </w:rPr>
        <w:t>.</w:t>
      </w:r>
      <w:r w:rsidRPr="006F16B8">
        <w:rPr>
          <w:noProof/>
          <w:sz w:val="22"/>
          <w:szCs w:val="22"/>
          <w:lang w:val="en-GB"/>
        </w:rPr>
        <w:t xml:space="preserve"> </w:t>
      </w:r>
      <w:r w:rsidRPr="006F16B8">
        <w:rPr>
          <w:i/>
          <w:noProof/>
          <w:sz w:val="22"/>
          <w:szCs w:val="22"/>
          <w:lang w:val="en-GB"/>
        </w:rPr>
        <w:t>Journal of International Business Studies</w:t>
      </w:r>
      <w:r w:rsidR="00A95756">
        <w:rPr>
          <w:i/>
          <w:noProof/>
          <w:sz w:val="22"/>
          <w:szCs w:val="22"/>
          <w:lang w:val="en-GB"/>
        </w:rPr>
        <w:t>,</w:t>
      </w:r>
      <w:r w:rsidRPr="006F16B8">
        <w:rPr>
          <w:noProof/>
          <w:sz w:val="22"/>
          <w:szCs w:val="22"/>
          <w:lang w:val="en-GB"/>
        </w:rPr>
        <w:t xml:space="preserve"> 42</w:t>
      </w:r>
      <w:r w:rsidR="003D3267">
        <w:rPr>
          <w:noProof/>
          <w:sz w:val="22"/>
          <w:szCs w:val="22"/>
          <w:lang w:val="en-GB"/>
        </w:rPr>
        <w:t>(4)</w:t>
      </w:r>
      <w:r w:rsidRPr="006F16B8">
        <w:rPr>
          <w:noProof/>
          <w:sz w:val="22"/>
          <w:szCs w:val="22"/>
          <w:lang w:val="en-GB"/>
        </w:rPr>
        <w:t>: 504-530.</w:t>
      </w:r>
    </w:p>
    <w:p w14:paraId="4062194F" w14:textId="3CFB3410" w:rsidR="004D2EF1" w:rsidRDefault="004D2EF1" w:rsidP="005F2D8B">
      <w:pPr>
        <w:widowControl w:val="0"/>
        <w:spacing w:after="120"/>
        <w:ind w:left="440" w:hangingChars="200" w:hanging="440"/>
        <w:rPr>
          <w:sz w:val="22"/>
          <w:szCs w:val="22"/>
        </w:rPr>
      </w:pPr>
      <w:r w:rsidRPr="0018025D">
        <w:rPr>
          <w:sz w:val="22"/>
          <w:szCs w:val="22"/>
          <w:lang w:val="de-DE"/>
        </w:rPr>
        <w:t>Tihanyi</w:t>
      </w:r>
      <w:r w:rsidR="00B72154">
        <w:rPr>
          <w:sz w:val="22"/>
          <w:szCs w:val="22"/>
          <w:lang w:val="de-DE"/>
        </w:rPr>
        <w:t>,</w:t>
      </w:r>
      <w:r w:rsidRPr="0018025D">
        <w:rPr>
          <w:sz w:val="22"/>
          <w:szCs w:val="22"/>
          <w:lang w:val="de-DE"/>
        </w:rPr>
        <w:t xml:space="preserve"> L</w:t>
      </w:r>
      <w:r w:rsidR="00B72154">
        <w:rPr>
          <w:sz w:val="22"/>
          <w:szCs w:val="22"/>
          <w:lang w:val="de-DE"/>
        </w:rPr>
        <w:t>.</w:t>
      </w:r>
      <w:r w:rsidRPr="0018025D">
        <w:rPr>
          <w:sz w:val="22"/>
          <w:szCs w:val="22"/>
          <w:lang w:val="de-DE"/>
        </w:rPr>
        <w:t>, Griffith</w:t>
      </w:r>
      <w:r w:rsidR="00B72154">
        <w:rPr>
          <w:sz w:val="22"/>
          <w:szCs w:val="22"/>
          <w:lang w:val="de-DE"/>
        </w:rPr>
        <w:t>,</w:t>
      </w:r>
      <w:r w:rsidRPr="0018025D">
        <w:rPr>
          <w:sz w:val="22"/>
          <w:szCs w:val="22"/>
          <w:lang w:val="de-DE"/>
        </w:rPr>
        <w:t xml:space="preserve"> D</w:t>
      </w:r>
      <w:r w:rsidR="00B72154">
        <w:rPr>
          <w:sz w:val="22"/>
          <w:szCs w:val="22"/>
          <w:lang w:val="de-DE"/>
        </w:rPr>
        <w:t>.</w:t>
      </w:r>
      <w:r w:rsidRPr="0018025D">
        <w:rPr>
          <w:sz w:val="22"/>
          <w:szCs w:val="22"/>
          <w:lang w:val="de-DE"/>
        </w:rPr>
        <w:t>A</w:t>
      </w:r>
      <w:r w:rsidR="00B72154">
        <w:rPr>
          <w:sz w:val="22"/>
          <w:szCs w:val="22"/>
          <w:lang w:val="de-DE"/>
        </w:rPr>
        <w:t>.</w:t>
      </w:r>
      <w:r w:rsidRPr="0018025D">
        <w:rPr>
          <w:sz w:val="22"/>
          <w:szCs w:val="22"/>
          <w:lang w:val="de-DE"/>
        </w:rPr>
        <w:t xml:space="preserve">, </w:t>
      </w:r>
      <w:r w:rsidR="00364224">
        <w:rPr>
          <w:sz w:val="22"/>
          <w:szCs w:val="22"/>
          <w:lang w:val="de-DE"/>
        </w:rPr>
        <w:t xml:space="preserve">&amp; </w:t>
      </w:r>
      <w:r w:rsidRPr="0018025D">
        <w:rPr>
          <w:sz w:val="22"/>
          <w:szCs w:val="22"/>
          <w:lang w:val="de-DE"/>
        </w:rPr>
        <w:t>Russell</w:t>
      </w:r>
      <w:r w:rsidR="00B72154">
        <w:rPr>
          <w:sz w:val="22"/>
          <w:szCs w:val="22"/>
          <w:lang w:val="de-DE"/>
        </w:rPr>
        <w:t>,</w:t>
      </w:r>
      <w:r w:rsidRPr="0018025D">
        <w:rPr>
          <w:sz w:val="22"/>
          <w:szCs w:val="22"/>
          <w:lang w:val="de-DE"/>
        </w:rPr>
        <w:t xml:space="preserve"> C</w:t>
      </w:r>
      <w:r w:rsidR="00B72154">
        <w:rPr>
          <w:sz w:val="22"/>
          <w:szCs w:val="22"/>
          <w:lang w:val="de-DE"/>
        </w:rPr>
        <w:t>.</w:t>
      </w:r>
      <w:r w:rsidRPr="0018025D">
        <w:rPr>
          <w:sz w:val="22"/>
          <w:szCs w:val="22"/>
          <w:lang w:val="de-DE"/>
        </w:rPr>
        <w:t xml:space="preserve">L. 2005. </w:t>
      </w:r>
      <w:r w:rsidRPr="006F16B8">
        <w:rPr>
          <w:sz w:val="22"/>
          <w:szCs w:val="22"/>
        </w:rPr>
        <w:t>The effect cultural distance on entry mode choice, international diversification, and MNE performance: a meta-analysis</w:t>
      </w:r>
      <w:r w:rsidR="009C6BB2">
        <w:rPr>
          <w:sz w:val="22"/>
          <w:szCs w:val="22"/>
        </w:rPr>
        <w:t>.</w:t>
      </w:r>
      <w:r w:rsidRPr="006F16B8">
        <w:rPr>
          <w:sz w:val="22"/>
          <w:szCs w:val="22"/>
        </w:rPr>
        <w:t xml:space="preserve"> </w:t>
      </w:r>
      <w:r w:rsidRPr="006F16B8">
        <w:rPr>
          <w:i/>
          <w:sz w:val="22"/>
          <w:szCs w:val="22"/>
        </w:rPr>
        <w:t>Journal of International Business Studies</w:t>
      </w:r>
      <w:r w:rsidR="00A95756">
        <w:rPr>
          <w:i/>
          <w:sz w:val="22"/>
          <w:szCs w:val="22"/>
        </w:rPr>
        <w:t>,</w:t>
      </w:r>
      <w:r w:rsidRPr="006F16B8">
        <w:rPr>
          <w:sz w:val="22"/>
          <w:szCs w:val="22"/>
        </w:rPr>
        <w:t xml:space="preserve"> 36(3):</w:t>
      </w:r>
      <w:r w:rsidR="009C6BB2">
        <w:rPr>
          <w:sz w:val="22"/>
          <w:szCs w:val="22"/>
        </w:rPr>
        <w:t xml:space="preserve"> </w:t>
      </w:r>
      <w:r w:rsidRPr="006F16B8">
        <w:rPr>
          <w:sz w:val="22"/>
          <w:szCs w:val="22"/>
        </w:rPr>
        <w:t>270-283.</w:t>
      </w:r>
    </w:p>
    <w:p w14:paraId="1C086F0B" w14:textId="51101EBB" w:rsidR="00C61B36" w:rsidRPr="00C61B36" w:rsidRDefault="00C61B36" w:rsidP="005F2D8B">
      <w:pPr>
        <w:widowControl w:val="0"/>
        <w:spacing w:after="120"/>
        <w:ind w:left="440" w:hangingChars="200" w:hanging="440"/>
        <w:rPr>
          <w:sz w:val="22"/>
          <w:szCs w:val="22"/>
        </w:rPr>
      </w:pPr>
      <w:r>
        <w:rPr>
          <w:sz w:val="22"/>
          <w:szCs w:val="22"/>
        </w:rPr>
        <w:t xml:space="preserve">Tong, S.Y., 2005, Ethnic networks in FDI and the impact of institutional development, </w:t>
      </w:r>
      <w:r>
        <w:rPr>
          <w:i/>
          <w:sz w:val="22"/>
          <w:szCs w:val="22"/>
        </w:rPr>
        <w:t xml:space="preserve">Review of Development Economics, </w:t>
      </w:r>
      <w:r>
        <w:rPr>
          <w:sz w:val="22"/>
          <w:szCs w:val="22"/>
        </w:rPr>
        <w:t>9, 4,  563-80.</w:t>
      </w:r>
    </w:p>
    <w:p w14:paraId="1DF6A7E3" w14:textId="0F15F7B5" w:rsidR="00084021" w:rsidRDefault="00084021" w:rsidP="00084021">
      <w:pPr>
        <w:widowControl w:val="0"/>
        <w:spacing w:after="120"/>
        <w:ind w:left="440" w:hangingChars="200" w:hanging="440"/>
        <w:rPr>
          <w:bCs/>
          <w:sz w:val="22"/>
          <w:szCs w:val="22"/>
        </w:rPr>
      </w:pPr>
      <w:r w:rsidRPr="00084021">
        <w:rPr>
          <w:bCs/>
          <w:sz w:val="22"/>
          <w:szCs w:val="22"/>
          <w:lang w:val="en"/>
        </w:rPr>
        <w:t>Townsend,</w:t>
      </w:r>
      <w:r>
        <w:rPr>
          <w:bCs/>
          <w:sz w:val="22"/>
          <w:szCs w:val="22"/>
          <w:lang w:val="en"/>
        </w:rPr>
        <w:t xml:space="preserve"> J</w:t>
      </w:r>
      <w:r w:rsidR="00B72154">
        <w:rPr>
          <w:bCs/>
          <w:sz w:val="22"/>
          <w:szCs w:val="22"/>
          <w:lang w:val="en"/>
        </w:rPr>
        <w:t>.</w:t>
      </w:r>
      <w:r>
        <w:rPr>
          <w:bCs/>
          <w:sz w:val="22"/>
          <w:szCs w:val="22"/>
          <w:lang w:val="en"/>
        </w:rPr>
        <w:t>,</w:t>
      </w:r>
      <w:r w:rsidRPr="00084021">
        <w:rPr>
          <w:bCs/>
          <w:sz w:val="22"/>
          <w:szCs w:val="22"/>
          <w:lang w:val="en"/>
        </w:rPr>
        <w:t xml:space="preserve"> Yeniyurt</w:t>
      </w:r>
      <w:r w:rsidR="00B72154">
        <w:rPr>
          <w:bCs/>
          <w:sz w:val="22"/>
          <w:szCs w:val="22"/>
          <w:lang w:val="en"/>
        </w:rPr>
        <w:t>,</w:t>
      </w:r>
      <w:r w:rsidRPr="00084021">
        <w:rPr>
          <w:bCs/>
          <w:sz w:val="22"/>
          <w:szCs w:val="22"/>
          <w:lang w:val="en"/>
        </w:rPr>
        <w:t xml:space="preserve"> </w:t>
      </w:r>
      <w:r>
        <w:rPr>
          <w:bCs/>
          <w:sz w:val="22"/>
          <w:szCs w:val="22"/>
          <w:lang w:val="en"/>
        </w:rPr>
        <w:t xml:space="preserve">S., </w:t>
      </w:r>
      <w:r w:rsidR="00364224">
        <w:rPr>
          <w:bCs/>
          <w:sz w:val="22"/>
          <w:szCs w:val="22"/>
          <w:lang w:val="en"/>
        </w:rPr>
        <w:t xml:space="preserve">&amp; </w:t>
      </w:r>
      <w:r w:rsidRPr="00084021">
        <w:rPr>
          <w:bCs/>
          <w:sz w:val="22"/>
          <w:szCs w:val="22"/>
          <w:lang w:val="en"/>
        </w:rPr>
        <w:t xml:space="preserve">Talay, </w:t>
      </w:r>
      <w:r>
        <w:rPr>
          <w:bCs/>
          <w:sz w:val="22"/>
          <w:szCs w:val="22"/>
          <w:lang w:val="en"/>
        </w:rPr>
        <w:t>M</w:t>
      </w:r>
      <w:r w:rsidR="00B72154">
        <w:rPr>
          <w:bCs/>
          <w:sz w:val="22"/>
          <w:szCs w:val="22"/>
          <w:lang w:val="en"/>
        </w:rPr>
        <w:t>.</w:t>
      </w:r>
      <w:r>
        <w:rPr>
          <w:bCs/>
          <w:sz w:val="22"/>
          <w:szCs w:val="22"/>
          <w:lang w:val="en"/>
        </w:rPr>
        <w:t>B</w:t>
      </w:r>
      <w:r w:rsidR="00B72154">
        <w:rPr>
          <w:bCs/>
          <w:sz w:val="22"/>
          <w:szCs w:val="22"/>
          <w:lang w:val="en"/>
        </w:rPr>
        <w:t>.</w:t>
      </w:r>
      <w:r>
        <w:rPr>
          <w:bCs/>
          <w:sz w:val="22"/>
          <w:szCs w:val="22"/>
          <w:lang w:val="en"/>
        </w:rPr>
        <w:t xml:space="preserve">, </w:t>
      </w:r>
      <w:r w:rsidRPr="00084021">
        <w:rPr>
          <w:bCs/>
          <w:sz w:val="22"/>
          <w:szCs w:val="22"/>
          <w:lang w:val="en"/>
        </w:rPr>
        <w:t>2009</w:t>
      </w:r>
      <w:r>
        <w:rPr>
          <w:bCs/>
          <w:sz w:val="22"/>
          <w:szCs w:val="22"/>
          <w:lang w:val="en"/>
        </w:rPr>
        <w:t>.</w:t>
      </w:r>
      <w:r w:rsidRPr="00084021">
        <w:t xml:space="preserve"> </w:t>
      </w:r>
      <w:r w:rsidRPr="00084021">
        <w:rPr>
          <w:bCs/>
          <w:sz w:val="22"/>
          <w:szCs w:val="22"/>
          <w:lang w:val="en"/>
        </w:rPr>
        <w:t>Getting to global: An evolutionary perspective of brand expansion in international markets</w:t>
      </w:r>
      <w:r w:rsidR="003D3267">
        <w:rPr>
          <w:bCs/>
          <w:sz w:val="22"/>
          <w:szCs w:val="22"/>
          <w:lang w:val="en"/>
        </w:rPr>
        <w:t>.</w:t>
      </w:r>
      <w:r w:rsidRPr="00084021">
        <w:rPr>
          <w:i/>
          <w:sz w:val="22"/>
          <w:szCs w:val="22"/>
        </w:rPr>
        <w:t xml:space="preserve"> </w:t>
      </w:r>
      <w:r w:rsidRPr="00084021">
        <w:rPr>
          <w:bCs/>
          <w:i/>
          <w:sz w:val="22"/>
          <w:szCs w:val="22"/>
        </w:rPr>
        <w:t xml:space="preserve">Journal of International Business </w:t>
      </w:r>
      <w:r w:rsidR="003D3267" w:rsidRPr="00084021">
        <w:rPr>
          <w:bCs/>
          <w:i/>
          <w:sz w:val="22"/>
          <w:szCs w:val="22"/>
        </w:rPr>
        <w:t>Studie</w:t>
      </w:r>
      <w:r w:rsidR="003D3267">
        <w:rPr>
          <w:bCs/>
          <w:i/>
          <w:sz w:val="22"/>
          <w:szCs w:val="22"/>
        </w:rPr>
        <w:t>s</w:t>
      </w:r>
      <w:r w:rsidR="00A95756">
        <w:rPr>
          <w:bCs/>
          <w:i/>
          <w:sz w:val="22"/>
          <w:szCs w:val="22"/>
        </w:rPr>
        <w:t>,</w:t>
      </w:r>
      <w:r w:rsidR="003D3267">
        <w:rPr>
          <w:bCs/>
          <w:i/>
          <w:sz w:val="22"/>
          <w:szCs w:val="22"/>
        </w:rPr>
        <w:t xml:space="preserve"> 40</w:t>
      </w:r>
      <w:r w:rsidR="003D3267">
        <w:rPr>
          <w:bCs/>
          <w:sz w:val="22"/>
          <w:szCs w:val="22"/>
        </w:rPr>
        <w:t>(4):</w:t>
      </w:r>
      <w:r>
        <w:rPr>
          <w:bCs/>
          <w:sz w:val="22"/>
          <w:szCs w:val="22"/>
        </w:rPr>
        <w:t xml:space="preserve"> 539-58.</w:t>
      </w:r>
    </w:p>
    <w:p w14:paraId="34D1FF73" w14:textId="66268689" w:rsidR="00234263" w:rsidRPr="00234263" w:rsidRDefault="00234263" w:rsidP="00084021">
      <w:pPr>
        <w:widowControl w:val="0"/>
        <w:spacing w:after="120"/>
        <w:ind w:left="440" w:hangingChars="200" w:hanging="440"/>
        <w:rPr>
          <w:bCs/>
          <w:sz w:val="22"/>
          <w:szCs w:val="22"/>
          <w:lang w:val="en"/>
        </w:rPr>
      </w:pPr>
      <w:r>
        <w:rPr>
          <w:bCs/>
          <w:sz w:val="22"/>
          <w:szCs w:val="22"/>
          <w:lang w:val="en"/>
        </w:rPr>
        <w:t>Train, K. 2009</w:t>
      </w:r>
      <w:r w:rsidRPr="00234263">
        <w:rPr>
          <w:bCs/>
          <w:sz w:val="22"/>
          <w:szCs w:val="22"/>
          <w:lang w:val="en"/>
        </w:rPr>
        <w:t>. </w:t>
      </w:r>
      <w:r w:rsidRPr="00234263">
        <w:rPr>
          <w:bCs/>
          <w:i/>
          <w:sz w:val="22"/>
          <w:szCs w:val="22"/>
          <w:lang w:val="en"/>
        </w:rPr>
        <w:t>Discrete choice methods with simulation</w:t>
      </w:r>
      <w:r w:rsidRPr="00234263">
        <w:rPr>
          <w:bCs/>
          <w:sz w:val="22"/>
          <w:szCs w:val="22"/>
          <w:lang w:val="en"/>
        </w:rPr>
        <w:t> (2nd ed.). New York: Cambridge University Press.</w:t>
      </w:r>
    </w:p>
    <w:p w14:paraId="3BD12688" w14:textId="7A57FD72" w:rsidR="00474C26" w:rsidRDefault="00A01B1A" w:rsidP="005F2D8B">
      <w:pPr>
        <w:autoSpaceDE w:val="0"/>
        <w:autoSpaceDN w:val="0"/>
        <w:adjustRightInd w:val="0"/>
        <w:spacing w:after="120"/>
        <w:ind w:left="284" w:hanging="284"/>
        <w:rPr>
          <w:sz w:val="22"/>
          <w:szCs w:val="22"/>
          <w:lang w:val="en-GB"/>
        </w:rPr>
      </w:pPr>
      <w:r w:rsidRPr="006F16B8">
        <w:rPr>
          <w:sz w:val="22"/>
          <w:szCs w:val="22"/>
          <w:lang w:val="en-GB"/>
        </w:rPr>
        <w:t>UNCTAD</w:t>
      </w:r>
      <w:r w:rsidR="00B72154">
        <w:rPr>
          <w:sz w:val="22"/>
          <w:szCs w:val="22"/>
          <w:lang w:val="en-GB"/>
        </w:rPr>
        <w:t>.</w:t>
      </w:r>
      <w:r w:rsidRPr="006F16B8">
        <w:rPr>
          <w:sz w:val="22"/>
          <w:szCs w:val="22"/>
          <w:lang w:val="en-GB"/>
        </w:rPr>
        <w:t xml:space="preserve"> 201</w:t>
      </w:r>
      <w:r w:rsidR="0061384E">
        <w:rPr>
          <w:sz w:val="22"/>
          <w:szCs w:val="22"/>
          <w:lang w:val="en-GB"/>
        </w:rPr>
        <w:t>2</w:t>
      </w:r>
      <w:r w:rsidR="002A5131">
        <w:rPr>
          <w:sz w:val="22"/>
          <w:szCs w:val="22"/>
          <w:lang w:val="en-GB"/>
        </w:rPr>
        <w:t>,</w:t>
      </w:r>
      <w:r w:rsidRPr="006F16B8">
        <w:rPr>
          <w:sz w:val="22"/>
          <w:szCs w:val="22"/>
          <w:lang w:val="en-GB"/>
        </w:rPr>
        <w:t xml:space="preserve"> </w:t>
      </w:r>
      <w:r w:rsidR="001A281E" w:rsidRPr="00DF1B08">
        <w:rPr>
          <w:i/>
          <w:sz w:val="22"/>
          <w:szCs w:val="22"/>
          <w:lang w:val="en-GB"/>
        </w:rPr>
        <w:t>World Investment Report</w:t>
      </w:r>
      <w:r w:rsidR="00702925">
        <w:rPr>
          <w:i/>
          <w:sz w:val="22"/>
          <w:szCs w:val="22"/>
          <w:lang w:val="en-GB"/>
        </w:rPr>
        <w:t xml:space="preserve"> 2012</w:t>
      </w:r>
      <w:r w:rsidRPr="006F16B8">
        <w:rPr>
          <w:sz w:val="22"/>
          <w:szCs w:val="22"/>
          <w:lang w:val="en-GB"/>
        </w:rPr>
        <w:t xml:space="preserve">, Geneva: UN. </w:t>
      </w:r>
    </w:p>
    <w:p w14:paraId="1D52C238" w14:textId="5B080D15" w:rsidR="00702925" w:rsidRDefault="00702925" w:rsidP="00702925">
      <w:pPr>
        <w:autoSpaceDE w:val="0"/>
        <w:autoSpaceDN w:val="0"/>
        <w:adjustRightInd w:val="0"/>
        <w:spacing w:after="120"/>
        <w:ind w:left="284" w:hanging="284"/>
        <w:rPr>
          <w:sz w:val="22"/>
          <w:szCs w:val="22"/>
          <w:lang w:val="en-GB"/>
        </w:rPr>
      </w:pPr>
      <w:bookmarkStart w:id="6" w:name="OLE_LINK3"/>
      <w:bookmarkStart w:id="7" w:name="OLE_LINK4"/>
      <w:r w:rsidRPr="006F16B8">
        <w:rPr>
          <w:sz w:val="22"/>
          <w:szCs w:val="22"/>
          <w:lang w:val="en-GB"/>
        </w:rPr>
        <w:t>UNCTAD</w:t>
      </w:r>
      <w:r>
        <w:rPr>
          <w:sz w:val="22"/>
          <w:szCs w:val="22"/>
          <w:lang w:val="en-GB"/>
        </w:rPr>
        <w:t>. 2016</w:t>
      </w:r>
      <w:r w:rsidRPr="006F16B8">
        <w:rPr>
          <w:sz w:val="22"/>
          <w:szCs w:val="22"/>
          <w:lang w:val="en-GB"/>
        </w:rPr>
        <w:t xml:space="preserve">. </w:t>
      </w:r>
      <w:r w:rsidRPr="00DF1B08">
        <w:rPr>
          <w:i/>
          <w:sz w:val="22"/>
          <w:szCs w:val="22"/>
          <w:lang w:val="en-GB"/>
        </w:rPr>
        <w:t>World Investment Report</w:t>
      </w:r>
      <w:r>
        <w:rPr>
          <w:i/>
          <w:sz w:val="22"/>
          <w:szCs w:val="22"/>
          <w:lang w:val="en-GB"/>
        </w:rPr>
        <w:t xml:space="preserve"> 2016</w:t>
      </w:r>
      <w:r w:rsidRPr="006F16B8">
        <w:rPr>
          <w:sz w:val="22"/>
          <w:szCs w:val="22"/>
          <w:lang w:val="en-GB"/>
        </w:rPr>
        <w:t xml:space="preserve">, Geneva: UN. </w:t>
      </w:r>
    </w:p>
    <w:p w14:paraId="1F63453C" w14:textId="7D43EE1C" w:rsidR="00EA6F9C" w:rsidRDefault="00EA6F9C" w:rsidP="00EA6F9C">
      <w:pPr>
        <w:autoSpaceDE w:val="0"/>
        <w:autoSpaceDN w:val="0"/>
        <w:adjustRightInd w:val="0"/>
        <w:spacing w:after="120"/>
        <w:ind w:left="284" w:hanging="284"/>
        <w:rPr>
          <w:noProof/>
          <w:sz w:val="22"/>
          <w:szCs w:val="22"/>
          <w:lang w:val="en-GB"/>
        </w:rPr>
      </w:pPr>
      <w:r w:rsidRPr="006F16B8">
        <w:rPr>
          <w:noProof/>
          <w:sz w:val="22"/>
          <w:szCs w:val="22"/>
        </w:rPr>
        <w:lastRenderedPageBreak/>
        <w:t>Verbeke</w:t>
      </w:r>
      <w:r w:rsidR="00B72154">
        <w:rPr>
          <w:noProof/>
          <w:sz w:val="22"/>
          <w:szCs w:val="22"/>
        </w:rPr>
        <w:t>,</w:t>
      </w:r>
      <w:r w:rsidRPr="006F16B8">
        <w:rPr>
          <w:noProof/>
          <w:sz w:val="22"/>
          <w:szCs w:val="22"/>
        </w:rPr>
        <w:t xml:space="preserve"> A</w:t>
      </w:r>
      <w:r w:rsidR="00B72154">
        <w:rPr>
          <w:noProof/>
          <w:sz w:val="22"/>
          <w:szCs w:val="22"/>
        </w:rPr>
        <w:t>.</w:t>
      </w:r>
      <w:r w:rsidRPr="006F16B8">
        <w:rPr>
          <w:noProof/>
          <w:sz w:val="22"/>
          <w:szCs w:val="22"/>
        </w:rPr>
        <w:t xml:space="preserve">, </w:t>
      </w:r>
      <w:r w:rsidR="00364224">
        <w:rPr>
          <w:noProof/>
          <w:sz w:val="22"/>
          <w:szCs w:val="22"/>
        </w:rPr>
        <w:t xml:space="preserve">&amp; </w:t>
      </w:r>
      <w:r w:rsidRPr="006F16B8">
        <w:rPr>
          <w:noProof/>
          <w:sz w:val="22"/>
          <w:szCs w:val="22"/>
        </w:rPr>
        <w:t>Kano</w:t>
      </w:r>
      <w:r w:rsidR="00B72154">
        <w:rPr>
          <w:noProof/>
          <w:sz w:val="22"/>
          <w:szCs w:val="22"/>
        </w:rPr>
        <w:t>,</w:t>
      </w:r>
      <w:r w:rsidRPr="006F16B8">
        <w:rPr>
          <w:noProof/>
          <w:sz w:val="22"/>
          <w:szCs w:val="22"/>
        </w:rPr>
        <w:t xml:space="preserve"> L. 201</w:t>
      </w:r>
      <w:r>
        <w:rPr>
          <w:noProof/>
          <w:sz w:val="22"/>
          <w:szCs w:val="22"/>
        </w:rPr>
        <w:t>5.</w:t>
      </w:r>
      <w:r w:rsidRPr="006F16B8">
        <w:rPr>
          <w:noProof/>
          <w:sz w:val="22"/>
          <w:szCs w:val="22"/>
        </w:rPr>
        <w:t xml:space="preserve"> </w:t>
      </w:r>
      <w:r w:rsidRPr="00894665">
        <w:rPr>
          <w:noProof/>
          <w:sz w:val="22"/>
          <w:szCs w:val="22"/>
        </w:rPr>
        <w:t xml:space="preserve">The </w:t>
      </w:r>
      <w:r>
        <w:rPr>
          <w:noProof/>
          <w:sz w:val="22"/>
          <w:szCs w:val="22"/>
        </w:rPr>
        <w:t>n</w:t>
      </w:r>
      <w:r w:rsidRPr="00894665">
        <w:rPr>
          <w:noProof/>
          <w:sz w:val="22"/>
          <w:szCs w:val="22"/>
        </w:rPr>
        <w:t xml:space="preserve">ew </w:t>
      </w:r>
      <w:r>
        <w:rPr>
          <w:noProof/>
          <w:sz w:val="22"/>
          <w:szCs w:val="22"/>
        </w:rPr>
        <w:t>internalization theory and multinational enterprises from emerging e</w:t>
      </w:r>
      <w:r w:rsidRPr="00894665">
        <w:rPr>
          <w:noProof/>
          <w:sz w:val="22"/>
          <w:szCs w:val="22"/>
        </w:rPr>
        <w:t>conomies:</w:t>
      </w:r>
      <w:r>
        <w:rPr>
          <w:noProof/>
          <w:sz w:val="22"/>
          <w:szCs w:val="22"/>
        </w:rPr>
        <w:t xml:space="preserve"> A business history perspective</w:t>
      </w:r>
      <w:r w:rsidR="00A95756">
        <w:rPr>
          <w:noProof/>
          <w:sz w:val="22"/>
          <w:szCs w:val="22"/>
        </w:rPr>
        <w:t>.</w:t>
      </w:r>
      <w:r>
        <w:rPr>
          <w:noProof/>
          <w:sz w:val="22"/>
          <w:szCs w:val="22"/>
        </w:rPr>
        <w:t xml:space="preserve"> </w:t>
      </w:r>
      <w:r w:rsidRPr="00F76832">
        <w:rPr>
          <w:i/>
          <w:noProof/>
          <w:sz w:val="22"/>
          <w:szCs w:val="22"/>
        </w:rPr>
        <w:t>Business History Review</w:t>
      </w:r>
      <w:r>
        <w:rPr>
          <w:noProof/>
          <w:sz w:val="22"/>
          <w:szCs w:val="22"/>
        </w:rPr>
        <w:t>, 89(3): 415-455</w:t>
      </w:r>
      <w:r w:rsidRPr="006F16B8">
        <w:rPr>
          <w:noProof/>
          <w:sz w:val="22"/>
          <w:szCs w:val="22"/>
          <w:lang w:val="en-GB"/>
        </w:rPr>
        <w:t>.</w:t>
      </w:r>
    </w:p>
    <w:p w14:paraId="60987DB1" w14:textId="34FE75CA" w:rsidR="004026E5" w:rsidRDefault="004026E5" w:rsidP="00EA6F9C">
      <w:pPr>
        <w:autoSpaceDE w:val="0"/>
        <w:autoSpaceDN w:val="0"/>
        <w:adjustRightInd w:val="0"/>
        <w:spacing w:after="120"/>
        <w:ind w:left="284" w:hanging="284"/>
        <w:rPr>
          <w:noProof/>
          <w:sz w:val="22"/>
          <w:szCs w:val="22"/>
          <w:lang w:val="en-GB"/>
        </w:rPr>
      </w:pPr>
      <w:r>
        <w:rPr>
          <w:noProof/>
          <w:sz w:val="22"/>
          <w:szCs w:val="22"/>
          <w:lang w:val="en-GB"/>
        </w:rPr>
        <w:t xml:space="preserve">Wade, R.,1990, </w:t>
      </w:r>
      <w:r w:rsidRPr="00B979EE">
        <w:rPr>
          <w:i/>
          <w:noProof/>
          <w:sz w:val="22"/>
          <w:szCs w:val="22"/>
          <w:lang w:val="en-GB"/>
        </w:rPr>
        <w:t>Governing the market: economic theory and the role of government in East Asian industrialization.</w:t>
      </w:r>
      <w:r>
        <w:rPr>
          <w:noProof/>
          <w:sz w:val="22"/>
          <w:szCs w:val="22"/>
          <w:lang w:val="en-GB"/>
        </w:rPr>
        <w:t xml:space="preserve"> Princeton, N.J.</w:t>
      </w:r>
    </w:p>
    <w:p w14:paraId="3E63C45F" w14:textId="722537DA" w:rsidR="0003172A" w:rsidRPr="006F16B8" w:rsidRDefault="0003172A" w:rsidP="0003172A">
      <w:pPr>
        <w:autoSpaceDE w:val="0"/>
        <w:autoSpaceDN w:val="0"/>
        <w:adjustRightInd w:val="0"/>
        <w:spacing w:after="120"/>
        <w:ind w:left="284" w:hanging="284"/>
        <w:rPr>
          <w:noProof/>
          <w:sz w:val="22"/>
          <w:szCs w:val="22"/>
        </w:rPr>
      </w:pPr>
      <w:r>
        <w:rPr>
          <w:noProof/>
          <w:sz w:val="22"/>
          <w:szCs w:val="22"/>
          <w:lang w:val="en-GB"/>
        </w:rPr>
        <w:t>Wang</w:t>
      </w:r>
      <w:r w:rsidR="00B72154">
        <w:rPr>
          <w:noProof/>
          <w:sz w:val="22"/>
          <w:szCs w:val="22"/>
          <w:lang w:val="en-GB"/>
        </w:rPr>
        <w:t>,</w:t>
      </w:r>
      <w:r>
        <w:rPr>
          <w:noProof/>
          <w:sz w:val="22"/>
          <w:szCs w:val="22"/>
          <w:lang w:val="en-GB"/>
        </w:rPr>
        <w:t xml:space="preserve"> S</w:t>
      </w:r>
      <w:r w:rsidR="00B72154">
        <w:rPr>
          <w:noProof/>
          <w:sz w:val="22"/>
          <w:szCs w:val="22"/>
          <w:lang w:val="en-GB"/>
        </w:rPr>
        <w:t>.</w:t>
      </w:r>
      <w:r>
        <w:rPr>
          <w:noProof/>
          <w:sz w:val="22"/>
          <w:szCs w:val="22"/>
          <w:lang w:val="en-GB"/>
        </w:rPr>
        <w:t>L</w:t>
      </w:r>
      <w:r w:rsidR="00B72154">
        <w:rPr>
          <w:noProof/>
          <w:sz w:val="22"/>
          <w:szCs w:val="22"/>
          <w:lang w:val="en-GB"/>
        </w:rPr>
        <w:t>.</w:t>
      </w:r>
      <w:r>
        <w:rPr>
          <w:noProof/>
          <w:sz w:val="22"/>
          <w:szCs w:val="22"/>
          <w:lang w:val="en-GB"/>
        </w:rPr>
        <w:t>, Luo</w:t>
      </w:r>
      <w:r w:rsidR="00B72154">
        <w:rPr>
          <w:noProof/>
          <w:sz w:val="22"/>
          <w:szCs w:val="22"/>
          <w:lang w:val="en-GB"/>
        </w:rPr>
        <w:t>,</w:t>
      </w:r>
      <w:r>
        <w:rPr>
          <w:noProof/>
          <w:sz w:val="22"/>
          <w:szCs w:val="22"/>
          <w:lang w:val="en-GB"/>
        </w:rPr>
        <w:t xml:space="preserve"> Y</w:t>
      </w:r>
      <w:r w:rsidR="00B72154">
        <w:rPr>
          <w:noProof/>
          <w:sz w:val="22"/>
          <w:szCs w:val="22"/>
          <w:lang w:val="en-GB"/>
        </w:rPr>
        <w:t>.</w:t>
      </w:r>
      <w:r>
        <w:rPr>
          <w:noProof/>
          <w:sz w:val="22"/>
          <w:szCs w:val="22"/>
          <w:lang w:val="en-GB"/>
        </w:rPr>
        <w:t>D</w:t>
      </w:r>
      <w:r w:rsidR="00B72154">
        <w:rPr>
          <w:noProof/>
          <w:sz w:val="22"/>
          <w:szCs w:val="22"/>
          <w:lang w:val="en-GB"/>
        </w:rPr>
        <w:t>.</w:t>
      </w:r>
      <w:r>
        <w:rPr>
          <w:noProof/>
          <w:sz w:val="22"/>
          <w:szCs w:val="22"/>
          <w:lang w:val="en-GB"/>
        </w:rPr>
        <w:t>, Lu</w:t>
      </w:r>
      <w:r w:rsidR="00B72154">
        <w:rPr>
          <w:noProof/>
          <w:sz w:val="22"/>
          <w:szCs w:val="22"/>
          <w:lang w:val="en-GB"/>
        </w:rPr>
        <w:t>,</w:t>
      </w:r>
      <w:r>
        <w:rPr>
          <w:noProof/>
          <w:sz w:val="22"/>
          <w:szCs w:val="22"/>
          <w:lang w:val="en-GB"/>
        </w:rPr>
        <w:t xml:space="preserve"> X</w:t>
      </w:r>
      <w:r w:rsidR="00B72154">
        <w:rPr>
          <w:noProof/>
          <w:sz w:val="22"/>
          <w:szCs w:val="22"/>
          <w:lang w:val="en-GB"/>
        </w:rPr>
        <w:t>.</w:t>
      </w:r>
      <w:r>
        <w:rPr>
          <w:noProof/>
          <w:sz w:val="22"/>
          <w:szCs w:val="22"/>
          <w:lang w:val="en-GB"/>
        </w:rPr>
        <w:t>W</w:t>
      </w:r>
      <w:r w:rsidR="00B72154">
        <w:rPr>
          <w:noProof/>
          <w:sz w:val="22"/>
          <w:szCs w:val="22"/>
          <w:lang w:val="en-GB"/>
        </w:rPr>
        <w:t>.</w:t>
      </w:r>
      <w:r>
        <w:rPr>
          <w:noProof/>
          <w:sz w:val="22"/>
          <w:szCs w:val="22"/>
          <w:lang w:val="en-GB"/>
        </w:rPr>
        <w:t xml:space="preserve">, </w:t>
      </w:r>
      <w:r w:rsidR="00364224">
        <w:rPr>
          <w:noProof/>
          <w:sz w:val="22"/>
          <w:szCs w:val="22"/>
          <w:lang w:val="en-GB"/>
        </w:rPr>
        <w:t xml:space="preserve">&amp; </w:t>
      </w:r>
      <w:r>
        <w:rPr>
          <w:noProof/>
          <w:sz w:val="22"/>
          <w:szCs w:val="22"/>
          <w:lang w:val="en-GB"/>
        </w:rPr>
        <w:t xml:space="preserve">Maksimov V. 2014. </w:t>
      </w:r>
      <w:r w:rsidRPr="0003172A">
        <w:rPr>
          <w:noProof/>
          <w:sz w:val="22"/>
          <w:szCs w:val="22"/>
          <w:lang w:val="en-GB"/>
        </w:rPr>
        <w:t>Autonomy delegation to foreign subsidiaries:</w:t>
      </w:r>
      <w:r>
        <w:rPr>
          <w:noProof/>
          <w:sz w:val="22"/>
          <w:szCs w:val="22"/>
          <w:lang w:val="en-GB"/>
        </w:rPr>
        <w:t xml:space="preserve"> </w:t>
      </w:r>
      <w:r w:rsidRPr="0003172A">
        <w:rPr>
          <w:noProof/>
          <w:sz w:val="22"/>
          <w:szCs w:val="22"/>
          <w:lang w:val="en-GB"/>
        </w:rPr>
        <w:t>An enabling mechanism for emerging-market</w:t>
      </w:r>
      <w:r>
        <w:rPr>
          <w:noProof/>
          <w:sz w:val="22"/>
          <w:szCs w:val="22"/>
          <w:lang w:val="en-GB"/>
        </w:rPr>
        <w:t xml:space="preserve"> </w:t>
      </w:r>
      <w:r w:rsidRPr="0003172A">
        <w:rPr>
          <w:noProof/>
          <w:sz w:val="22"/>
          <w:szCs w:val="22"/>
          <w:lang w:val="en-GB"/>
        </w:rPr>
        <w:t>multinationals</w:t>
      </w:r>
      <w:r>
        <w:rPr>
          <w:noProof/>
          <w:sz w:val="22"/>
          <w:szCs w:val="22"/>
          <w:lang w:val="en-GB"/>
        </w:rPr>
        <w:t xml:space="preserve">. </w:t>
      </w:r>
      <w:r w:rsidRPr="006F16B8">
        <w:rPr>
          <w:bCs/>
          <w:i/>
          <w:sz w:val="22"/>
          <w:szCs w:val="22"/>
          <w:lang w:val="en-AU"/>
        </w:rPr>
        <w:t>Journal of International Business Studies</w:t>
      </w:r>
      <w:r w:rsidRPr="006F16B8">
        <w:rPr>
          <w:bCs/>
          <w:sz w:val="22"/>
          <w:szCs w:val="22"/>
          <w:lang w:val="en-AU"/>
        </w:rPr>
        <w:t xml:space="preserve"> 4</w:t>
      </w:r>
      <w:r>
        <w:rPr>
          <w:bCs/>
          <w:sz w:val="22"/>
          <w:szCs w:val="22"/>
          <w:lang w:val="en-AU"/>
        </w:rPr>
        <w:t>5</w:t>
      </w:r>
      <w:r w:rsidRPr="006F16B8">
        <w:rPr>
          <w:bCs/>
          <w:sz w:val="22"/>
          <w:szCs w:val="22"/>
          <w:lang w:val="en-AU"/>
        </w:rPr>
        <w:t>(</w:t>
      </w:r>
      <w:r>
        <w:rPr>
          <w:bCs/>
          <w:sz w:val="22"/>
          <w:szCs w:val="22"/>
          <w:lang w:val="en-AU"/>
        </w:rPr>
        <w:t>1</w:t>
      </w:r>
      <w:r w:rsidRPr="006F16B8">
        <w:rPr>
          <w:bCs/>
          <w:sz w:val="22"/>
          <w:szCs w:val="22"/>
          <w:lang w:val="en-AU"/>
        </w:rPr>
        <w:t xml:space="preserve">): </w:t>
      </w:r>
      <w:r>
        <w:rPr>
          <w:bCs/>
          <w:sz w:val="22"/>
          <w:szCs w:val="22"/>
          <w:lang w:val="en-AU"/>
        </w:rPr>
        <w:t>111-130.</w:t>
      </w:r>
    </w:p>
    <w:bookmarkEnd w:id="6"/>
    <w:bookmarkEnd w:id="7"/>
    <w:p w14:paraId="6847A22D" w14:textId="6A4D1885" w:rsidR="00516C2C" w:rsidRPr="006F16B8" w:rsidRDefault="00516C2C" w:rsidP="005F2D8B">
      <w:pPr>
        <w:spacing w:after="120"/>
        <w:ind w:left="360" w:hanging="360"/>
        <w:jc w:val="both"/>
        <w:rPr>
          <w:sz w:val="22"/>
          <w:szCs w:val="22"/>
        </w:rPr>
      </w:pPr>
      <w:r>
        <w:rPr>
          <w:sz w:val="22"/>
          <w:szCs w:val="22"/>
        </w:rPr>
        <w:t xml:space="preserve">Zaheer, S. &amp; Nachum, L. 2011. </w:t>
      </w:r>
      <w:r w:rsidRPr="00516C2C">
        <w:rPr>
          <w:sz w:val="22"/>
          <w:szCs w:val="22"/>
        </w:rPr>
        <w:t>Sense of place: From location resources to MNE locational capital</w:t>
      </w:r>
      <w:r w:rsidR="00A95756">
        <w:rPr>
          <w:sz w:val="22"/>
          <w:szCs w:val="22"/>
        </w:rPr>
        <w:t>.</w:t>
      </w:r>
      <w:r>
        <w:rPr>
          <w:sz w:val="22"/>
          <w:szCs w:val="22"/>
        </w:rPr>
        <w:t xml:space="preserve"> </w:t>
      </w:r>
      <w:r w:rsidRPr="00516C2C">
        <w:rPr>
          <w:i/>
          <w:sz w:val="22"/>
          <w:szCs w:val="22"/>
        </w:rPr>
        <w:t>Global Strategy Journal</w:t>
      </w:r>
      <w:r w:rsidR="00A95756">
        <w:rPr>
          <w:i/>
          <w:sz w:val="22"/>
          <w:szCs w:val="22"/>
        </w:rPr>
        <w:t>,</w:t>
      </w:r>
      <w:r>
        <w:rPr>
          <w:sz w:val="22"/>
          <w:szCs w:val="22"/>
        </w:rPr>
        <w:t xml:space="preserve"> 1(1-2): 96-108. </w:t>
      </w:r>
    </w:p>
    <w:p w14:paraId="01D7D158" w14:textId="7640D4FE" w:rsidR="00E40578" w:rsidRDefault="00D01633" w:rsidP="00032263">
      <w:pPr>
        <w:widowControl w:val="0"/>
        <w:spacing w:after="120" w:line="276" w:lineRule="auto"/>
        <w:ind w:left="360" w:hanging="360"/>
        <w:rPr>
          <w:b/>
          <w:bCs/>
          <w:lang w:val="en-GB"/>
        </w:rPr>
      </w:pPr>
      <w:r w:rsidRPr="002E4BB4">
        <w:rPr>
          <w:noProof/>
          <w:sz w:val="22"/>
          <w:szCs w:val="22"/>
          <w:lang w:val="en-AU"/>
        </w:rPr>
        <w:t>Zeng</w:t>
      </w:r>
      <w:r w:rsidR="0041135D">
        <w:rPr>
          <w:noProof/>
          <w:sz w:val="22"/>
          <w:szCs w:val="22"/>
          <w:lang w:val="en-AU"/>
        </w:rPr>
        <w:t>.</w:t>
      </w:r>
      <w:r w:rsidRPr="002E4BB4">
        <w:rPr>
          <w:noProof/>
          <w:sz w:val="22"/>
          <w:szCs w:val="22"/>
          <w:lang w:val="en-AU"/>
        </w:rPr>
        <w:t xml:space="preserve"> M</w:t>
      </w:r>
      <w:r w:rsidR="0041135D">
        <w:rPr>
          <w:noProof/>
          <w:sz w:val="22"/>
          <w:szCs w:val="22"/>
          <w:lang w:val="en-AU"/>
        </w:rPr>
        <w:t>.</w:t>
      </w:r>
      <w:r w:rsidR="00DA1492">
        <w:rPr>
          <w:noProof/>
          <w:sz w:val="22"/>
          <w:szCs w:val="22"/>
          <w:lang w:val="en-AU"/>
        </w:rPr>
        <w:t xml:space="preserve">, </w:t>
      </w:r>
      <w:r w:rsidR="00364224">
        <w:rPr>
          <w:noProof/>
          <w:sz w:val="22"/>
          <w:szCs w:val="22"/>
          <w:lang w:val="en-AU"/>
        </w:rPr>
        <w:t xml:space="preserve">&amp; </w:t>
      </w:r>
      <w:r w:rsidRPr="002E4BB4">
        <w:rPr>
          <w:noProof/>
          <w:sz w:val="22"/>
          <w:szCs w:val="22"/>
          <w:lang w:val="en-AU"/>
        </w:rPr>
        <w:t>Williamson</w:t>
      </w:r>
      <w:r w:rsidR="0041135D">
        <w:rPr>
          <w:noProof/>
          <w:sz w:val="22"/>
          <w:szCs w:val="22"/>
          <w:lang w:val="en-AU"/>
        </w:rPr>
        <w:t>,</w:t>
      </w:r>
      <w:r w:rsidRPr="002E4BB4">
        <w:rPr>
          <w:noProof/>
          <w:sz w:val="22"/>
          <w:szCs w:val="22"/>
          <w:lang w:val="en-AU"/>
        </w:rPr>
        <w:t xml:space="preserve"> P. 2007. </w:t>
      </w:r>
      <w:r w:rsidR="00724805" w:rsidRPr="00724805">
        <w:rPr>
          <w:i/>
          <w:noProof/>
          <w:sz w:val="22"/>
          <w:szCs w:val="22"/>
          <w:lang w:val="en-AU"/>
        </w:rPr>
        <w:t>Dragons at Your Door</w:t>
      </w:r>
      <w:r w:rsidR="00A95756">
        <w:rPr>
          <w:noProof/>
          <w:sz w:val="22"/>
          <w:szCs w:val="22"/>
          <w:lang w:val="en-AU"/>
        </w:rPr>
        <w:t>.</w:t>
      </w:r>
      <w:r w:rsidRPr="002E4BB4">
        <w:rPr>
          <w:noProof/>
          <w:sz w:val="22"/>
          <w:szCs w:val="22"/>
          <w:lang w:val="en-AU"/>
        </w:rPr>
        <w:t xml:space="preserve"> Boston: Harvard Business School Press.</w:t>
      </w:r>
    </w:p>
    <w:p w14:paraId="2770CF25" w14:textId="77777777" w:rsidR="00000990" w:rsidRDefault="00000990">
      <w:pPr>
        <w:rPr>
          <w:b/>
          <w:bCs/>
          <w:noProof/>
          <w:lang w:val="en-GB" w:eastAsia="en-GB"/>
        </w:rPr>
      </w:pPr>
      <w:r>
        <w:rPr>
          <w:b/>
          <w:bCs/>
          <w:noProof/>
          <w:lang w:val="en-GB" w:eastAsia="en-GB"/>
        </w:rPr>
        <w:br w:type="page"/>
      </w:r>
    </w:p>
    <w:p w14:paraId="45D370E8" w14:textId="0E5329A1" w:rsidR="00C25D22" w:rsidRPr="00C25D22" w:rsidRDefault="00C25D22" w:rsidP="00C25D22">
      <w:pPr>
        <w:autoSpaceDE w:val="0"/>
        <w:autoSpaceDN w:val="0"/>
        <w:adjustRightInd w:val="0"/>
        <w:ind w:left="284" w:hanging="284"/>
        <w:rPr>
          <w:b/>
          <w:bCs/>
          <w:noProof/>
          <w:lang w:val="en-GB" w:eastAsia="en-GB"/>
        </w:rPr>
      </w:pPr>
      <w:r w:rsidRPr="00C25D22">
        <w:rPr>
          <w:b/>
          <w:bCs/>
          <w:noProof/>
          <w:lang w:val="en-GB" w:eastAsia="en-GB"/>
        </w:rPr>
        <w:lastRenderedPageBreak/>
        <w:t>Figure 1: Home Country Context, Business Ecosystem and Firm Strategies</w:t>
      </w:r>
    </w:p>
    <w:p w14:paraId="61B6F6CC" w14:textId="27A7DDCB" w:rsidR="00E40578" w:rsidRDefault="00E40578" w:rsidP="005A3198">
      <w:pPr>
        <w:autoSpaceDE w:val="0"/>
        <w:autoSpaceDN w:val="0"/>
        <w:adjustRightInd w:val="0"/>
        <w:ind w:left="284" w:hanging="284"/>
        <w:rPr>
          <w:b/>
          <w:bCs/>
          <w:lang w:val="en-GB"/>
        </w:rPr>
      </w:pPr>
      <w:r>
        <w:rPr>
          <w:b/>
          <w:bCs/>
          <w:noProof/>
          <w:lang w:val="en-CA" w:eastAsia="en-CA"/>
        </w:rPr>
        <w:drawing>
          <wp:inline distT="0" distB="0" distL="0" distR="0" wp14:anchorId="3851DB07" wp14:editId="4EEC0980">
            <wp:extent cx="5460747" cy="40957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1505" cy="4096319"/>
                    </a:xfrm>
                    <a:prstGeom prst="rect">
                      <a:avLst/>
                    </a:prstGeom>
                    <a:noFill/>
                  </pic:spPr>
                </pic:pic>
              </a:graphicData>
            </a:graphic>
          </wp:inline>
        </w:drawing>
      </w:r>
      <w:r w:rsidR="00D11FB6" w:rsidRPr="006F16B8">
        <w:rPr>
          <w:b/>
          <w:bCs/>
          <w:lang w:val="en-GB"/>
        </w:rPr>
        <w:br w:type="page"/>
      </w:r>
    </w:p>
    <w:p w14:paraId="1E27872F" w14:textId="750A739C" w:rsidR="00E47522" w:rsidRDefault="008448DC" w:rsidP="007F1890">
      <w:pPr>
        <w:autoSpaceDE w:val="0"/>
        <w:autoSpaceDN w:val="0"/>
        <w:adjustRightInd w:val="0"/>
        <w:rPr>
          <w:b/>
          <w:bCs/>
          <w:lang w:val="en-GB"/>
        </w:rPr>
      </w:pPr>
      <w:r w:rsidRPr="008E4E26">
        <w:rPr>
          <w:b/>
          <w:bCs/>
          <w:lang w:val="en-GB"/>
        </w:rPr>
        <w:lastRenderedPageBreak/>
        <w:t xml:space="preserve">Figure </w:t>
      </w:r>
      <w:r w:rsidR="00C25D22">
        <w:rPr>
          <w:b/>
          <w:bCs/>
          <w:lang w:val="en-GB"/>
        </w:rPr>
        <w:t>2</w:t>
      </w:r>
      <w:r w:rsidRPr="008E4E26">
        <w:rPr>
          <w:b/>
          <w:bCs/>
          <w:lang w:val="en-GB"/>
        </w:rPr>
        <w:t>: Structure of the dataset</w:t>
      </w:r>
    </w:p>
    <w:p w14:paraId="2D021571" w14:textId="7A24F93D" w:rsidR="00EB5FA8" w:rsidRDefault="00EB5FA8" w:rsidP="007F1890">
      <w:pPr>
        <w:autoSpaceDE w:val="0"/>
        <w:autoSpaceDN w:val="0"/>
        <w:adjustRightInd w:val="0"/>
        <w:rPr>
          <w:b/>
          <w:bCs/>
          <w:lang w:val="en-GB"/>
        </w:rPr>
      </w:pPr>
    </w:p>
    <w:p w14:paraId="777A99CF" w14:textId="5B74DB3E" w:rsidR="00EB5FA8" w:rsidRDefault="00813FD7" w:rsidP="007F1890">
      <w:pPr>
        <w:autoSpaceDE w:val="0"/>
        <w:autoSpaceDN w:val="0"/>
        <w:adjustRightInd w:val="0"/>
        <w:rPr>
          <w:b/>
          <w:bCs/>
          <w:lang w:val="en-GB"/>
        </w:rPr>
      </w:pPr>
      <w:r w:rsidRPr="00813FD7">
        <w:rPr>
          <w:b/>
          <w:bCs/>
          <w:noProof/>
          <w:lang w:val="en-CA" w:eastAsia="en-CA"/>
        </w:rPr>
        <w:drawing>
          <wp:inline distT="0" distB="0" distL="0" distR="0" wp14:anchorId="764B5543" wp14:editId="05A01AC8">
            <wp:extent cx="5160010" cy="3523807"/>
            <wp:effectExtent l="0" t="0" r="2540" b="635"/>
            <wp:docPr id="2" name="Picture 2" descr="\\biz-info.ivey.ca\FacultyStaff\kmeyer\papers\MNE from EM\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z-info.ivey.ca\FacultyStaff\kmeyer\papers\MNE from EM\figure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0010" cy="3523807"/>
                    </a:xfrm>
                    <a:prstGeom prst="rect">
                      <a:avLst/>
                    </a:prstGeom>
                    <a:noFill/>
                    <a:ln>
                      <a:noFill/>
                    </a:ln>
                  </pic:spPr>
                </pic:pic>
              </a:graphicData>
            </a:graphic>
          </wp:inline>
        </w:drawing>
      </w:r>
    </w:p>
    <w:p w14:paraId="1D13A631" w14:textId="77777777" w:rsidR="00EB5FA8" w:rsidRDefault="00EB5FA8" w:rsidP="00EB5FA8">
      <w:pPr>
        <w:autoSpaceDE w:val="0"/>
        <w:autoSpaceDN w:val="0"/>
        <w:adjustRightInd w:val="0"/>
        <w:ind w:left="284" w:hanging="284"/>
        <w:rPr>
          <w:b/>
          <w:bCs/>
          <w:lang w:val="en-GB"/>
        </w:rPr>
      </w:pPr>
    </w:p>
    <w:p w14:paraId="7CAF632A" w14:textId="2CD47540" w:rsidR="00EB5FA8" w:rsidRDefault="00EB5FA8" w:rsidP="00EB5FA8">
      <w:pPr>
        <w:autoSpaceDE w:val="0"/>
        <w:autoSpaceDN w:val="0"/>
        <w:adjustRightInd w:val="0"/>
        <w:rPr>
          <w:b/>
          <w:bCs/>
          <w:lang w:val="en-GB"/>
        </w:rPr>
        <w:sectPr w:rsidR="00EB5FA8" w:rsidSect="004E3975">
          <w:footerReference w:type="default" r:id="rId15"/>
          <w:pgSz w:w="12240" w:h="15840"/>
          <w:pgMar w:top="1440" w:right="2317" w:bottom="431" w:left="1797" w:header="709" w:footer="709" w:gutter="0"/>
          <w:cols w:space="708"/>
          <w:docGrid w:linePitch="360"/>
        </w:sectPr>
      </w:pPr>
    </w:p>
    <w:p w14:paraId="12C2770D" w14:textId="77777777" w:rsidR="00A83424" w:rsidRPr="00A83424" w:rsidRDefault="00A83424" w:rsidP="0085056A">
      <w:pPr>
        <w:autoSpaceDE w:val="0"/>
        <w:autoSpaceDN w:val="0"/>
        <w:adjustRightInd w:val="0"/>
        <w:rPr>
          <w:b/>
          <w:bCs/>
          <w:lang w:val="en-GB"/>
        </w:rPr>
      </w:pPr>
    </w:p>
    <w:p w14:paraId="59890EAA" w14:textId="5C1E92B7" w:rsidR="009D304E" w:rsidRPr="00A83424" w:rsidRDefault="00A83424" w:rsidP="006E2394">
      <w:pPr>
        <w:autoSpaceDE w:val="0"/>
        <w:autoSpaceDN w:val="0"/>
        <w:adjustRightInd w:val="0"/>
        <w:ind w:left="284" w:hanging="284"/>
        <w:jc w:val="center"/>
        <w:rPr>
          <w:b/>
          <w:bCs/>
          <w:lang w:val="en-GB"/>
        </w:rPr>
      </w:pPr>
      <w:r w:rsidRPr="00C71239">
        <w:rPr>
          <w:b/>
          <w:bCs/>
          <w:lang w:val="en-GB"/>
        </w:rPr>
        <w:t xml:space="preserve">Table </w:t>
      </w:r>
      <w:r w:rsidR="00FC5BAB">
        <w:rPr>
          <w:b/>
          <w:bCs/>
          <w:lang w:val="en-GB"/>
        </w:rPr>
        <w:t>1</w:t>
      </w:r>
      <w:r w:rsidRPr="00C71239">
        <w:rPr>
          <w:b/>
          <w:bCs/>
          <w:lang w:val="en-GB"/>
        </w:rPr>
        <w:t>: Summary of Hypotheses</w:t>
      </w:r>
      <w:r w:rsidR="00523624" w:rsidRPr="00C71239">
        <w:rPr>
          <w:b/>
          <w:bCs/>
          <w:lang w:val="en-GB"/>
        </w:rPr>
        <w:t xml:space="preserve"> </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1889"/>
        <w:gridCol w:w="4015"/>
      </w:tblGrid>
      <w:tr w:rsidR="00F35930" w:rsidRPr="00A83424" w14:paraId="18AEB2D2" w14:textId="483D7014" w:rsidTr="00665D27">
        <w:trPr>
          <w:jc w:val="center"/>
        </w:trPr>
        <w:tc>
          <w:tcPr>
            <w:tcW w:w="5000" w:type="pct"/>
            <w:gridSpan w:val="3"/>
            <w:tcBorders>
              <w:top w:val="single" w:sz="4" w:space="0" w:color="auto"/>
              <w:bottom w:val="nil"/>
            </w:tcBorders>
          </w:tcPr>
          <w:p w14:paraId="5B484737" w14:textId="77777777" w:rsidR="00F35930" w:rsidRPr="00A83424" w:rsidRDefault="00F35930" w:rsidP="00523624">
            <w:pPr>
              <w:autoSpaceDE w:val="0"/>
              <w:autoSpaceDN w:val="0"/>
              <w:adjustRightInd w:val="0"/>
              <w:jc w:val="center"/>
              <w:rPr>
                <w:b/>
                <w:bCs/>
                <w:lang w:val="en-GB"/>
              </w:rPr>
            </w:pPr>
            <w:r>
              <w:rPr>
                <w:b/>
                <w:bCs/>
                <w:lang w:val="en-GB"/>
              </w:rPr>
              <w:t>Hypotheses</w:t>
            </w:r>
          </w:p>
        </w:tc>
      </w:tr>
      <w:tr w:rsidR="00F35930" w:rsidRPr="00523624" w14:paraId="4EA9D9A8" w14:textId="6C40B623" w:rsidTr="005A3198">
        <w:trPr>
          <w:jc w:val="center"/>
        </w:trPr>
        <w:tc>
          <w:tcPr>
            <w:tcW w:w="1846" w:type="pct"/>
            <w:tcBorders>
              <w:top w:val="nil"/>
              <w:bottom w:val="single" w:sz="4" w:space="0" w:color="auto"/>
            </w:tcBorders>
          </w:tcPr>
          <w:p w14:paraId="010EDC5D" w14:textId="77777777" w:rsidR="00F35930" w:rsidRPr="00523624" w:rsidRDefault="00F35930" w:rsidP="00F35930">
            <w:pPr>
              <w:autoSpaceDE w:val="0"/>
              <w:autoSpaceDN w:val="0"/>
              <w:adjustRightInd w:val="0"/>
              <w:rPr>
                <w:b/>
                <w:bCs/>
                <w:i/>
                <w:lang w:val="en-GB"/>
              </w:rPr>
            </w:pPr>
          </w:p>
        </w:tc>
        <w:tc>
          <w:tcPr>
            <w:tcW w:w="1009" w:type="pct"/>
            <w:tcBorders>
              <w:top w:val="nil"/>
              <w:bottom w:val="single" w:sz="4" w:space="0" w:color="auto"/>
            </w:tcBorders>
          </w:tcPr>
          <w:p w14:paraId="3228867F" w14:textId="77777777" w:rsidR="00F35930" w:rsidRPr="00523624" w:rsidRDefault="00F35930" w:rsidP="00F35930">
            <w:pPr>
              <w:autoSpaceDE w:val="0"/>
              <w:autoSpaceDN w:val="0"/>
              <w:adjustRightInd w:val="0"/>
              <w:jc w:val="center"/>
              <w:rPr>
                <w:bCs/>
                <w:i/>
                <w:lang w:val="en-GB"/>
              </w:rPr>
            </w:pPr>
            <w:r w:rsidRPr="00523624">
              <w:rPr>
                <w:bCs/>
                <w:i/>
                <w:lang w:val="en-GB"/>
              </w:rPr>
              <w:t>direct effect</w:t>
            </w:r>
          </w:p>
        </w:tc>
        <w:tc>
          <w:tcPr>
            <w:tcW w:w="2145" w:type="pct"/>
            <w:tcBorders>
              <w:top w:val="nil"/>
              <w:bottom w:val="single" w:sz="4" w:space="0" w:color="auto"/>
            </w:tcBorders>
          </w:tcPr>
          <w:p w14:paraId="57BC7E25" w14:textId="77777777" w:rsidR="00F35930" w:rsidRPr="00523624" w:rsidRDefault="00F35930" w:rsidP="00F35930">
            <w:pPr>
              <w:autoSpaceDE w:val="0"/>
              <w:autoSpaceDN w:val="0"/>
              <w:adjustRightInd w:val="0"/>
              <w:jc w:val="center"/>
              <w:rPr>
                <w:bCs/>
                <w:i/>
                <w:lang w:val="en-GB"/>
              </w:rPr>
            </w:pPr>
            <w:r w:rsidRPr="00523624">
              <w:rPr>
                <w:bCs/>
                <w:i/>
                <w:lang w:val="en-GB"/>
              </w:rPr>
              <w:t>differences</w:t>
            </w:r>
          </w:p>
        </w:tc>
      </w:tr>
      <w:tr w:rsidR="00F35930" w:rsidRPr="00A83424" w14:paraId="772F1C28" w14:textId="31492220" w:rsidTr="005A3198">
        <w:trPr>
          <w:jc w:val="center"/>
        </w:trPr>
        <w:tc>
          <w:tcPr>
            <w:tcW w:w="1846" w:type="pct"/>
            <w:tcBorders>
              <w:top w:val="single" w:sz="4" w:space="0" w:color="auto"/>
              <w:bottom w:val="nil"/>
            </w:tcBorders>
          </w:tcPr>
          <w:p w14:paraId="4F0A9F12" w14:textId="7E91EBBC" w:rsidR="00F35930" w:rsidRPr="00A83424" w:rsidRDefault="00CD5B0C" w:rsidP="00F35930">
            <w:pPr>
              <w:autoSpaceDE w:val="0"/>
              <w:autoSpaceDN w:val="0"/>
              <w:adjustRightInd w:val="0"/>
              <w:rPr>
                <w:b/>
                <w:bCs/>
                <w:lang w:val="en-GB"/>
              </w:rPr>
            </w:pPr>
            <w:r>
              <w:rPr>
                <w:b/>
                <w:bCs/>
                <w:lang w:val="en-GB"/>
              </w:rPr>
              <w:t xml:space="preserve">IP protection </w:t>
            </w:r>
            <w:r w:rsidR="00F35930">
              <w:rPr>
                <w:b/>
                <w:bCs/>
                <w:lang w:val="en-GB"/>
              </w:rPr>
              <w:t xml:space="preserve"> (H</w:t>
            </w:r>
            <w:r w:rsidR="00F00AF5">
              <w:rPr>
                <w:b/>
                <w:bCs/>
                <w:lang w:val="en-GB"/>
              </w:rPr>
              <w:t>1</w:t>
            </w:r>
            <w:r w:rsidR="00F35930">
              <w:rPr>
                <w:b/>
                <w:bCs/>
                <w:lang w:val="en-GB"/>
              </w:rPr>
              <w:t>)</w:t>
            </w:r>
          </w:p>
        </w:tc>
        <w:tc>
          <w:tcPr>
            <w:tcW w:w="1009" w:type="pct"/>
            <w:tcBorders>
              <w:top w:val="single" w:sz="4" w:space="0" w:color="auto"/>
              <w:bottom w:val="nil"/>
            </w:tcBorders>
          </w:tcPr>
          <w:p w14:paraId="658556F2" w14:textId="05FC29D4" w:rsidR="00F35930" w:rsidRPr="00A83424" w:rsidRDefault="00F35930" w:rsidP="00F35930">
            <w:pPr>
              <w:autoSpaceDE w:val="0"/>
              <w:autoSpaceDN w:val="0"/>
              <w:adjustRightInd w:val="0"/>
              <w:jc w:val="center"/>
              <w:rPr>
                <w:bCs/>
                <w:lang w:val="en-GB"/>
              </w:rPr>
            </w:pPr>
            <w:r>
              <w:rPr>
                <w:bCs/>
                <w:lang w:val="en-GB"/>
              </w:rPr>
              <w:t>positive</w:t>
            </w:r>
          </w:p>
        </w:tc>
        <w:tc>
          <w:tcPr>
            <w:tcW w:w="2145" w:type="pct"/>
            <w:tcBorders>
              <w:top w:val="single" w:sz="4" w:space="0" w:color="auto"/>
              <w:bottom w:val="nil"/>
            </w:tcBorders>
          </w:tcPr>
          <w:p w14:paraId="476560D9" w14:textId="400474A8" w:rsidR="00F35930" w:rsidRPr="00A83424" w:rsidRDefault="00F35930" w:rsidP="00F35930">
            <w:pPr>
              <w:autoSpaceDE w:val="0"/>
              <w:autoSpaceDN w:val="0"/>
              <w:adjustRightInd w:val="0"/>
              <w:jc w:val="center"/>
              <w:rPr>
                <w:bCs/>
                <w:lang w:val="en-GB"/>
              </w:rPr>
            </w:pPr>
            <w:r>
              <w:rPr>
                <w:bCs/>
                <w:lang w:val="en-GB"/>
              </w:rPr>
              <w:t>stronger positive for EE MNEs</w:t>
            </w:r>
          </w:p>
        </w:tc>
      </w:tr>
      <w:tr w:rsidR="00F35930" w:rsidRPr="00A83424" w14:paraId="73BC3D0B" w14:textId="1AF90785" w:rsidTr="005A3198">
        <w:trPr>
          <w:jc w:val="center"/>
        </w:trPr>
        <w:tc>
          <w:tcPr>
            <w:tcW w:w="1846" w:type="pct"/>
            <w:tcBorders>
              <w:top w:val="nil"/>
            </w:tcBorders>
          </w:tcPr>
          <w:p w14:paraId="0F8939F8" w14:textId="553346DE" w:rsidR="00F35930" w:rsidRPr="00A83424" w:rsidRDefault="00CD5B0C" w:rsidP="00CD5B0C">
            <w:pPr>
              <w:autoSpaceDE w:val="0"/>
              <w:autoSpaceDN w:val="0"/>
              <w:adjustRightInd w:val="0"/>
              <w:ind w:right="-108"/>
              <w:rPr>
                <w:b/>
                <w:bCs/>
                <w:lang w:val="en-GB"/>
              </w:rPr>
            </w:pPr>
            <w:r>
              <w:rPr>
                <w:b/>
                <w:bCs/>
                <w:lang w:val="en-GB"/>
              </w:rPr>
              <w:t xml:space="preserve">Distance </w:t>
            </w:r>
            <w:r w:rsidR="00F35930">
              <w:rPr>
                <w:b/>
                <w:bCs/>
                <w:lang w:val="en-GB"/>
              </w:rPr>
              <w:t xml:space="preserve"> (H</w:t>
            </w:r>
            <w:r w:rsidR="00F00AF5">
              <w:rPr>
                <w:b/>
                <w:bCs/>
                <w:lang w:val="en-GB"/>
              </w:rPr>
              <w:t>2</w:t>
            </w:r>
            <w:r w:rsidR="00F35930">
              <w:rPr>
                <w:b/>
                <w:bCs/>
                <w:lang w:val="en-GB"/>
              </w:rPr>
              <w:t>)</w:t>
            </w:r>
          </w:p>
        </w:tc>
        <w:tc>
          <w:tcPr>
            <w:tcW w:w="1009" w:type="pct"/>
            <w:tcBorders>
              <w:top w:val="nil"/>
            </w:tcBorders>
          </w:tcPr>
          <w:p w14:paraId="1E819857" w14:textId="2B329DCC" w:rsidR="00F35930" w:rsidRDefault="00CD5B0C" w:rsidP="00F35930">
            <w:pPr>
              <w:autoSpaceDE w:val="0"/>
              <w:autoSpaceDN w:val="0"/>
              <w:adjustRightInd w:val="0"/>
              <w:jc w:val="center"/>
              <w:rPr>
                <w:bCs/>
                <w:lang w:val="en-GB"/>
              </w:rPr>
            </w:pPr>
            <w:r>
              <w:rPr>
                <w:bCs/>
                <w:lang w:val="en-GB"/>
              </w:rPr>
              <w:t xml:space="preserve">negative </w:t>
            </w:r>
          </w:p>
        </w:tc>
        <w:tc>
          <w:tcPr>
            <w:tcW w:w="2145" w:type="pct"/>
            <w:tcBorders>
              <w:top w:val="nil"/>
            </w:tcBorders>
          </w:tcPr>
          <w:p w14:paraId="6CBE12C0" w14:textId="4FDC6B35" w:rsidR="00F35930" w:rsidRDefault="00F35930" w:rsidP="00CD5B0C">
            <w:pPr>
              <w:autoSpaceDE w:val="0"/>
              <w:autoSpaceDN w:val="0"/>
              <w:adjustRightInd w:val="0"/>
              <w:jc w:val="center"/>
              <w:rPr>
                <w:bCs/>
                <w:lang w:val="en-GB"/>
              </w:rPr>
            </w:pPr>
            <w:r>
              <w:rPr>
                <w:bCs/>
                <w:lang w:val="en-GB"/>
              </w:rPr>
              <w:t xml:space="preserve">stronger </w:t>
            </w:r>
            <w:r w:rsidR="00CD5B0C">
              <w:rPr>
                <w:bCs/>
                <w:lang w:val="en-GB"/>
              </w:rPr>
              <w:t xml:space="preserve">negative </w:t>
            </w:r>
            <w:r>
              <w:rPr>
                <w:bCs/>
                <w:lang w:val="en-GB"/>
              </w:rPr>
              <w:t>for EE MNEs</w:t>
            </w:r>
          </w:p>
        </w:tc>
      </w:tr>
      <w:tr w:rsidR="00F35930" w:rsidRPr="00A83424" w14:paraId="0C76F756" w14:textId="11FE727E" w:rsidTr="005A3198">
        <w:trPr>
          <w:jc w:val="center"/>
        </w:trPr>
        <w:tc>
          <w:tcPr>
            <w:tcW w:w="1846" w:type="pct"/>
          </w:tcPr>
          <w:p w14:paraId="3E922BE6" w14:textId="5609B0C3" w:rsidR="00F35930" w:rsidRDefault="00CD5B0C" w:rsidP="00F35930">
            <w:pPr>
              <w:autoSpaceDE w:val="0"/>
              <w:autoSpaceDN w:val="0"/>
              <w:adjustRightInd w:val="0"/>
              <w:ind w:right="-108"/>
              <w:rPr>
                <w:b/>
                <w:bCs/>
                <w:lang w:val="en-GB"/>
              </w:rPr>
            </w:pPr>
            <w:r>
              <w:rPr>
                <w:b/>
                <w:bCs/>
                <w:lang w:val="en-GB"/>
              </w:rPr>
              <w:t>Diaspora (H3)</w:t>
            </w:r>
          </w:p>
        </w:tc>
        <w:tc>
          <w:tcPr>
            <w:tcW w:w="1009" w:type="pct"/>
          </w:tcPr>
          <w:p w14:paraId="08AAF2DF" w14:textId="4CCF00E1" w:rsidR="00F35930" w:rsidRDefault="00CD5B0C" w:rsidP="00F35930">
            <w:pPr>
              <w:autoSpaceDE w:val="0"/>
              <w:autoSpaceDN w:val="0"/>
              <w:adjustRightInd w:val="0"/>
              <w:jc w:val="center"/>
              <w:rPr>
                <w:bCs/>
                <w:lang w:val="en-GB"/>
              </w:rPr>
            </w:pPr>
            <w:r>
              <w:rPr>
                <w:bCs/>
                <w:lang w:val="en-GB"/>
              </w:rPr>
              <w:t xml:space="preserve">positive </w:t>
            </w:r>
          </w:p>
        </w:tc>
        <w:tc>
          <w:tcPr>
            <w:tcW w:w="2145" w:type="pct"/>
          </w:tcPr>
          <w:p w14:paraId="21340019" w14:textId="3C61A1FD" w:rsidR="00F35930" w:rsidRDefault="00F35930" w:rsidP="00CD5B0C">
            <w:pPr>
              <w:autoSpaceDE w:val="0"/>
              <w:autoSpaceDN w:val="0"/>
              <w:adjustRightInd w:val="0"/>
              <w:jc w:val="center"/>
              <w:rPr>
                <w:bCs/>
                <w:lang w:val="en-GB"/>
              </w:rPr>
            </w:pPr>
            <w:r>
              <w:rPr>
                <w:bCs/>
                <w:lang w:val="en-GB"/>
              </w:rPr>
              <w:t>s</w:t>
            </w:r>
            <w:r w:rsidRPr="00A83424">
              <w:rPr>
                <w:bCs/>
                <w:lang w:val="en-GB"/>
              </w:rPr>
              <w:t xml:space="preserve">tronger </w:t>
            </w:r>
            <w:r w:rsidR="00CD5B0C">
              <w:rPr>
                <w:bCs/>
                <w:lang w:val="en-GB"/>
              </w:rPr>
              <w:t xml:space="preserve">positive </w:t>
            </w:r>
            <w:r>
              <w:rPr>
                <w:bCs/>
                <w:lang w:val="en-GB"/>
              </w:rPr>
              <w:t>for EE MNEs</w:t>
            </w:r>
          </w:p>
        </w:tc>
      </w:tr>
      <w:tr w:rsidR="00F35930" w:rsidRPr="00A83424" w14:paraId="040DA157" w14:textId="32620099" w:rsidTr="005A3198">
        <w:trPr>
          <w:jc w:val="center"/>
        </w:trPr>
        <w:tc>
          <w:tcPr>
            <w:tcW w:w="1846" w:type="pct"/>
          </w:tcPr>
          <w:p w14:paraId="6A4A5D77" w14:textId="43EEC77E" w:rsidR="00F35930" w:rsidRDefault="00CD5B0C" w:rsidP="00F35930">
            <w:pPr>
              <w:autoSpaceDE w:val="0"/>
              <w:autoSpaceDN w:val="0"/>
              <w:adjustRightInd w:val="0"/>
              <w:ind w:right="-108"/>
              <w:rPr>
                <w:b/>
                <w:bCs/>
                <w:lang w:val="en-GB"/>
              </w:rPr>
            </w:pPr>
            <w:r>
              <w:rPr>
                <w:b/>
                <w:bCs/>
                <w:lang w:val="en-GB"/>
              </w:rPr>
              <w:t>Markets</w:t>
            </w:r>
            <w:r w:rsidR="00545900">
              <w:rPr>
                <w:b/>
                <w:bCs/>
                <w:lang w:val="en-GB"/>
              </w:rPr>
              <w:t xml:space="preserve"> (H4)</w:t>
            </w:r>
          </w:p>
        </w:tc>
        <w:tc>
          <w:tcPr>
            <w:tcW w:w="1009" w:type="pct"/>
          </w:tcPr>
          <w:p w14:paraId="41F09990" w14:textId="3A4684CC" w:rsidR="00F35930" w:rsidRDefault="00F35930" w:rsidP="00F35930">
            <w:pPr>
              <w:autoSpaceDE w:val="0"/>
              <w:autoSpaceDN w:val="0"/>
              <w:adjustRightInd w:val="0"/>
              <w:jc w:val="center"/>
              <w:rPr>
                <w:bCs/>
                <w:lang w:val="en-GB"/>
              </w:rPr>
            </w:pPr>
            <w:r>
              <w:rPr>
                <w:bCs/>
                <w:lang w:val="en-GB"/>
              </w:rPr>
              <w:t>positive</w:t>
            </w:r>
          </w:p>
        </w:tc>
        <w:tc>
          <w:tcPr>
            <w:tcW w:w="2145" w:type="pct"/>
          </w:tcPr>
          <w:p w14:paraId="46400267" w14:textId="1789700D" w:rsidR="00F35930" w:rsidRDefault="00F35930" w:rsidP="00F35930">
            <w:pPr>
              <w:autoSpaceDE w:val="0"/>
              <w:autoSpaceDN w:val="0"/>
              <w:adjustRightInd w:val="0"/>
              <w:jc w:val="center"/>
              <w:rPr>
                <w:bCs/>
                <w:lang w:val="en-GB"/>
              </w:rPr>
            </w:pPr>
            <w:r>
              <w:rPr>
                <w:bCs/>
                <w:lang w:val="en-GB"/>
              </w:rPr>
              <w:t>s</w:t>
            </w:r>
            <w:r w:rsidRPr="00A83424">
              <w:rPr>
                <w:bCs/>
                <w:lang w:val="en-GB"/>
              </w:rPr>
              <w:t xml:space="preserve">tronger </w:t>
            </w:r>
            <w:r>
              <w:rPr>
                <w:bCs/>
                <w:lang w:val="en-GB"/>
              </w:rPr>
              <w:t>positive for EE MNEs</w:t>
            </w:r>
          </w:p>
        </w:tc>
      </w:tr>
    </w:tbl>
    <w:p w14:paraId="35F88F9B" w14:textId="77777777" w:rsidR="003A3BCD" w:rsidRDefault="003A3BCD" w:rsidP="006E2394">
      <w:pPr>
        <w:rPr>
          <w:b/>
          <w:lang w:val="en-GB"/>
        </w:rPr>
      </w:pPr>
    </w:p>
    <w:p w14:paraId="65CE594A" w14:textId="77777777" w:rsidR="006E2394" w:rsidRDefault="006E2394">
      <w:pPr>
        <w:rPr>
          <w:b/>
          <w:lang w:val="en-GB"/>
        </w:rPr>
      </w:pPr>
      <w:r>
        <w:rPr>
          <w:b/>
          <w:lang w:val="en-GB"/>
        </w:rPr>
        <w:br w:type="page"/>
      </w:r>
    </w:p>
    <w:p w14:paraId="78727EA4" w14:textId="5A50DF17" w:rsidR="002C667B" w:rsidRDefault="003A3BCD" w:rsidP="0061384E">
      <w:pPr>
        <w:rPr>
          <w:b/>
          <w:lang w:val="en-GB"/>
        </w:rPr>
      </w:pPr>
      <w:r>
        <w:rPr>
          <w:b/>
          <w:lang w:val="en-GB"/>
        </w:rPr>
        <w:lastRenderedPageBreak/>
        <w:t xml:space="preserve">Table </w:t>
      </w:r>
      <w:r w:rsidR="00FC5BAB">
        <w:rPr>
          <w:b/>
          <w:lang w:val="en-GB"/>
        </w:rPr>
        <w:t>2</w:t>
      </w:r>
      <w:r>
        <w:rPr>
          <w:b/>
          <w:lang w:val="en-GB"/>
        </w:rPr>
        <w:t xml:space="preserve">: </w:t>
      </w:r>
      <w:r w:rsidR="003C708A">
        <w:rPr>
          <w:b/>
          <w:lang w:val="en-GB"/>
        </w:rPr>
        <w:t xml:space="preserve"> </w:t>
      </w:r>
      <w:r w:rsidR="00582475" w:rsidRPr="003C708A">
        <w:rPr>
          <w:b/>
          <w:lang w:val="en-GB"/>
        </w:rPr>
        <w:t>Share of investments from host countries in outward investors from EE countries</w:t>
      </w:r>
    </w:p>
    <w:p w14:paraId="240FFC1E" w14:textId="77777777" w:rsidR="002C667B" w:rsidRDefault="002C667B" w:rsidP="00582475">
      <w:pPr>
        <w:rPr>
          <w:b/>
          <w:lang w:val="en-GB"/>
        </w:rPr>
      </w:pPr>
    </w:p>
    <w:tbl>
      <w:tblPr>
        <w:tblW w:w="8145" w:type="dxa"/>
        <w:tblBorders>
          <w:top w:val="single" w:sz="4" w:space="0" w:color="auto"/>
          <w:left w:val="single" w:sz="4" w:space="0" w:color="auto"/>
          <w:bottom w:val="single" w:sz="4" w:space="0" w:color="auto"/>
          <w:right w:val="single" w:sz="4" w:space="0" w:color="auto"/>
        </w:tblBorders>
        <w:tblCellMar>
          <w:left w:w="0" w:type="dxa"/>
          <w:right w:w="0" w:type="dxa"/>
        </w:tblCellMar>
        <w:tblLook w:val="0600" w:firstRow="0" w:lastRow="0" w:firstColumn="0" w:lastColumn="0" w:noHBand="1" w:noVBand="1"/>
      </w:tblPr>
      <w:tblGrid>
        <w:gridCol w:w="1409"/>
        <w:gridCol w:w="915"/>
        <w:gridCol w:w="915"/>
        <w:gridCol w:w="915"/>
        <w:gridCol w:w="915"/>
        <w:gridCol w:w="915"/>
        <w:gridCol w:w="916"/>
        <w:gridCol w:w="1245"/>
      </w:tblGrid>
      <w:tr w:rsidR="002E5F35" w:rsidRPr="002C667B" w14:paraId="2E704D38" w14:textId="6118A310" w:rsidTr="002607F3">
        <w:trPr>
          <w:trHeight w:val="395"/>
        </w:trPr>
        <w:tc>
          <w:tcPr>
            <w:tcW w:w="1409" w:type="dxa"/>
            <w:tcBorders>
              <w:bottom w:val="single" w:sz="4" w:space="0" w:color="auto"/>
            </w:tcBorders>
            <w:shd w:val="clear" w:color="auto" w:fill="auto"/>
            <w:tcMar>
              <w:top w:w="15" w:type="dxa"/>
              <w:left w:w="15" w:type="dxa"/>
              <w:bottom w:w="0" w:type="dxa"/>
              <w:right w:w="15" w:type="dxa"/>
            </w:tcMar>
            <w:vAlign w:val="bottom"/>
            <w:hideMark/>
          </w:tcPr>
          <w:p w14:paraId="62947506" w14:textId="77777777" w:rsidR="002E5F35" w:rsidRPr="002C667B" w:rsidRDefault="002E5F35" w:rsidP="002E5F35">
            <w:pPr>
              <w:jc w:val="center"/>
              <w:rPr>
                <w:sz w:val="22"/>
                <w:szCs w:val="22"/>
                <w:lang w:val="en-GB"/>
              </w:rPr>
            </w:pPr>
            <w:r w:rsidRPr="002C667B">
              <w:rPr>
                <w:bCs/>
                <w:sz w:val="22"/>
                <w:szCs w:val="22"/>
              </w:rPr>
              <w:t>investing in...</w:t>
            </w:r>
          </w:p>
        </w:tc>
        <w:tc>
          <w:tcPr>
            <w:tcW w:w="915" w:type="dxa"/>
            <w:tcBorders>
              <w:bottom w:val="single" w:sz="4" w:space="0" w:color="auto"/>
            </w:tcBorders>
            <w:shd w:val="clear" w:color="auto" w:fill="auto"/>
            <w:tcMar>
              <w:top w:w="15" w:type="dxa"/>
              <w:left w:w="15" w:type="dxa"/>
              <w:bottom w:w="0" w:type="dxa"/>
              <w:right w:w="15" w:type="dxa"/>
            </w:tcMar>
            <w:vAlign w:val="bottom"/>
            <w:hideMark/>
          </w:tcPr>
          <w:p w14:paraId="745A620F" w14:textId="77777777" w:rsidR="002E5F35" w:rsidRPr="002C667B" w:rsidRDefault="002E5F35" w:rsidP="002E5F35">
            <w:pPr>
              <w:jc w:val="center"/>
              <w:rPr>
                <w:sz w:val="22"/>
                <w:szCs w:val="22"/>
                <w:lang w:val="en-GB"/>
              </w:rPr>
            </w:pPr>
            <w:r w:rsidRPr="002C667B">
              <w:rPr>
                <w:bCs/>
                <w:sz w:val="22"/>
                <w:szCs w:val="22"/>
              </w:rPr>
              <w:t>Brazil</w:t>
            </w:r>
          </w:p>
        </w:tc>
        <w:tc>
          <w:tcPr>
            <w:tcW w:w="915" w:type="dxa"/>
            <w:tcBorders>
              <w:bottom w:val="single" w:sz="4" w:space="0" w:color="auto"/>
            </w:tcBorders>
            <w:shd w:val="clear" w:color="auto" w:fill="auto"/>
            <w:tcMar>
              <w:top w:w="15" w:type="dxa"/>
              <w:left w:w="15" w:type="dxa"/>
              <w:bottom w:w="0" w:type="dxa"/>
              <w:right w:w="15" w:type="dxa"/>
            </w:tcMar>
            <w:vAlign w:val="bottom"/>
            <w:hideMark/>
          </w:tcPr>
          <w:p w14:paraId="4A70D575" w14:textId="77777777" w:rsidR="002E5F35" w:rsidRPr="002C667B" w:rsidRDefault="002E5F35" w:rsidP="002D22FC">
            <w:pPr>
              <w:jc w:val="center"/>
              <w:rPr>
                <w:sz w:val="22"/>
                <w:szCs w:val="22"/>
                <w:lang w:val="en-GB"/>
              </w:rPr>
            </w:pPr>
            <w:r w:rsidRPr="002C667B">
              <w:rPr>
                <w:bCs/>
                <w:sz w:val="22"/>
                <w:szCs w:val="22"/>
              </w:rPr>
              <w:t>China</w:t>
            </w:r>
          </w:p>
        </w:tc>
        <w:tc>
          <w:tcPr>
            <w:tcW w:w="915" w:type="dxa"/>
            <w:tcBorders>
              <w:bottom w:val="single" w:sz="4" w:space="0" w:color="auto"/>
            </w:tcBorders>
            <w:shd w:val="clear" w:color="auto" w:fill="auto"/>
            <w:tcMar>
              <w:top w:w="15" w:type="dxa"/>
              <w:left w:w="15" w:type="dxa"/>
              <w:bottom w:w="0" w:type="dxa"/>
              <w:right w:w="15" w:type="dxa"/>
            </w:tcMar>
            <w:vAlign w:val="bottom"/>
            <w:hideMark/>
          </w:tcPr>
          <w:p w14:paraId="65B9B4A8" w14:textId="77777777" w:rsidR="002E5F35" w:rsidRPr="002C667B" w:rsidRDefault="002E5F35" w:rsidP="00386C36">
            <w:pPr>
              <w:jc w:val="center"/>
              <w:rPr>
                <w:sz w:val="22"/>
                <w:szCs w:val="22"/>
                <w:lang w:val="en-GB"/>
              </w:rPr>
            </w:pPr>
            <w:r w:rsidRPr="002C667B">
              <w:rPr>
                <w:bCs/>
                <w:sz w:val="22"/>
                <w:szCs w:val="22"/>
              </w:rPr>
              <w:t>India</w:t>
            </w:r>
          </w:p>
        </w:tc>
        <w:tc>
          <w:tcPr>
            <w:tcW w:w="915" w:type="dxa"/>
            <w:tcBorders>
              <w:bottom w:val="single" w:sz="4" w:space="0" w:color="auto"/>
            </w:tcBorders>
            <w:vAlign w:val="bottom"/>
          </w:tcPr>
          <w:p w14:paraId="0C134E8F" w14:textId="1737A93B" w:rsidR="002E5F35" w:rsidRPr="002C667B" w:rsidRDefault="002E5F35" w:rsidP="00D6052A">
            <w:pPr>
              <w:jc w:val="center"/>
              <w:rPr>
                <w:bCs/>
                <w:sz w:val="22"/>
                <w:szCs w:val="22"/>
              </w:rPr>
            </w:pPr>
            <w:r>
              <w:rPr>
                <w:bCs/>
                <w:sz w:val="22"/>
                <w:szCs w:val="22"/>
              </w:rPr>
              <w:t>Mexico</w:t>
            </w:r>
          </w:p>
        </w:tc>
        <w:tc>
          <w:tcPr>
            <w:tcW w:w="915" w:type="dxa"/>
            <w:tcBorders>
              <w:bottom w:val="single" w:sz="4" w:space="0" w:color="auto"/>
            </w:tcBorders>
            <w:shd w:val="clear" w:color="auto" w:fill="auto"/>
            <w:tcMar>
              <w:top w:w="15" w:type="dxa"/>
              <w:left w:w="15" w:type="dxa"/>
              <w:bottom w:w="0" w:type="dxa"/>
              <w:right w:w="15" w:type="dxa"/>
            </w:tcMar>
            <w:vAlign w:val="bottom"/>
            <w:hideMark/>
          </w:tcPr>
          <w:p w14:paraId="205471FE" w14:textId="180B7EFC" w:rsidR="002E5F35" w:rsidRPr="002C667B" w:rsidRDefault="002E5F35" w:rsidP="006160DB">
            <w:pPr>
              <w:jc w:val="center"/>
              <w:rPr>
                <w:sz w:val="22"/>
                <w:szCs w:val="22"/>
                <w:lang w:val="en-GB"/>
              </w:rPr>
            </w:pPr>
            <w:r w:rsidRPr="002C667B">
              <w:rPr>
                <w:bCs/>
                <w:sz w:val="22"/>
                <w:szCs w:val="22"/>
              </w:rPr>
              <w:t>Russia</w:t>
            </w:r>
          </w:p>
        </w:tc>
        <w:tc>
          <w:tcPr>
            <w:tcW w:w="916" w:type="dxa"/>
            <w:tcBorders>
              <w:bottom w:val="single" w:sz="4" w:space="0" w:color="auto"/>
            </w:tcBorders>
            <w:shd w:val="clear" w:color="auto" w:fill="auto"/>
            <w:tcMar>
              <w:top w:w="15" w:type="dxa"/>
              <w:left w:w="15" w:type="dxa"/>
              <w:bottom w:w="0" w:type="dxa"/>
              <w:right w:w="15" w:type="dxa"/>
            </w:tcMar>
            <w:vAlign w:val="bottom"/>
            <w:hideMark/>
          </w:tcPr>
          <w:p w14:paraId="62A5D265" w14:textId="77777777" w:rsidR="002E5F35" w:rsidRPr="002C667B" w:rsidRDefault="002E5F35" w:rsidP="00111420">
            <w:pPr>
              <w:jc w:val="center"/>
              <w:rPr>
                <w:sz w:val="22"/>
                <w:szCs w:val="22"/>
                <w:lang w:val="en-GB"/>
              </w:rPr>
            </w:pPr>
            <w:r w:rsidRPr="002C667B">
              <w:rPr>
                <w:bCs/>
                <w:sz w:val="22"/>
                <w:szCs w:val="22"/>
              </w:rPr>
              <w:t>Turkey</w:t>
            </w:r>
          </w:p>
        </w:tc>
        <w:tc>
          <w:tcPr>
            <w:tcW w:w="1245" w:type="dxa"/>
            <w:tcBorders>
              <w:bottom w:val="single" w:sz="4" w:space="0" w:color="auto"/>
            </w:tcBorders>
            <w:shd w:val="clear" w:color="auto" w:fill="auto"/>
            <w:tcMar>
              <w:top w:w="15" w:type="dxa"/>
              <w:left w:w="15" w:type="dxa"/>
              <w:bottom w:w="0" w:type="dxa"/>
              <w:right w:w="15" w:type="dxa"/>
            </w:tcMar>
            <w:vAlign w:val="bottom"/>
            <w:hideMark/>
          </w:tcPr>
          <w:p w14:paraId="0E856494" w14:textId="77777777" w:rsidR="002E5F35" w:rsidRPr="002C667B" w:rsidRDefault="002E5F35" w:rsidP="002607F3">
            <w:pPr>
              <w:jc w:val="center"/>
              <w:rPr>
                <w:sz w:val="22"/>
                <w:szCs w:val="22"/>
                <w:lang w:val="en-GB"/>
              </w:rPr>
            </w:pPr>
            <w:r w:rsidRPr="002C667B">
              <w:rPr>
                <w:bCs/>
                <w:sz w:val="22"/>
                <w:szCs w:val="22"/>
              </w:rPr>
              <w:t>South Africa</w:t>
            </w:r>
          </w:p>
        </w:tc>
      </w:tr>
      <w:tr w:rsidR="002E5F35" w:rsidRPr="002C667B" w14:paraId="4835CFB9" w14:textId="3E314566" w:rsidTr="002607F3">
        <w:trPr>
          <w:trHeight w:val="224"/>
        </w:trPr>
        <w:tc>
          <w:tcPr>
            <w:tcW w:w="1409" w:type="dxa"/>
            <w:tcBorders>
              <w:top w:val="single" w:sz="4" w:space="0" w:color="auto"/>
              <w:bottom w:val="nil"/>
            </w:tcBorders>
            <w:shd w:val="clear" w:color="auto" w:fill="auto"/>
            <w:tcMar>
              <w:top w:w="15" w:type="dxa"/>
              <w:left w:w="15" w:type="dxa"/>
              <w:bottom w:w="0" w:type="dxa"/>
              <w:right w:w="15" w:type="dxa"/>
            </w:tcMar>
            <w:vAlign w:val="bottom"/>
            <w:hideMark/>
          </w:tcPr>
          <w:p w14:paraId="254F33D0" w14:textId="77777777" w:rsidR="002E5F35" w:rsidRPr="002C667B" w:rsidRDefault="002E5F35" w:rsidP="002C667B">
            <w:pPr>
              <w:jc w:val="center"/>
              <w:rPr>
                <w:sz w:val="22"/>
                <w:szCs w:val="22"/>
                <w:lang w:val="en-GB"/>
              </w:rPr>
            </w:pPr>
            <w:r w:rsidRPr="002C667B">
              <w:rPr>
                <w:bCs/>
                <w:sz w:val="22"/>
                <w:szCs w:val="22"/>
              </w:rPr>
              <w:t>AT</w:t>
            </w:r>
          </w:p>
        </w:tc>
        <w:tc>
          <w:tcPr>
            <w:tcW w:w="915" w:type="dxa"/>
            <w:tcBorders>
              <w:top w:val="single" w:sz="4" w:space="0" w:color="auto"/>
              <w:bottom w:val="nil"/>
            </w:tcBorders>
            <w:shd w:val="clear" w:color="auto" w:fill="00B0F0"/>
            <w:tcMar>
              <w:top w:w="15" w:type="dxa"/>
              <w:left w:w="15" w:type="dxa"/>
              <w:bottom w:w="0" w:type="dxa"/>
              <w:right w:w="15" w:type="dxa"/>
            </w:tcMar>
            <w:vAlign w:val="bottom"/>
            <w:hideMark/>
          </w:tcPr>
          <w:p w14:paraId="6A837D90" w14:textId="77777777" w:rsidR="002E5F35" w:rsidRPr="002C667B" w:rsidRDefault="002E5F35" w:rsidP="002C667B">
            <w:pPr>
              <w:jc w:val="center"/>
              <w:rPr>
                <w:sz w:val="22"/>
                <w:szCs w:val="22"/>
                <w:lang w:val="en-GB"/>
              </w:rPr>
            </w:pPr>
            <w:r w:rsidRPr="002C667B">
              <w:rPr>
                <w:sz w:val="22"/>
                <w:szCs w:val="22"/>
              </w:rPr>
              <w:t>8.5%</w:t>
            </w:r>
          </w:p>
        </w:tc>
        <w:tc>
          <w:tcPr>
            <w:tcW w:w="915" w:type="dxa"/>
            <w:tcBorders>
              <w:top w:val="single" w:sz="4" w:space="0" w:color="auto"/>
              <w:bottom w:val="nil"/>
            </w:tcBorders>
            <w:shd w:val="clear" w:color="auto" w:fill="FFFF00"/>
            <w:tcMar>
              <w:top w:w="15" w:type="dxa"/>
              <w:left w:w="15" w:type="dxa"/>
              <w:bottom w:w="0" w:type="dxa"/>
              <w:right w:w="15" w:type="dxa"/>
            </w:tcMar>
            <w:vAlign w:val="bottom"/>
            <w:hideMark/>
          </w:tcPr>
          <w:p w14:paraId="5174F6B2" w14:textId="77777777" w:rsidR="002E5F35" w:rsidRPr="002C667B" w:rsidRDefault="002E5F35" w:rsidP="002C667B">
            <w:pPr>
              <w:jc w:val="center"/>
              <w:rPr>
                <w:sz w:val="22"/>
                <w:szCs w:val="22"/>
                <w:lang w:val="en-GB"/>
              </w:rPr>
            </w:pPr>
            <w:r w:rsidRPr="002C667B">
              <w:rPr>
                <w:sz w:val="22"/>
                <w:szCs w:val="22"/>
              </w:rPr>
              <w:t>0.8%</w:t>
            </w:r>
          </w:p>
        </w:tc>
        <w:tc>
          <w:tcPr>
            <w:tcW w:w="915" w:type="dxa"/>
            <w:tcBorders>
              <w:top w:val="single" w:sz="4" w:space="0" w:color="auto"/>
              <w:bottom w:val="nil"/>
            </w:tcBorders>
            <w:shd w:val="clear" w:color="auto" w:fill="FFFF00"/>
            <w:tcMar>
              <w:top w:w="15" w:type="dxa"/>
              <w:left w:w="15" w:type="dxa"/>
              <w:bottom w:w="0" w:type="dxa"/>
              <w:right w:w="15" w:type="dxa"/>
            </w:tcMar>
            <w:vAlign w:val="bottom"/>
            <w:hideMark/>
          </w:tcPr>
          <w:p w14:paraId="0F28EE66" w14:textId="77777777" w:rsidR="002E5F35" w:rsidRPr="002C667B" w:rsidRDefault="002E5F35" w:rsidP="002C667B">
            <w:pPr>
              <w:jc w:val="center"/>
              <w:rPr>
                <w:sz w:val="22"/>
                <w:szCs w:val="22"/>
                <w:lang w:val="en-GB"/>
              </w:rPr>
            </w:pPr>
            <w:r w:rsidRPr="002C667B">
              <w:rPr>
                <w:sz w:val="22"/>
                <w:szCs w:val="22"/>
              </w:rPr>
              <w:t>1.6%</w:t>
            </w:r>
          </w:p>
        </w:tc>
        <w:tc>
          <w:tcPr>
            <w:tcW w:w="915" w:type="dxa"/>
            <w:tcBorders>
              <w:top w:val="single" w:sz="4" w:space="0" w:color="auto"/>
              <w:bottom w:val="nil"/>
            </w:tcBorders>
            <w:shd w:val="clear" w:color="auto" w:fill="FFFF00"/>
          </w:tcPr>
          <w:p w14:paraId="76D3AEFF" w14:textId="279A1ECF" w:rsidR="002E5F35" w:rsidRPr="002C667B" w:rsidRDefault="001C65D4" w:rsidP="002C667B">
            <w:pPr>
              <w:jc w:val="center"/>
              <w:rPr>
                <w:sz w:val="22"/>
                <w:szCs w:val="22"/>
              </w:rPr>
            </w:pPr>
            <w:r>
              <w:rPr>
                <w:sz w:val="22"/>
                <w:szCs w:val="22"/>
              </w:rPr>
              <w:t>1.8%</w:t>
            </w:r>
          </w:p>
        </w:tc>
        <w:tc>
          <w:tcPr>
            <w:tcW w:w="915" w:type="dxa"/>
            <w:tcBorders>
              <w:top w:val="single" w:sz="4" w:space="0" w:color="auto"/>
              <w:bottom w:val="nil"/>
            </w:tcBorders>
            <w:shd w:val="clear" w:color="auto" w:fill="FFFF00"/>
            <w:tcMar>
              <w:top w:w="15" w:type="dxa"/>
              <w:left w:w="15" w:type="dxa"/>
              <w:bottom w:w="0" w:type="dxa"/>
              <w:right w:w="15" w:type="dxa"/>
            </w:tcMar>
            <w:vAlign w:val="bottom"/>
            <w:hideMark/>
          </w:tcPr>
          <w:p w14:paraId="304E6977" w14:textId="5BB98297" w:rsidR="002E5F35" w:rsidRPr="002C667B" w:rsidRDefault="002E5F35" w:rsidP="002C667B">
            <w:pPr>
              <w:jc w:val="center"/>
              <w:rPr>
                <w:sz w:val="22"/>
                <w:szCs w:val="22"/>
                <w:lang w:val="en-GB"/>
              </w:rPr>
            </w:pPr>
            <w:r w:rsidRPr="002C667B">
              <w:rPr>
                <w:sz w:val="22"/>
                <w:szCs w:val="22"/>
              </w:rPr>
              <w:t>1.7%</w:t>
            </w:r>
          </w:p>
        </w:tc>
        <w:tc>
          <w:tcPr>
            <w:tcW w:w="916" w:type="dxa"/>
            <w:tcBorders>
              <w:top w:val="single" w:sz="4" w:space="0" w:color="auto"/>
              <w:bottom w:val="nil"/>
            </w:tcBorders>
            <w:shd w:val="clear" w:color="auto" w:fill="FFFF00"/>
            <w:tcMar>
              <w:top w:w="15" w:type="dxa"/>
              <w:left w:w="15" w:type="dxa"/>
              <w:bottom w:w="0" w:type="dxa"/>
              <w:right w:w="15" w:type="dxa"/>
            </w:tcMar>
            <w:vAlign w:val="bottom"/>
            <w:hideMark/>
          </w:tcPr>
          <w:p w14:paraId="4B30CCBA" w14:textId="77777777" w:rsidR="002E5F35" w:rsidRPr="002C667B" w:rsidRDefault="002E5F35" w:rsidP="002C667B">
            <w:pPr>
              <w:jc w:val="center"/>
              <w:rPr>
                <w:sz w:val="22"/>
                <w:szCs w:val="22"/>
                <w:lang w:val="en-GB"/>
              </w:rPr>
            </w:pPr>
            <w:r w:rsidRPr="002C667B">
              <w:rPr>
                <w:sz w:val="22"/>
                <w:szCs w:val="22"/>
              </w:rPr>
              <w:t>1.3%</w:t>
            </w:r>
          </w:p>
        </w:tc>
        <w:tc>
          <w:tcPr>
            <w:tcW w:w="1245" w:type="dxa"/>
            <w:tcBorders>
              <w:top w:val="single" w:sz="4" w:space="0" w:color="auto"/>
              <w:bottom w:val="nil"/>
            </w:tcBorders>
            <w:shd w:val="clear" w:color="auto" w:fill="FFFF00"/>
            <w:tcMar>
              <w:top w:w="15" w:type="dxa"/>
              <w:left w:w="15" w:type="dxa"/>
              <w:bottom w:w="0" w:type="dxa"/>
              <w:right w:w="15" w:type="dxa"/>
            </w:tcMar>
            <w:vAlign w:val="bottom"/>
            <w:hideMark/>
          </w:tcPr>
          <w:p w14:paraId="2A2AD4E3" w14:textId="77777777" w:rsidR="002E5F35" w:rsidRPr="002C667B" w:rsidRDefault="002E5F35" w:rsidP="002C667B">
            <w:pPr>
              <w:jc w:val="center"/>
              <w:rPr>
                <w:sz w:val="22"/>
                <w:szCs w:val="22"/>
                <w:lang w:val="en-GB"/>
              </w:rPr>
            </w:pPr>
            <w:r w:rsidRPr="002C667B">
              <w:rPr>
                <w:sz w:val="22"/>
                <w:szCs w:val="22"/>
              </w:rPr>
              <w:t>1.3%</w:t>
            </w:r>
          </w:p>
        </w:tc>
      </w:tr>
      <w:tr w:rsidR="002E5F35" w:rsidRPr="002C667B" w14:paraId="53FF499E" w14:textId="50980F6C" w:rsidTr="002607F3">
        <w:trPr>
          <w:trHeight w:val="224"/>
        </w:trPr>
        <w:tc>
          <w:tcPr>
            <w:tcW w:w="1409" w:type="dxa"/>
            <w:tcBorders>
              <w:top w:val="nil"/>
            </w:tcBorders>
            <w:shd w:val="clear" w:color="auto" w:fill="auto"/>
            <w:tcMar>
              <w:top w:w="15" w:type="dxa"/>
              <w:left w:w="15" w:type="dxa"/>
              <w:bottom w:w="0" w:type="dxa"/>
              <w:right w:w="15" w:type="dxa"/>
            </w:tcMar>
            <w:vAlign w:val="bottom"/>
            <w:hideMark/>
          </w:tcPr>
          <w:p w14:paraId="536EBC14" w14:textId="77777777" w:rsidR="002E5F35" w:rsidRPr="002C667B" w:rsidRDefault="002E5F35" w:rsidP="002C667B">
            <w:pPr>
              <w:jc w:val="center"/>
              <w:rPr>
                <w:sz w:val="22"/>
                <w:szCs w:val="22"/>
                <w:lang w:val="en-GB"/>
              </w:rPr>
            </w:pPr>
            <w:r w:rsidRPr="002C667B">
              <w:rPr>
                <w:bCs/>
                <w:sz w:val="22"/>
                <w:szCs w:val="22"/>
              </w:rPr>
              <w:t>AU</w:t>
            </w:r>
          </w:p>
        </w:tc>
        <w:tc>
          <w:tcPr>
            <w:tcW w:w="915" w:type="dxa"/>
            <w:tcBorders>
              <w:top w:val="nil"/>
            </w:tcBorders>
            <w:shd w:val="clear" w:color="auto" w:fill="FFFF00"/>
            <w:tcMar>
              <w:top w:w="15" w:type="dxa"/>
              <w:left w:w="15" w:type="dxa"/>
              <w:bottom w:w="0" w:type="dxa"/>
              <w:right w:w="15" w:type="dxa"/>
            </w:tcMar>
            <w:vAlign w:val="bottom"/>
            <w:hideMark/>
          </w:tcPr>
          <w:p w14:paraId="5A323D3B" w14:textId="77777777" w:rsidR="002E5F35" w:rsidRPr="002C667B" w:rsidRDefault="002E5F35" w:rsidP="002C667B">
            <w:pPr>
              <w:jc w:val="center"/>
              <w:rPr>
                <w:sz w:val="22"/>
                <w:szCs w:val="22"/>
                <w:lang w:val="en-GB"/>
              </w:rPr>
            </w:pPr>
            <w:r w:rsidRPr="002C667B">
              <w:rPr>
                <w:sz w:val="22"/>
                <w:szCs w:val="22"/>
              </w:rPr>
              <w:t>1.8%</w:t>
            </w:r>
          </w:p>
        </w:tc>
        <w:tc>
          <w:tcPr>
            <w:tcW w:w="915" w:type="dxa"/>
            <w:tcBorders>
              <w:top w:val="nil"/>
            </w:tcBorders>
            <w:shd w:val="clear" w:color="auto" w:fill="00B0F0"/>
            <w:tcMar>
              <w:top w:w="15" w:type="dxa"/>
              <w:left w:w="15" w:type="dxa"/>
              <w:bottom w:w="0" w:type="dxa"/>
              <w:right w:w="15" w:type="dxa"/>
            </w:tcMar>
            <w:vAlign w:val="bottom"/>
            <w:hideMark/>
          </w:tcPr>
          <w:p w14:paraId="5463E4D6" w14:textId="77777777" w:rsidR="002E5F35" w:rsidRPr="002C667B" w:rsidRDefault="002E5F35" w:rsidP="002C667B">
            <w:pPr>
              <w:jc w:val="center"/>
              <w:rPr>
                <w:sz w:val="22"/>
                <w:szCs w:val="22"/>
                <w:lang w:val="en-GB"/>
              </w:rPr>
            </w:pPr>
            <w:r w:rsidRPr="002C667B">
              <w:rPr>
                <w:sz w:val="22"/>
                <w:szCs w:val="22"/>
              </w:rPr>
              <w:t>14.9%</w:t>
            </w:r>
          </w:p>
        </w:tc>
        <w:tc>
          <w:tcPr>
            <w:tcW w:w="915" w:type="dxa"/>
            <w:tcBorders>
              <w:top w:val="nil"/>
            </w:tcBorders>
            <w:shd w:val="clear" w:color="auto" w:fill="92D050"/>
            <w:tcMar>
              <w:top w:w="15" w:type="dxa"/>
              <w:left w:w="15" w:type="dxa"/>
              <w:bottom w:w="0" w:type="dxa"/>
              <w:right w:w="15" w:type="dxa"/>
            </w:tcMar>
            <w:vAlign w:val="bottom"/>
            <w:hideMark/>
          </w:tcPr>
          <w:p w14:paraId="174ECEDF" w14:textId="77777777" w:rsidR="002E5F35" w:rsidRPr="002C667B" w:rsidRDefault="002E5F35" w:rsidP="002C667B">
            <w:pPr>
              <w:jc w:val="center"/>
              <w:rPr>
                <w:sz w:val="22"/>
                <w:szCs w:val="22"/>
                <w:lang w:val="en-GB"/>
              </w:rPr>
            </w:pPr>
            <w:r w:rsidRPr="002C667B">
              <w:rPr>
                <w:sz w:val="22"/>
                <w:szCs w:val="22"/>
              </w:rPr>
              <w:t>7.5%</w:t>
            </w:r>
          </w:p>
        </w:tc>
        <w:tc>
          <w:tcPr>
            <w:tcW w:w="915" w:type="dxa"/>
            <w:tcBorders>
              <w:top w:val="nil"/>
            </w:tcBorders>
            <w:shd w:val="clear" w:color="auto" w:fill="FFFF00"/>
          </w:tcPr>
          <w:p w14:paraId="7C5B6716" w14:textId="458FC82C" w:rsidR="002E5F35" w:rsidRPr="002C667B" w:rsidRDefault="001C65D4" w:rsidP="002C667B">
            <w:pPr>
              <w:jc w:val="center"/>
              <w:rPr>
                <w:sz w:val="22"/>
                <w:szCs w:val="22"/>
              </w:rPr>
            </w:pPr>
            <w:r w:rsidRPr="001C65D4">
              <w:rPr>
                <w:sz w:val="22"/>
                <w:szCs w:val="22"/>
              </w:rPr>
              <w:t>0.9</w:t>
            </w:r>
            <w:r>
              <w:rPr>
                <w:sz w:val="22"/>
                <w:szCs w:val="22"/>
              </w:rPr>
              <w:t>%</w:t>
            </w:r>
          </w:p>
        </w:tc>
        <w:tc>
          <w:tcPr>
            <w:tcW w:w="915" w:type="dxa"/>
            <w:tcBorders>
              <w:top w:val="nil"/>
            </w:tcBorders>
            <w:shd w:val="clear" w:color="auto" w:fill="FFFF00"/>
            <w:tcMar>
              <w:top w:w="15" w:type="dxa"/>
              <w:left w:w="15" w:type="dxa"/>
              <w:bottom w:w="0" w:type="dxa"/>
              <w:right w:w="15" w:type="dxa"/>
            </w:tcMar>
            <w:vAlign w:val="bottom"/>
            <w:hideMark/>
          </w:tcPr>
          <w:p w14:paraId="4562EE6B" w14:textId="31ED6C2A" w:rsidR="002E5F35" w:rsidRPr="002C667B" w:rsidRDefault="002E5F35" w:rsidP="002C667B">
            <w:pPr>
              <w:jc w:val="center"/>
              <w:rPr>
                <w:sz w:val="22"/>
                <w:szCs w:val="22"/>
                <w:lang w:val="en-GB"/>
              </w:rPr>
            </w:pPr>
            <w:r w:rsidRPr="002C667B">
              <w:rPr>
                <w:sz w:val="22"/>
                <w:szCs w:val="22"/>
              </w:rPr>
              <w:t>0.2%</w:t>
            </w:r>
          </w:p>
        </w:tc>
        <w:tc>
          <w:tcPr>
            <w:tcW w:w="916" w:type="dxa"/>
            <w:tcBorders>
              <w:top w:val="nil"/>
            </w:tcBorders>
            <w:shd w:val="clear" w:color="auto" w:fill="FFFF00"/>
            <w:tcMar>
              <w:top w:w="15" w:type="dxa"/>
              <w:left w:w="15" w:type="dxa"/>
              <w:bottom w:w="0" w:type="dxa"/>
              <w:right w:w="15" w:type="dxa"/>
            </w:tcMar>
            <w:vAlign w:val="bottom"/>
            <w:hideMark/>
          </w:tcPr>
          <w:p w14:paraId="7F615B8E" w14:textId="77777777" w:rsidR="002E5F35" w:rsidRPr="002C667B" w:rsidRDefault="002E5F35" w:rsidP="002C667B">
            <w:pPr>
              <w:jc w:val="center"/>
              <w:rPr>
                <w:sz w:val="22"/>
                <w:szCs w:val="22"/>
                <w:lang w:val="en-GB"/>
              </w:rPr>
            </w:pPr>
            <w:r w:rsidRPr="002C667B">
              <w:rPr>
                <w:sz w:val="22"/>
                <w:szCs w:val="22"/>
              </w:rPr>
              <w:t>0.5%</w:t>
            </w:r>
          </w:p>
        </w:tc>
        <w:tc>
          <w:tcPr>
            <w:tcW w:w="1245" w:type="dxa"/>
            <w:tcBorders>
              <w:top w:val="nil"/>
            </w:tcBorders>
            <w:shd w:val="clear" w:color="auto" w:fill="00B0F0"/>
            <w:tcMar>
              <w:top w:w="15" w:type="dxa"/>
              <w:left w:w="15" w:type="dxa"/>
              <w:bottom w:w="0" w:type="dxa"/>
              <w:right w:w="15" w:type="dxa"/>
            </w:tcMar>
            <w:vAlign w:val="bottom"/>
            <w:hideMark/>
          </w:tcPr>
          <w:p w14:paraId="55024AE0" w14:textId="77777777" w:rsidR="002E5F35" w:rsidRPr="002C667B" w:rsidRDefault="002E5F35" w:rsidP="002C667B">
            <w:pPr>
              <w:jc w:val="center"/>
              <w:rPr>
                <w:sz w:val="22"/>
                <w:szCs w:val="22"/>
                <w:lang w:val="en-GB"/>
              </w:rPr>
            </w:pPr>
            <w:r w:rsidRPr="002C667B">
              <w:rPr>
                <w:sz w:val="22"/>
                <w:szCs w:val="22"/>
              </w:rPr>
              <w:t>25.7%</w:t>
            </w:r>
          </w:p>
        </w:tc>
      </w:tr>
      <w:tr w:rsidR="002E5F35" w:rsidRPr="002C667B" w14:paraId="1A778597" w14:textId="02E6C55C" w:rsidTr="002607F3">
        <w:trPr>
          <w:trHeight w:val="224"/>
        </w:trPr>
        <w:tc>
          <w:tcPr>
            <w:tcW w:w="1409" w:type="dxa"/>
            <w:shd w:val="clear" w:color="auto" w:fill="auto"/>
            <w:tcMar>
              <w:top w:w="15" w:type="dxa"/>
              <w:left w:w="15" w:type="dxa"/>
              <w:bottom w:w="0" w:type="dxa"/>
              <w:right w:w="15" w:type="dxa"/>
            </w:tcMar>
            <w:vAlign w:val="bottom"/>
            <w:hideMark/>
          </w:tcPr>
          <w:p w14:paraId="03B80EDD" w14:textId="77777777" w:rsidR="002E5F35" w:rsidRPr="002C667B" w:rsidRDefault="002E5F35" w:rsidP="002C667B">
            <w:pPr>
              <w:jc w:val="center"/>
              <w:rPr>
                <w:sz w:val="22"/>
                <w:szCs w:val="22"/>
                <w:lang w:val="en-GB"/>
              </w:rPr>
            </w:pPr>
            <w:r w:rsidRPr="002C667B">
              <w:rPr>
                <w:bCs/>
                <w:sz w:val="22"/>
                <w:szCs w:val="22"/>
              </w:rPr>
              <w:t>BE</w:t>
            </w:r>
          </w:p>
        </w:tc>
        <w:tc>
          <w:tcPr>
            <w:tcW w:w="915" w:type="dxa"/>
            <w:shd w:val="clear" w:color="auto" w:fill="FFFF00"/>
            <w:tcMar>
              <w:top w:w="15" w:type="dxa"/>
              <w:left w:w="15" w:type="dxa"/>
              <w:bottom w:w="0" w:type="dxa"/>
              <w:right w:w="15" w:type="dxa"/>
            </w:tcMar>
            <w:vAlign w:val="bottom"/>
            <w:hideMark/>
          </w:tcPr>
          <w:p w14:paraId="471EED4E" w14:textId="77777777" w:rsidR="002E5F35" w:rsidRPr="002C667B" w:rsidRDefault="002E5F35" w:rsidP="002C667B">
            <w:pPr>
              <w:jc w:val="center"/>
              <w:rPr>
                <w:sz w:val="22"/>
                <w:szCs w:val="22"/>
                <w:lang w:val="en-GB"/>
              </w:rPr>
            </w:pPr>
            <w:r w:rsidRPr="002C667B">
              <w:rPr>
                <w:sz w:val="22"/>
                <w:szCs w:val="22"/>
              </w:rPr>
              <w:t>0.8%</w:t>
            </w:r>
          </w:p>
        </w:tc>
        <w:tc>
          <w:tcPr>
            <w:tcW w:w="915" w:type="dxa"/>
            <w:shd w:val="clear" w:color="auto" w:fill="FFFF00"/>
            <w:tcMar>
              <w:top w:w="15" w:type="dxa"/>
              <w:left w:w="15" w:type="dxa"/>
              <w:bottom w:w="0" w:type="dxa"/>
              <w:right w:w="15" w:type="dxa"/>
            </w:tcMar>
            <w:vAlign w:val="bottom"/>
            <w:hideMark/>
          </w:tcPr>
          <w:p w14:paraId="0882ABF2" w14:textId="77777777" w:rsidR="002E5F35" w:rsidRPr="002C667B" w:rsidRDefault="002E5F35" w:rsidP="002C667B">
            <w:pPr>
              <w:jc w:val="center"/>
              <w:rPr>
                <w:sz w:val="22"/>
                <w:szCs w:val="22"/>
                <w:lang w:val="en-GB"/>
              </w:rPr>
            </w:pPr>
            <w:r w:rsidRPr="002C667B">
              <w:rPr>
                <w:sz w:val="22"/>
                <w:szCs w:val="22"/>
              </w:rPr>
              <w:t>0.3%</w:t>
            </w:r>
          </w:p>
        </w:tc>
        <w:tc>
          <w:tcPr>
            <w:tcW w:w="915" w:type="dxa"/>
            <w:shd w:val="clear" w:color="auto" w:fill="FFFF00"/>
            <w:tcMar>
              <w:top w:w="15" w:type="dxa"/>
              <w:left w:w="15" w:type="dxa"/>
              <w:bottom w:w="0" w:type="dxa"/>
              <w:right w:w="15" w:type="dxa"/>
            </w:tcMar>
            <w:vAlign w:val="bottom"/>
            <w:hideMark/>
          </w:tcPr>
          <w:p w14:paraId="180B17E4" w14:textId="77777777" w:rsidR="002E5F35" w:rsidRPr="002C667B" w:rsidRDefault="002E5F35" w:rsidP="002C667B">
            <w:pPr>
              <w:jc w:val="center"/>
              <w:rPr>
                <w:sz w:val="22"/>
                <w:szCs w:val="22"/>
                <w:lang w:val="en-GB"/>
              </w:rPr>
            </w:pPr>
            <w:r w:rsidRPr="002C667B">
              <w:rPr>
                <w:sz w:val="22"/>
                <w:szCs w:val="22"/>
              </w:rPr>
              <w:t>1.6%</w:t>
            </w:r>
          </w:p>
        </w:tc>
        <w:tc>
          <w:tcPr>
            <w:tcW w:w="915" w:type="dxa"/>
            <w:shd w:val="clear" w:color="auto" w:fill="auto"/>
          </w:tcPr>
          <w:p w14:paraId="54EB55E8" w14:textId="104660FF"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7CA04969" w14:textId="598EC368" w:rsidR="002E5F35" w:rsidRPr="002C667B" w:rsidRDefault="002E5F35" w:rsidP="002C667B">
            <w:pPr>
              <w:jc w:val="center"/>
              <w:rPr>
                <w:sz w:val="22"/>
                <w:szCs w:val="22"/>
                <w:lang w:val="en-GB"/>
              </w:rPr>
            </w:pPr>
            <w:r w:rsidRPr="002C667B">
              <w:rPr>
                <w:sz w:val="22"/>
                <w:szCs w:val="22"/>
              </w:rPr>
              <w:t>0.1%</w:t>
            </w:r>
          </w:p>
        </w:tc>
        <w:tc>
          <w:tcPr>
            <w:tcW w:w="916" w:type="dxa"/>
            <w:shd w:val="clear" w:color="auto" w:fill="FFFF00"/>
            <w:tcMar>
              <w:top w:w="15" w:type="dxa"/>
              <w:left w:w="15" w:type="dxa"/>
              <w:bottom w:w="0" w:type="dxa"/>
              <w:right w:w="15" w:type="dxa"/>
            </w:tcMar>
            <w:vAlign w:val="bottom"/>
            <w:hideMark/>
          </w:tcPr>
          <w:p w14:paraId="2C2D3B34" w14:textId="77777777" w:rsidR="002E5F35" w:rsidRPr="002C667B" w:rsidRDefault="002E5F35" w:rsidP="002C667B">
            <w:pPr>
              <w:jc w:val="center"/>
              <w:rPr>
                <w:sz w:val="22"/>
                <w:szCs w:val="22"/>
                <w:lang w:val="en-GB"/>
              </w:rPr>
            </w:pPr>
            <w:r w:rsidRPr="002C667B">
              <w:rPr>
                <w:sz w:val="22"/>
                <w:szCs w:val="22"/>
              </w:rPr>
              <w:t>0.1%</w:t>
            </w:r>
          </w:p>
        </w:tc>
        <w:tc>
          <w:tcPr>
            <w:tcW w:w="1245" w:type="dxa"/>
            <w:shd w:val="clear" w:color="auto" w:fill="FFFF00"/>
            <w:tcMar>
              <w:top w:w="15" w:type="dxa"/>
              <w:left w:w="15" w:type="dxa"/>
              <w:bottom w:w="0" w:type="dxa"/>
              <w:right w:w="15" w:type="dxa"/>
            </w:tcMar>
            <w:vAlign w:val="bottom"/>
            <w:hideMark/>
          </w:tcPr>
          <w:p w14:paraId="5E450FAF" w14:textId="77777777" w:rsidR="002E5F35" w:rsidRPr="002C667B" w:rsidRDefault="002E5F35" w:rsidP="002C667B">
            <w:pPr>
              <w:jc w:val="center"/>
              <w:rPr>
                <w:sz w:val="22"/>
                <w:szCs w:val="22"/>
                <w:lang w:val="en-GB"/>
              </w:rPr>
            </w:pPr>
            <w:r w:rsidRPr="002C667B">
              <w:rPr>
                <w:sz w:val="22"/>
                <w:szCs w:val="22"/>
              </w:rPr>
              <w:t>0.4%</w:t>
            </w:r>
          </w:p>
        </w:tc>
      </w:tr>
      <w:tr w:rsidR="002E5F35" w:rsidRPr="002C667B" w14:paraId="65760E46" w14:textId="05D1EB79" w:rsidTr="002607F3">
        <w:trPr>
          <w:trHeight w:val="224"/>
        </w:trPr>
        <w:tc>
          <w:tcPr>
            <w:tcW w:w="1409" w:type="dxa"/>
            <w:shd w:val="clear" w:color="auto" w:fill="auto"/>
            <w:tcMar>
              <w:top w:w="15" w:type="dxa"/>
              <w:left w:w="15" w:type="dxa"/>
              <w:bottom w:w="0" w:type="dxa"/>
              <w:right w:w="15" w:type="dxa"/>
            </w:tcMar>
            <w:vAlign w:val="bottom"/>
            <w:hideMark/>
          </w:tcPr>
          <w:p w14:paraId="764CC399" w14:textId="77777777" w:rsidR="002E5F35" w:rsidRPr="002C667B" w:rsidRDefault="002E5F35" w:rsidP="002C667B">
            <w:pPr>
              <w:jc w:val="center"/>
              <w:rPr>
                <w:sz w:val="22"/>
                <w:szCs w:val="22"/>
                <w:lang w:val="en-GB"/>
              </w:rPr>
            </w:pPr>
            <w:r w:rsidRPr="002C667B">
              <w:rPr>
                <w:bCs/>
                <w:sz w:val="22"/>
                <w:szCs w:val="22"/>
              </w:rPr>
              <w:t>CA</w:t>
            </w:r>
          </w:p>
        </w:tc>
        <w:tc>
          <w:tcPr>
            <w:tcW w:w="915" w:type="dxa"/>
            <w:shd w:val="clear" w:color="auto" w:fill="FFFF00"/>
            <w:tcMar>
              <w:top w:w="15" w:type="dxa"/>
              <w:left w:w="15" w:type="dxa"/>
              <w:bottom w:w="0" w:type="dxa"/>
              <w:right w:w="15" w:type="dxa"/>
            </w:tcMar>
            <w:vAlign w:val="bottom"/>
            <w:hideMark/>
          </w:tcPr>
          <w:p w14:paraId="79F8CB4D"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FFFF00"/>
            <w:tcMar>
              <w:top w:w="15" w:type="dxa"/>
              <w:left w:w="15" w:type="dxa"/>
              <w:bottom w:w="0" w:type="dxa"/>
              <w:right w:w="15" w:type="dxa"/>
            </w:tcMar>
            <w:vAlign w:val="bottom"/>
            <w:hideMark/>
          </w:tcPr>
          <w:p w14:paraId="589C3997" w14:textId="77777777" w:rsidR="002E5F35" w:rsidRPr="002C667B" w:rsidRDefault="002E5F35" w:rsidP="002C667B">
            <w:pPr>
              <w:jc w:val="center"/>
              <w:rPr>
                <w:sz w:val="22"/>
                <w:szCs w:val="22"/>
                <w:lang w:val="en-GB"/>
              </w:rPr>
            </w:pPr>
            <w:r w:rsidRPr="002C667B">
              <w:rPr>
                <w:sz w:val="22"/>
                <w:szCs w:val="22"/>
              </w:rPr>
              <w:t>0.3%</w:t>
            </w:r>
          </w:p>
        </w:tc>
        <w:tc>
          <w:tcPr>
            <w:tcW w:w="915" w:type="dxa"/>
            <w:shd w:val="clear" w:color="auto" w:fill="FFFF00"/>
            <w:tcMar>
              <w:top w:w="15" w:type="dxa"/>
              <w:left w:w="15" w:type="dxa"/>
              <w:bottom w:w="0" w:type="dxa"/>
              <w:right w:w="15" w:type="dxa"/>
            </w:tcMar>
            <w:vAlign w:val="bottom"/>
            <w:hideMark/>
          </w:tcPr>
          <w:p w14:paraId="7C5A2FFE" w14:textId="77777777" w:rsidR="002E5F35" w:rsidRPr="002C667B" w:rsidRDefault="002E5F35" w:rsidP="002C667B">
            <w:pPr>
              <w:jc w:val="center"/>
              <w:rPr>
                <w:sz w:val="22"/>
                <w:szCs w:val="22"/>
                <w:lang w:val="en-GB"/>
              </w:rPr>
            </w:pPr>
            <w:r w:rsidRPr="002C667B">
              <w:rPr>
                <w:sz w:val="22"/>
                <w:szCs w:val="22"/>
              </w:rPr>
              <w:t>0.4%</w:t>
            </w:r>
          </w:p>
        </w:tc>
        <w:tc>
          <w:tcPr>
            <w:tcW w:w="915" w:type="dxa"/>
            <w:shd w:val="clear" w:color="auto" w:fill="FFFF00"/>
          </w:tcPr>
          <w:p w14:paraId="616FC468" w14:textId="08007DCF" w:rsidR="002E5F35" w:rsidRPr="002C667B" w:rsidRDefault="001C65D4" w:rsidP="002C667B">
            <w:pPr>
              <w:jc w:val="center"/>
              <w:rPr>
                <w:sz w:val="22"/>
                <w:szCs w:val="22"/>
              </w:rPr>
            </w:pPr>
            <w:r w:rsidRPr="001C65D4">
              <w:rPr>
                <w:sz w:val="22"/>
                <w:szCs w:val="22"/>
              </w:rPr>
              <w:t>0.9</w:t>
            </w:r>
            <w:r>
              <w:rPr>
                <w:sz w:val="22"/>
                <w:szCs w:val="22"/>
              </w:rPr>
              <w:t>%</w:t>
            </w:r>
          </w:p>
        </w:tc>
        <w:tc>
          <w:tcPr>
            <w:tcW w:w="915" w:type="dxa"/>
            <w:shd w:val="clear" w:color="auto" w:fill="auto"/>
            <w:tcMar>
              <w:top w:w="15" w:type="dxa"/>
              <w:left w:w="15" w:type="dxa"/>
              <w:bottom w:w="0" w:type="dxa"/>
              <w:right w:w="15" w:type="dxa"/>
            </w:tcMar>
            <w:vAlign w:val="bottom"/>
            <w:hideMark/>
          </w:tcPr>
          <w:p w14:paraId="2AF010D2" w14:textId="634B790D" w:rsidR="002E5F35" w:rsidRPr="002C667B" w:rsidRDefault="002E5F35" w:rsidP="002C667B">
            <w:pPr>
              <w:jc w:val="center"/>
              <w:rPr>
                <w:sz w:val="22"/>
                <w:szCs w:val="22"/>
                <w:lang w:val="en-GB"/>
              </w:rPr>
            </w:pPr>
            <w:r w:rsidRPr="002C667B">
              <w:rPr>
                <w:sz w:val="22"/>
                <w:szCs w:val="22"/>
              </w:rPr>
              <w:t>0.0%</w:t>
            </w:r>
          </w:p>
        </w:tc>
        <w:tc>
          <w:tcPr>
            <w:tcW w:w="916" w:type="dxa"/>
            <w:shd w:val="clear" w:color="auto" w:fill="auto"/>
            <w:tcMar>
              <w:top w:w="15" w:type="dxa"/>
              <w:left w:w="15" w:type="dxa"/>
              <w:bottom w:w="0" w:type="dxa"/>
              <w:right w:w="15" w:type="dxa"/>
            </w:tcMar>
            <w:vAlign w:val="bottom"/>
            <w:hideMark/>
          </w:tcPr>
          <w:p w14:paraId="56C21158"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auto"/>
            <w:tcMar>
              <w:top w:w="15" w:type="dxa"/>
              <w:left w:w="15" w:type="dxa"/>
              <w:bottom w:w="0" w:type="dxa"/>
              <w:right w:w="15" w:type="dxa"/>
            </w:tcMar>
            <w:vAlign w:val="bottom"/>
            <w:hideMark/>
          </w:tcPr>
          <w:p w14:paraId="6E203AA0" w14:textId="77777777" w:rsidR="002E5F35" w:rsidRPr="002C667B" w:rsidRDefault="002E5F35" w:rsidP="002C667B">
            <w:pPr>
              <w:jc w:val="center"/>
              <w:rPr>
                <w:sz w:val="22"/>
                <w:szCs w:val="22"/>
                <w:lang w:val="en-GB"/>
              </w:rPr>
            </w:pPr>
            <w:r w:rsidRPr="002C667B">
              <w:rPr>
                <w:sz w:val="22"/>
                <w:szCs w:val="22"/>
              </w:rPr>
              <w:t>0.0%</w:t>
            </w:r>
          </w:p>
        </w:tc>
      </w:tr>
      <w:tr w:rsidR="002E5F35" w:rsidRPr="002C667B" w14:paraId="116268EC" w14:textId="686ACD13" w:rsidTr="00032263">
        <w:trPr>
          <w:trHeight w:val="224"/>
        </w:trPr>
        <w:tc>
          <w:tcPr>
            <w:tcW w:w="1409" w:type="dxa"/>
            <w:shd w:val="clear" w:color="auto" w:fill="auto"/>
            <w:tcMar>
              <w:top w:w="15" w:type="dxa"/>
              <w:left w:w="15" w:type="dxa"/>
              <w:bottom w:w="0" w:type="dxa"/>
              <w:right w:w="15" w:type="dxa"/>
            </w:tcMar>
            <w:vAlign w:val="bottom"/>
            <w:hideMark/>
          </w:tcPr>
          <w:p w14:paraId="7D0E80E6" w14:textId="77777777" w:rsidR="002E5F35" w:rsidRPr="002C667B" w:rsidRDefault="002E5F35" w:rsidP="002C667B">
            <w:pPr>
              <w:jc w:val="center"/>
              <w:rPr>
                <w:sz w:val="22"/>
                <w:szCs w:val="22"/>
                <w:lang w:val="en-GB"/>
              </w:rPr>
            </w:pPr>
            <w:r w:rsidRPr="002C667B">
              <w:rPr>
                <w:bCs/>
                <w:sz w:val="22"/>
                <w:szCs w:val="22"/>
              </w:rPr>
              <w:t>CH</w:t>
            </w:r>
          </w:p>
        </w:tc>
        <w:tc>
          <w:tcPr>
            <w:tcW w:w="915" w:type="dxa"/>
            <w:shd w:val="clear" w:color="auto" w:fill="FFFF00"/>
            <w:tcMar>
              <w:top w:w="15" w:type="dxa"/>
              <w:left w:w="15" w:type="dxa"/>
              <w:bottom w:w="0" w:type="dxa"/>
              <w:right w:w="15" w:type="dxa"/>
            </w:tcMar>
            <w:vAlign w:val="bottom"/>
            <w:hideMark/>
          </w:tcPr>
          <w:p w14:paraId="3073DFDB" w14:textId="77777777" w:rsidR="002E5F35" w:rsidRPr="002C667B" w:rsidRDefault="002E5F35" w:rsidP="002C667B">
            <w:pPr>
              <w:jc w:val="center"/>
              <w:rPr>
                <w:sz w:val="22"/>
                <w:szCs w:val="22"/>
                <w:lang w:val="en-GB"/>
              </w:rPr>
            </w:pPr>
            <w:r w:rsidRPr="002C667B">
              <w:rPr>
                <w:sz w:val="22"/>
                <w:szCs w:val="22"/>
              </w:rPr>
              <w:t>2.6%</w:t>
            </w:r>
          </w:p>
        </w:tc>
        <w:tc>
          <w:tcPr>
            <w:tcW w:w="915" w:type="dxa"/>
            <w:shd w:val="clear" w:color="auto" w:fill="FFFF00"/>
            <w:tcMar>
              <w:top w:w="15" w:type="dxa"/>
              <w:left w:w="15" w:type="dxa"/>
              <w:bottom w:w="0" w:type="dxa"/>
              <w:right w:w="15" w:type="dxa"/>
            </w:tcMar>
            <w:vAlign w:val="bottom"/>
            <w:hideMark/>
          </w:tcPr>
          <w:p w14:paraId="685FA867" w14:textId="77777777" w:rsidR="002E5F35" w:rsidRPr="002C667B" w:rsidRDefault="002E5F35" w:rsidP="002C667B">
            <w:pPr>
              <w:jc w:val="center"/>
              <w:rPr>
                <w:sz w:val="22"/>
                <w:szCs w:val="22"/>
                <w:lang w:val="en-GB"/>
              </w:rPr>
            </w:pPr>
            <w:r w:rsidRPr="002C667B">
              <w:rPr>
                <w:sz w:val="22"/>
                <w:szCs w:val="22"/>
              </w:rPr>
              <w:t>0.9%</w:t>
            </w:r>
          </w:p>
        </w:tc>
        <w:tc>
          <w:tcPr>
            <w:tcW w:w="915" w:type="dxa"/>
            <w:shd w:val="clear" w:color="auto" w:fill="92D050"/>
            <w:tcMar>
              <w:top w:w="15" w:type="dxa"/>
              <w:left w:w="15" w:type="dxa"/>
              <w:bottom w:w="0" w:type="dxa"/>
              <w:right w:w="15" w:type="dxa"/>
            </w:tcMar>
            <w:vAlign w:val="bottom"/>
            <w:hideMark/>
          </w:tcPr>
          <w:p w14:paraId="38CC5B13" w14:textId="77777777" w:rsidR="002E5F35" w:rsidRPr="002C667B" w:rsidRDefault="002E5F35" w:rsidP="002C667B">
            <w:pPr>
              <w:jc w:val="center"/>
              <w:rPr>
                <w:sz w:val="22"/>
                <w:szCs w:val="22"/>
                <w:lang w:val="en-GB"/>
              </w:rPr>
            </w:pPr>
            <w:r w:rsidRPr="002C667B">
              <w:rPr>
                <w:sz w:val="22"/>
                <w:szCs w:val="22"/>
              </w:rPr>
              <w:t>3.4%</w:t>
            </w:r>
          </w:p>
        </w:tc>
        <w:tc>
          <w:tcPr>
            <w:tcW w:w="915" w:type="dxa"/>
            <w:shd w:val="clear" w:color="auto" w:fill="92D050"/>
          </w:tcPr>
          <w:p w14:paraId="715E8EC7" w14:textId="3A51D984" w:rsidR="002E5F35" w:rsidRPr="002C667B" w:rsidRDefault="001C65D4" w:rsidP="002C667B">
            <w:pPr>
              <w:jc w:val="center"/>
              <w:rPr>
                <w:sz w:val="22"/>
                <w:szCs w:val="22"/>
              </w:rPr>
            </w:pPr>
            <w:r>
              <w:rPr>
                <w:sz w:val="22"/>
                <w:szCs w:val="22"/>
              </w:rPr>
              <w:t>5.5%</w:t>
            </w:r>
          </w:p>
        </w:tc>
        <w:tc>
          <w:tcPr>
            <w:tcW w:w="915" w:type="dxa"/>
            <w:shd w:val="clear" w:color="auto" w:fill="FFFF00"/>
            <w:tcMar>
              <w:top w:w="15" w:type="dxa"/>
              <w:left w:w="15" w:type="dxa"/>
              <w:bottom w:w="0" w:type="dxa"/>
              <w:right w:w="15" w:type="dxa"/>
            </w:tcMar>
            <w:vAlign w:val="bottom"/>
            <w:hideMark/>
          </w:tcPr>
          <w:p w14:paraId="12CEB1B6" w14:textId="17CEBE13" w:rsidR="002E5F35" w:rsidRPr="002C667B" w:rsidRDefault="002E5F35" w:rsidP="002C667B">
            <w:pPr>
              <w:jc w:val="center"/>
              <w:rPr>
                <w:sz w:val="22"/>
                <w:szCs w:val="22"/>
                <w:lang w:val="en-GB"/>
              </w:rPr>
            </w:pPr>
            <w:r w:rsidRPr="002C667B">
              <w:rPr>
                <w:sz w:val="22"/>
                <w:szCs w:val="22"/>
              </w:rPr>
              <w:t>0.7%</w:t>
            </w:r>
          </w:p>
        </w:tc>
        <w:tc>
          <w:tcPr>
            <w:tcW w:w="916" w:type="dxa"/>
            <w:shd w:val="clear" w:color="auto" w:fill="FFFF00"/>
            <w:tcMar>
              <w:top w:w="15" w:type="dxa"/>
              <w:left w:w="15" w:type="dxa"/>
              <w:bottom w:w="0" w:type="dxa"/>
              <w:right w:w="15" w:type="dxa"/>
            </w:tcMar>
            <w:vAlign w:val="bottom"/>
            <w:hideMark/>
          </w:tcPr>
          <w:p w14:paraId="1E844360" w14:textId="77777777" w:rsidR="002E5F35" w:rsidRPr="002C667B" w:rsidRDefault="002E5F35" w:rsidP="002C667B">
            <w:pPr>
              <w:jc w:val="center"/>
              <w:rPr>
                <w:sz w:val="22"/>
                <w:szCs w:val="22"/>
                <w:lang w:val="en-GB"/>
              </w:rPr>
            </w:pPr>
            <w:r w:rsidRPr="002C667B">
              <w:rPr>
                <w:sz w:val="22"/>
                <w:szCs w:val="22"/>
              </w:rPr>
              <w:t>1.6%</w:t>
            </w:r>
          </w:p>
        </w:tc>
        <w:tc>
          <w:tcPr>
            <w:tcW w:w="1245" w:type="dxa"/>
            <w:shd w:val="clear" w:color="auto" w:fill="92D050"/>
            <w:tcMar>
              <w:top w:w="15" w:type="dxa"/>
              <w:left w:w="15" w:type="dxa"/>
              <w:bottom w:w="0" w:type="dxa"/>
              <w:right w:w="15" w:type="dxa"/>
            </w:tcMar>
            <w:vAlign w:val="bottom"/>
            <w:hideMark/>
          </w:tcPr>
          <w:p w14:paraId="53196C73" w14:textId="77777777" w:rsidR="002E5F35" w:rsidRPr="002C667B" w:rsidRDefault="002E5F35" w:rsidP="002C667B">
            <w:pPr>
              <w:jc w:val="center"/>
              <w:rPr>
                <w:sz w:val="22"/>
                <w:szCs w:val="22"/>
                <w:lang w:val="en-GB"/>
              </w:rPr>
            </w:pPr>
            <w:r w:rsidRPr="002C667B">
              <w:rPr>
                <w:sz w:val="22"/>
                <w:szCs w:val="22"/>
              </w:rPr>
              <w:t>3.1%</w:t>
            </w:r>
          </w:p>
        </w:tc>
      </w:tr>
      <w:tr w:rsidR="002E5F35" w:rsidRPr="002C667B" w14:paraId="6C8693EA" w14:textId="0F59E8B8" w:rsidTr="00032263">
        <w:trPr>
          <w:trHeight w:val="224"/>
        </w:trPr>
        <w:tc>
          <w:tcPr>
            <w:tcW w:w="1409" w:type="dxa"/>
            <w:shd w:val="clear" w:color="auto" w:fill="auto"/>
            <w:tcMar>
              <w:top w:w="15" w:type="dxa"/>
              <w:left w:w="15" w:type="dxa"/>
              <w:bottom w:w="0" w:type="dxa"/>
              <w:right w:w="15" w:type="dxa"/>
            </w:tcMar>
            <w:vAlign w:val="bottom"/>
            <w:hideMark/>
          </w:tcPr>
          <w:p w14:paraId="075FE3DB" w14:textId="77777777" w:rsidR="002E5F35" w:rsidRPr="002C667B" w:rsidRDefault="002E5F35" w:rsidP="002C667B">
            <w:pPr>
              <w:jc w:val="center"/>
              <w:rPr>
                <w:sz w:val="22"/>
                <w:szCs w:val="22"/>
                <w:lang w:val="en-GB"/>
              </w:rPr>
            </w:pPr>
            <w:r w:rsidRPr="002C667B">
              <w:rPr>
                <w:bCs/>
                <w:sz w:val="22"/>
                <w:szCs w:val="22"/>
              </w:rPr>
              <w:t>CZ</w:t>
            </w:r>
          </w:p>
        </w:tc>
        <w:tc>
          <w:tcPr>
            <w:tcW w:w="915" w:type="dxa"/>
            <w:shd w:val="clear" w:color="auto" w:fill="FFFF00"/>
            <w:tcMar>
              <w:top w:w="15" w:type="dxa"/>
              <w:left w:w="15" w:type="dxa"/>
              <w:bottom w:w="0" w:type="dxa"/>
              <w:right w:w="15" w:type="dxa"/>
            </w:tcMar>
            <w:vAlign w:val="bottom"/>
            <w:hideMark/>
          </w:tcPr>
          <w:p w14:paraId="04B4EBEE" w14:textId="77777777" w:rsidR="002E5F35" w:rsidRPr="002C667B" w:rsidRDefault="002E5F35" w:rsidP="002C667B">
            <w:pPr>
              <w:jc w:val="center"/>
              <w:rPr>
                <w:sz w:val="22"/>
                <w:szCs w:val="22"/>
                <w:lang w:val="en-GB"/>
              </w:rPr>
            </w:pPr>
            <w:r w:rsidRPr="002C667B">
              <w:rPr>
                <w:sz w:val="22"/>
                <w:szCs w:val="22"/>
              </w:rPr>
              <w:t>0.5%</w:t>
            </w:r>
          </w:p>
        </w:tc>
        <w:tc>
          <w:tcPr>
            <w:tcW w:w="915" w:type="dxa"/>
            <w:shd w:val="clear" w:color="auto" w:fill="92D050"/>
            <w:tcMar>
              <w:top w:w="15" w:type="dxa"/>
              <w:left w:w="15" w:type="dxa"/>
              <w:bottom w:w="0" w:type="dxa"/>
              <w:right w:w="15" w:type="dxa"/>
            </w:tcMar>
            <w:vAlign w:val="bottom"/>
            <w:hideMark/>
          </w:tcPr>
          <w:p w14:paraId="2BCBB2BF" w14:textId="77777777" w:rsidR="002E5F35" w:rsidRPr="002C667B" w:rsidRDefault="002E5F35" w:rsidP="002C667B">
            <w:pPr>
              <w:jc w:val="center"/>
              <w:rPr>
                <w:sz w:val="22"/>
                <w:szCs w:val="22"/>
                <w:lang w:val="en-GB"/>
              </w:rPr>
            </w:pPr>
            <w:r w:rsidRPr="002C667B">
              <w:rPr>
                <w:sz w:val="22"/>
                <w:szCs w:val="22"/>
              </w:rPr>
              <w:t>3.4%</w:t>
            </w:r>
          </w:p>
        </w:tc>
        <w:tc>
          <w:tcPr>
            <w:tcW w:w="915" w:type="dxa"/>
            <w:shd w:val="clear" w:color="auto" w:fill="92D050"/>
            <w:tcMar>
              <w:top w:w="15" w:type="dxa"/>
              <w:left w:w="15" w:type="dxa"/>
              <w:bottom w:w="0" w:type="dxa"/>
              <w:right w:w="15" w:type="dxa"/>
            </w:tcMar>
            <w:vAlign w:val="bottom"/>
            <w:hideMark/>
          </w:tcPr>
          <w:p w14:paraId="40952673" w14:textId="77777777" w:rsidR="002E5F35" w:rsidRPr="002C667B" w:rsidRDefault="002E5F35" w:rsidP="002C667B">
            <w:pPr>
              <w:jc w:val="center"/>
              <w:rPr>
                <w:sz w:val="22"/>
                <w:szCs w:val="22"/>
                <w:lang w:val="en-GB"/>
              </w:rPr>
            </w:pPr>
            <w:r w:rsidRPr="002C667B">
              <w:rPr>
                <w:sz w:val="22"/>
                <w:szCs w:val="22"/>
              </w:rPr>
              <w:t>3.9%</w:t>
            </w:r>
          </w:p>
        </w:tc>
        <w:tc>
          <w:tcPr>
            <w:tcW w:w="915" w:type="dxa"/>
            <w:shd w:val="clear" w:color="auto" w:fill="00B0F0"/>
          </w:tcPr>
          <w:p w14:paraId="19523D6F" w14:textId="30286977" w:rsidR="002E5F35" w:rsidRPr="002C667B" w:rsidRDefault="001C65D4" w:rsidP="002C667B">
            <w:pPr>
              <w:jc w:val="center"/>
              <w:rPr>
                <w:sz w:val="22"/>
                <w:szCs w:val="22"/>
              </w:rPr>
            </w:pPr>
            <w:r>
              <w:rPr>
                <w:sz w:val="22"/>
                <w:szCs w:val="22"/>
              </w:rPr>
              <w:t>14.6%</w:t>
            </w:r>
          </w:p>
        </w:tc>
        <w:tc>
          <w:tcPr>
            <w:tcW w:w="915" w:type="dxa"/>
            <w:shd w:val="clear" w:color="auto" w:fill="00B0F0"/>
            <w:tcMar>
              <w:top w:w="15" w:type="dxa"/>
              <w:left w:w="15" w:type="dxa"/>
              <w:bottom w:w="0" w:type="dxa"/>
              <w:right w:w="15" w:type="dxa"/>
            </w:tcMar>
            <w:vAlign w:val="bottom"/>
            <w:hideMark/>
          </w:tcPr>
          <w:p w14:paraId="34F0D42F" w14:textId="53986B1E" w:rsidR="002E5F35" w:rsidRPr="002C667B" w:rsidRDefault="002E5F35" w:rsidP="002C667B">
            <w:pPr>
              <w:jc w:val="center"/>
              <w:rPr>
                <w:sz w:val="22"/>
                <w:szCs w:val="22"/>
                <w:lang w:val="en-GB"/>
              </w:rPr>
            </w:pPr>
            <w:r w:rsidRPr="002C667B">
              <w:rPr>
                <w:sz w:val="22"/>
                <w:szCs w:val="22"/>
              </w:rPr>
              <w:t>33.1%</w:t>
            </w:r>
          </w:p>
        </w:tc>
        <w:tc>
          <w:tcPr>
            <w:tcW w:w="916" w:type="dxa"/>
            <w:shd w:val="clear" w:color="auto" w:fill="00B0F0"/>
            <w:tcMar>
              <w:top w:w="15" w:type="dxa"/>
              <w:left w:w="15" w:type="dxa"/>
              <w:bottom w:w="0" w:type="dxa"/>
              <w:right w:w="15" w:type="dxa"/>
            </w:tcMar>
            <w:vAlign w:val="bottom"/>
            <w:hideMark/>
          </w:tcPr>
          <w:p w14:paraId="1608D0B7" w14:textId="77777777" w:rsidR="002E5F35" w:rsidRPr="002C667B" w:rsidRDefault="002E5F35" w:rsidP="002C667B">
            <w:pPr>
              <w:jc w:val="center"/>
              <w:rPr>
                <w:sz w:val="22"/>
                <w:szCs w:val="22"/>
                <w:lang w:val="en-GB"/>
              </w:rPr>
            </w:pPr>
            <w:r w:rsidRPr="002C667B">
              <w:rPr>
                <w:sz w:val="22"/>
                <w:szCs w:val="22"/>
              </w:rPr>
              <w:t>11.6%</w:t>
            </w:r>
          </w:p>
        </w:tc>
        <w:tc>
          <w:tcPr>
            <w:tcW w:w="1245" w:type="dxa"/>
            <w:shd w:val="clear" w:color="auto" w:fill="FFFF00"/>
            <w:tcMar>
              <w:top w:w="15" w:type="dxa"/>
              <w:left w:w="15" w:type="dxa"/>
              <w:bottom w:w="0" w:type="dxa"/>
              <w:right w:w="15" w:type="dxa"/>
            </w:tcMar>
            <w:vAlign w:val="bottom"/>
            <w:hideMark/>
          </w:tcPr>
          <w:p w14:paraId="6B3BB473" w14:textId="77777777" w:rsidR="002E5F35" w:rsidRPr="002C667B" w:rsidRDefault="002E5F35" w:rsidP="002C667B">
            <w:pPr>
              <w:jc w:val="center"/>
              <w:rPr>
                <w:sz w:val="22"/>
                <w:szCs w:val="22"/>
                <w:lang w:val="en-GB"/>
              </w:rPr>
            </w:pPr>
            <w:r w:rsidRPr="002C667B">
              <w:rPr>
                <w:sz w:val="22"/>
                <w:szCs w:val="22"/>
              </w:rPr>
              <w:t>1.5%</w:t>
            </w:r>
          </w:p>
        </w:tc>
      </w:tr>
      <w:tr w:rsidR="002E5F35" w:rsidRPr="002C667B" w14:paraId="7A9E041C" w14:textId="7C6A6A03" w:rsidTr="002607F3">
        <w:trPr>
          <w:trHeight w:val="224"/>
        </w:trPr>
        <w:tc>
          <w:tcPr>
            <w:tcW w:w="1409" w:type="dxa"/>
            <w:shd w:val="clear" w:color="auto" w:fill="auto"/>
            <w:tcMar>
              <w:top w:w="15" w:type="dxa"/>
              <w:left w:w="15" w:type="dxa"/>
              <w:bottom w:w="0" w:type="dxa"/>
              <w:right w:w="15" w:type="dxa"/>
            </w:tcMar>
            <w:vAlign w:val="bottom"/>
            <w:hideMark/>
          </w:tcPr>
          <w:p w14:paraId="01E566D5" w14:textId="77777777" w:rsidR="002E5F35" w:rsidRPr="002C667B" w:rsidRDefault="002E5F35" w:rsidP="002C667B">
            <w:pPr>
              <w:jc w:val="center"/>
              <w:rPr>
                <w:sz w:val="22"/>
                <w:szCs w:val="22"/>
                <w:lang w:val="en-GB"/>
              </w:rPr>
            </w:pPr>
            <w:r w:rsidRPr="002C667B">
              <w:rPr>
                <w:bCs/>
                <w:sz w:val="22"/>
                <w:szCs w:val="22"/>
              </w:rPr>
              <w:t>DE</w:t>
            </w:r>
          </w:p>
        </w:tc>
        <w:tc>
          <w:tcPr>
            <w:tcW w:w="915" w:type="dxa"/>
            <w:shd w:val="clear" w:color="auto" w:fill="92D050"/>
            <w:tcMar>
              <w:top w:w="15" w:type="dxa"/>
              <w:left w:w="15" w:type="dxa"/>
              <w:bottom w:w="0" w:type="dxa"/>
              <w:right w:w="15" w:type="dxa"/>
            </w:tcMar>
            <w:vAlign w:val="bottom"/>
            <w:hideMark/>
          </w:tcPr>
          <w:p w14:paraId="58A69F5E" w14:textId="77777777" w:rsidR="002E5F35" w:rsidRPr="002C667B" w:rsidRDefault="002E5F35" w:rsidP="002C667B">
            <w:pPr>
              <w:jc w:val="center"/>
              <w:rPr>
                <w:sz w:val="22"/>
                <w:szCs w:val="22"/>
                <w:lang w:val="en-GB"/>
              </w:rPr>
            </w:pPr>
            <w:r w:rsidRPr="002C667B">
              <w:rPr>
                <w:sz w:val="22"/>
                <w:szCs w:val="22"/>
              </w:rPr>
              <w:t>5.5%</w:t>
            </w:r>
          </w:p>
        </w:tc>
        <w:tc>
          <w:tcPr>
            <w:tcW w:w="915" w:type="dxa"/>
            <w:shd w:val="clear" w:color="auto" w:fill="00B0F0"/>
            <w:tcMar>
              <w:top w:w="15" w:type="dxa"/>
              <w:left w:w="15" w:type="dxa"/>
              <w:bottom w:w="0" w:type="dxa"/>
              <w:right w:w="15" w:type="dxa"/>
            </w:tcMar>
            <w:vAlign w:val="bottom"/>
            <w:hideMark/>
          </w:tcPr>
          <w:p w14:paraId="0B3CB684" w14:textId="77777777" w:rsidR="002E5F35" w:rsidRPr="002C667B" w:rsidRDefault="002E5F35" w:rsidP="002C667B">
            <w:pPr>
              <w:jc w:val="center"/>
              <w:rPr>
                <w:sz w:val="22"/>
                <w:szCs w:val="22"/>
                <w:lang w:val="en-GB"/>
              </w:rPr>
            </w:pPr>
            <w:r w:rsidRPr="002C667B">
              <w:rPr>
                <w:sz w:val="22"/>
                <w:szCs w:val="22"/>
              </w:rPr>
              <w:t>38.5%</w:t>
            </w:r>
          </w:p>
        </w:tc>
        <w:tc>
          <w:tcPr>
            <w:tcW w:w="915" w:type="dxa"/>
            <w:shd w:val="clear" w:color="auto" w:fill="00B0F0"/>
            <w:tcMar>
              <w:top w:w="15" w:type="dxa"/>
              <w:left w:w="15" w:type="dxa"/>
              <w:bottom w:w="0" w:type="dxa"/>
              <w:right w:w="15" w:type="dxa"/>
            </w:tcMar>
            <w:vAlign w:val="bottom"/>
            <w:hideMark/>
          </w:tcPr>
          <w:p w14:paraId="33329682" w14:textId="77777777" w:rsidR="002E5F35" w:rsidRPr="002C667B" w:rsidRDefault="002E5F35" w:rsidP="002C667B">
            <w:pPr>
              <w:jc w:val="center"/>
              <w:rPr>
                <w:sz w:val="22"/>
                <w:szCs w:val="22"/>
                <w:lang w:val="en-GB"/>
              </w:rPr>
            </w:pPr>
            <w:r w:rsidRPr="002C667B">
              <w:rPr>
                <w:sz w:val="22"/>
                <w:szCs w:val="22"/>
              </w:rPr>
              <w:t>17.8%</w:t>
            </w:r>
          </w:p>
        </w:tc>
        <w:tc>
          <w:tcPr>
            <w:tcW w:w="915" w:type="dxa"/>
            <w:shd w:val="clear" w:color="auto" w:fill="FFFF00"/>
          </w:tcPr>
          <w:p w14:paraId="6E7348F5" w14:textId="6A6C1161" w:rsidR="002E5F35" w:rsidRPr="002C667B" w:rsidRDefault="001C65D4" w:rsidP="002C667B">
            <w:pPr>
              <w:jc w:val="center"/>
              <w:rPr>
                <w:sz w:val="22"/>
                <w:szCs w:val="22"/>
              </w:rPr>
            </w:pPr>
            <w:r w:rsidRPr="001C65D4">
              <w:rPr>
                <w:sz w:val="22"/>
                <w:szCs w:val="22"/>
              </w:rPr>
              <w:t>10.0</w:t>
            </w:r>
            <w:r>
              <w:rPr>
                <w:sz w:val="22"/>
                <w:szCs w:val="22"/>
              </w:rPr>
              <w:t>%</w:t>
            </w:r>
          </w:p>
        </w:tc>
        <w:tc>
          <w:tcPr>
            <w:tcW w:w="915" w:type="dxa"/>
            <w:shd w:val="clear" w:color="auto" w:fill="00B0F0"/>
            <w:tcMar>
              <w:top w:w="15" w:type="dxa"/>
              <w:left w:w="15" w:type="dxa"/>
              <w:bottom w:w="0" w:type="dxa"/>
              <w:right w:w="15" w:type="dxa"/>
            </w:tcMar>
            <w:vAlign w:val="bottom"/>
            <w:hideMark/>
          </w:tcPr>
          <w:p w14:paraId="36C4C7AD" w14:textId="030B9582" w:rsidR="002E5F35" w:rsidRPr="002C667B" w:rsidRDefault="002E5F35" w:rsidP="002C667B">
            <w:pPr>
              <w:jc w:val="center"/>
              <w:rPr>
                <w:sz w:val="22"/>
                <w:szCs w:val="22"/>
                <w:lang w:val="en-GB"/>
              </w:rPr>
            </w:pPr>
            <w:r w:rsidRPr="002C667B">
              <w:rPr>
                <w:sz w:val="22"/>
                <w:szCs w:val="22"/>
              </w:rPr>
              <w:t>16.4%</w:t>
            </w:r>
          </w:p>
        </w:tc>
        <w:tc>
          <w:tcPr>
            <w:tcW w:w="916" w:type="dxa"/>
            <w:shd w:val="clear" w:color="auto" w:fill="00B0F0"/>
            <w:tcMar>
              <w:top w:w="15" w:type="dxa"/>
              <w:left w:w="15" w:type="dxa"/>
              <w:bottom w:w="0" w:type="dxa"/>
              <w:right w:w="15" w:type="dxa"/>
            </w:tcMar>
            <w:vAlign w:val="bottom"/>
            <w:hideMark/>
          </w:tcPr>
          <w:p w14:paraId="362D1882" w14:textId="77777777" w:rsidR="002E5F35" w:rsidRPr="002C667B" w:rsidRDefault="002E5F35" w:rsidP="002C667B">
            <w:pPr>
              <w:jc w:val="center"/>
              <w:rPr>
                <w:sz w:val="22"/>
                <w:szCs w:val="22"/>
                <w:lang w:val="en-GB"/>
              </w:rPr>
            </w:pPr>
            <w:r w:rsidRPr="002C667B">
              <w:rPr>
                <w:sz w:val="22"/>
                <w:szCs w:val="22"/>
              </w:rPr>
              <w:t>46.3%</w:t>
            </w:r>
          </w:p>
        </w:tc>
        <w:tc>
          <w:tcPr>
            <w:tcW w:w="1245" w:type="dxa"/>
            <w:shd w:val="clear" w:color="auto" w:fill="00B0F0"/>
            <w:tcMar>
              <w:top w:w="15" w:type="dxa"/>
              <w:left w:w="15" w:type="dxa"/>
              <w:bottom w:w="0" w:type="dxa"/>
              <w:right w:w="15" w:type="dxa"/>
            </w:tcMar>
            <w:vAlign w:val="bottom"/>
            <w:hideMark/>
          </w:tcPr>
          <w:p w14:paraId="7B11F2D6" w14:textId="77777777" w:rsidR="002E5F35" w:rsidRPr="002C667B" w:rsidRDefault="002E5F35" w:rsidP="002C667B">
            <w:pPr>
              <w:jc w:val="center"/>
              <w:rPr>
                <w:sz w:val="22"/>
                <w:szCs w:val="22"/>
                <w:lang w:val="en-GB"/>
              </w:rPr>
            </w:pPr>
            <w:r w:rsidRPr="002C667B">
              <w:rPr>
                <w:sz w:val="22"/>
                <w:szCs w:val="22"/>
              </w:rPr>
              <w:t>11.4%</w:t>
            </w:r>
          </w:p>
        </w:tc>
      </w:tr>
      <w:tr w:rsidR="002E5F35" w:rsidRPr="002C667B" w14:paraId="17C1DF9C" w14:textId="4526A132" w:rsidTr="002607F3">
        <w:trPr>
          <w:trHeight w:val="224"/>
        </w:trPr>
        <w:tc>
          <w:tcPr>
            <w:tcW w:w="1409" w:type="dxa"/>
            <w:shd w:val="clear" w:color="auto" w:fill="auto"/>
            <w:tcMar>
              <w:top w:w="15" w:type="dxa"/>
              <w:left w:w="15" w:type="dxa"/>
              <w:bottom w:w="0" w:type="dxa"/>
              <w:right w:w="15" w:type="dxa"/>
            </w:tcMar>
            <w:vAlign w:val="bottom"/>
            <w:hideMark/>
          </w:tcPr>
          <w:p w14:paraId="1B10967E" w14:textId="77777777" w:rsidR="002E5F35" w:rsidRPr="002C667B" w:rsidRDefault="002E5F35" w:rsidP="002C667B">
            <w:pPr>
              <w:jc w:val="center"/>
              <w:rPr>
                <w:sz w:val="22"/>
                <w:szCs w:val="22"/>
                <w:lang w:val="en-GB"/>
              </w:rPr>
            </w:pPr>
            <w:r w:rsidRPr="002C667B">
              <w:rPr>
                <w:bCs/>
                <w:sz w:val="22"/>
                <w:szCs w:val="22"/>
              </w:rPr>
              <w:t>DK</w:t>
            </w:r>
          </w:p>
        </w:tc>
        <w:tc>
          <w:tcPr>
            <w:tcW w:w="915" w:type="dxa"/>
            <w:shd w:val="clear" w:color="auto" w:fill="FFFF00"/>
            <w:tcMar>
              <w:top w:w="15" w:type="dxa"/>
              <w:left w:w="15" w:type="dxa"/>
              <w:bottom w:w="0" w:type="dxa"/>
              <w:right w:w="15" w:type="dxa"/>
            </w:tcMar>
            <w:vAlign w:val="bottom"/>
            <w:hideMark/>
          </w:tcPr>
          <w:p w14:paraId="666A1E09"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100F3D4D"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FFFF00"/>
            <w:tcMar>
              <w:top w:w="15" w:type="dxa"/>
              <w:left w:w="15" w:type="dxa"/>
              <w:bottom w:w="0" w:type="dxa"/>
              <w:right w:w="15" w:type="dxa"/>
            </w:tcMar>
            <w:vAlign w:val="bottom"/>
            <w:hideMark/>
          </w:tcPr>
          <w:p w14:paraId="33AF7A61" w14:textId="77777777" w:rsidR="002E5F35" w:rsidRPr="002C667B" w:rsidRDefault="002E5F35" w:rsidP="002C667B">
            <w:pPr>
              <w:jc w:val="center"/>
              <w:rPr>
                <w:sz w:val="22"/>
                <w:szCs w:val="22"/>
                <w:lang w:val="en-GB"/>
              </w:rPr>
            </w:pPr>
            <w:r w:rsidRPr="002C667B">
              <w:rPr>
                <w:sz w:val="22"/>
                <w:szCs w:val="22"/>
              </w:rPr>
              <w:t>0.3%</w:t>
            </w:r>
          </w:p>
        </w:tc>
        <w:tc>
          <w:tcPr>
            <w:tcW w:w="915" w:type="dxa"/>
            <w:shd w:val="clear" w:color="auto" w:fill="auto"/>
          </w:tcPr>
          <w:p w14:paraId="66C0E21E" w14:textId="7703CE9B"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6DF6B90C" w14:textId="57C2C9B4" w:rsidR="002E5F35" w:rsidRPr="002C667B" w:rsidRDefault="002E5F35" w:rsidP="002C667B">
            <w:pPr>
              <w:jc w:val="center"/>
              <w:rPr>
                <w:sz w:val="22"/>
                <w:szCs w:val="22"/>
                <w:lang w:val="en-GB"/>
              </w:rPr>
            </w:pPr>
            <w:r w:rsidRPr="002C667B">
              <w:rPr>
                <w:sz w:val="22"/>
                <w:szCs w:val="22"/>
              </w:rPr>
              <w:t>0.0%</w:t>
            </w:r>
          </w:p>
        </w:tc>
        <w:tc>
          <w:tcPr>
            <w:tcW w:w="916" w:type="dxa"/>
            <w:shd w:val="clear" w:color="auto" w:fill="FFFF00"/>
            <w:tcMar>
              <w:top w:w="15" w:type="dxa"/>
              <w:left w:w="15" w:type="dxa"/>
              <w:bottom w:w="0" w:type="dxa"/>
              <w:right w:w="15" w:type="dxa"/>
            </w:tcMar>
            <w:vAlign w:val="bottom"/>
            <w:hideMark/>
          </w:tcPr>
          <w:p w14:paraId="2D25EB16" w14:textId="77777777" w:rsidR="002E5F35" w:rsidRPr="002C667B" w:rsidRDefault="002E5F35" w:rsidP="002C667B">
            <w:pPr>
              <w:jc w:val="center"/>
              <w:rPr>
                <w:sz w:val="22"/>
                <w:szCs w:val="22"/>
                <w:lang w:val="en-GB"/>
              </w:rPr>
            </w:pPr>
            <w:r w:rsidRPr="002C667B">
              <w:rPr>
                <w:sz w:val="22"/>
                <w:szCs w:val="22"/>
              </w:rPr>
              <w:t>0.2%</w:t>
            </w:r>
          </w:p>
        </w:tc>
        <w:tc>
          <w:tcPr>
            <w:tcW w:w="1245" w:type="dxa"/>
            <w:shd w:val="clear" w:color="auto" w:fill="FFFF00"/>
            <w:tcMar>
              <w:top w:w="15" w:type="dxa"/>
              <w:left w:w="15" w:type="dxa"/>
              <w:bottom w:w="0" w:type="dxa"/>
              <w:right w:w="15" w:type="dxa"/>
            </w:tcMar>
            <w:vAlign w:val="bottom"/>
            <w:hideMark/>
          </w:tcPr>
          <w:p w14:paraId="22B869DC" w14:textId="77777777" w:rsidR="002E5F35" w:rsidRPr="002C667B" w:rsidRDefault="002E5F35" w:rsidP="002C667B">
            <w:pPr>
              <w:jc w:val="center"/>
              <w:rPr>
                <w:sz w:val="22"/>
                <w:szCs w:val="22"/>
                <w:lang w:val="en-GB"/>
              </w:rPr>
            </w:pPr>
            <w:r w:rsidRPr="002C667B">
              <w:rPr>
                <w:sz w:val="22"/>
                <w:szCs w:val="22"/>
              </w:rPr>
              <w:t>0.3%</w:t>
            </w:r>
          </w:p>
        </w:tc>
      </w:tr>
      <w:tr w:rsidR="002E5F35" w:rsidRPr="002C667B" w14:paraId="0C85F4E8" w14:textId="65AF792A" w:rsidTr="002607F3">
        <w:trPr>
          <w:trHeight w:val="224"/>
        </w:trPr>
        <w:tc>
          <w:tcPr>
            <w:tcW w:w="1409" w:type="dxa"/>
            <w:shd w:val="clear" w:color="auto" w:fill="auto"/>
            <w:tcMar>
              <w:top w:w="15" w:type="dxa"/>
              <w:left w:w="15" w:type="dxa"/>
              <w:bottom w:w="0" w:type="dxa"/>
              <w:right w:w="15" w:type="dxa"/>
            </w:tcMar>
            <w:vAlign w:val="bottom"/>
            <w:hideMark/>
          </w:tcPr>
          <w:p w14:paraId="03AC307A" w14:textId="77777777" w:rsidR="002E5F35" w:rsidRPr="002C667B" w:rsidRDefault="002E5F35" w:rsidP="002C667B">
            <w:pPr>
              <w:jc w:val="center"/>
              <w:rPr>
                <w:sz w:val="22"/>
                <w:szCs w:val="22"/>
                <w:lang w:val="en-GB"/>
              </w:rPr>
            </w:pPr>
            <w:r w:rsidRPr="002C667B">
              <w:rPr>
                <w:bCs/>
                <w:sz w:val="22"/>
                <w:szCs w:val="22"/>
              </w:rPr>
              <w:t>EE</w:t>
            </w:r>
          </w:p>
        </w:tc>
        <w:tc>
          <w:tcPr>
            <w:tcW w:w="915" w:type="dxa"/>
            <w:shd w:val="clear" w:color="auto" w:fill="auto"/>
            <w:tcMar>
              <w:top w:w="15" w:type="dxa"/>
              <w:left w:w="15" w:type="dxa"/>
              <w:bottom w:w="0" w:type="dxa"/>
              <w:right w:w="15" w:type="dxa"/>
            </w:tcMar>
            <w:vAlign w:val="bottom"/>
            <w:hideMark/>
          </w:tcPr>
          <w:p w14:paraId="7FCC72C3" w14:textId="77777777" w:rsidR="002E5F35" w:rsidRPr="002C667B" w:rsidRDefault="002E5F35" w:rsidP="002C667B">
            <w:pPr>
              <w:jc w:val="center"/>
              <w:rPr>
                <w:sz w:val="22"/>
                <w:szCs w:val="22"/>
                <w:lang w:val="en-GB"/>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615B96C1"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FFFF00"/>
            <w:tcMar>
              <w:top w:w="15" w:type="dxa"/>
              <w:left w:w="15" w:type="dxa"/>
              <w:bottom w:w="0" w:type="dxa"/>
              <w:right w:w="15" w:type="dxa"/>
            </w:tcMar>
            <w:vAlign w:val="bottom"/>
            <w:hideMark/>
          </w:tcPr>
          <w:p w14:paraId="11B343F5"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Pr>
          <w:p w14:paraId="3A357BC4" w14:textId="0ACA92D2" w:rsidR="002E5F35" w:rsidRPr="002C667B" w:rsidRDefault="001C65D4" w:rsidP="002C667B">
            <w:pPr>
              <w:jc w:val="center"/>
              <w:rPr>
                <w:sz w:val="22"/>
                <w:szCs w:val="22"/>
              </w:rPr>
            </w:pPr>
            <w:r w:rsidRPr="001C65D4">
              <w:rPr>
                <w:sz w:val="22"/>
                <w:szCs w:val="22"/>
              </w:rPr>
              <w:t>0.9</w:t>
            </w:r>
            <w:r>
              <w:rPr>
                <w:sz w:val="22"/>
                <w:szCs w:val="22"/>
              </w:rPr>
              <w:t>%</w:t>
            </w:r>
          </w:p>
        </w:tc>
        <w:tc>
          <w:tcPr>
            <w:tcW w:w="915" w:type="dxa"/>
            <w:shd w:val="clear" w:color="auto" w:fill="92D050"/>
            <w:tcMar>
              <w:top w:w="15" w:type="dxa"/>
              <w:left w:w="15" w:type="dxa"/>
              <w:bottom w:w="0" w:type="dxa"/>
              <w:right w:w="15" w:type="dxa"/>
            </w:tcMar>
            <w:vAlign w:val="bottom"/>
            <w:hideMark/>
          </w:tcPr>
          <w:p w14:paraId="2542B950" w14:textId="10AF900A" w:rsidR="002E5F35" w:rsidRPr="002C667B" w:rsidRDefault="002E5F35" w:rsidP="002C667B">
            <w:pPr>
              <w:jc w:val="center"/>
              <w:rPr>
                <w:sz w:val="22"/>
                <w:szCs w:val="22"/>
                <w:lang w:val="en-GB"/>
              </w:rPr>
            </w:pPr>
            <w:r w:rsidRPr="002C667B">
              <w:rPr>
                <w:sz w:val="22"/>
                <w:szCs w:val="22"/>
              </w:rPr>
              <w:t>1.1%</w:t>
            </w:r>
          </w:p>
        </w:tc>
        <w:tc>
          <w:tcPr>
            <w:tcW w:w="916" w:type="dxa"/>
            <w:shd w:val="clear" w:color="auto" w:fill="auto"/>
            <w:tcMar>
              <w:top w:w="15" w:type="dxa"/>
              <w:left w:w="15" w:type="dxa"/>
              <w:bottom w:w="0" w:type="dxa"/>
              <w:right w:w="15" w:type="dxa"/>
            </w:tcMar>
            <w:vAlign w:val="bottom"/>
            <w:hideMark/>
          </w:tcPr>
          <w:p w14:paraId="0BCC0B75"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auto"/>
            <w:tcMar>
              <w:top w:w="15" w:type="dxa"/>
              <w:left w:w="15" w:type="dxa"/>
              <w:bottom w:w="0" w:type="dxa"/>
              <w:right w:w="15" w:type="dxa"/>
            </w:tcMar>
            <w:vAlign w:val="bottom"/>
            <w:hideMark/>
          </w:tcPr>
          <w:p w14:paraId="2DE02F5E" w14:textId="77777777" w:rsidR="002E5F35" w:rsidRPr="002C667B" w:rsidRDefault="002E5F35" w:rsidP="002C667B">
            <w:pPr>
              <w:jc w:val="center"/>
              <w:rPr>
                <w:sz w:val="22"/>
                <w:szCs w:val="22"/>
                <w:lang w:val="en-GB"/>
              </w:rPr>
            </w:pPr>
            <w:r w:rsidRPr="002C667B">
              <w:rPr>
                <w:sz w:val="22"/>
                <w:szCs w:val="22"/>
              </w:rPr>
              <w:t>0.1%</w:t>
            </w:r>
          </w:p>
        </w:tc>
      </w:tr>
      <w:tr w:rsidR="002E5F35" w:rsidRPr="002C667B" w14:paraId="06240F34" w14:textId="732DBC49" w:rsidTr="00032263">
        <w:trPr>
          <w:trHeight w:val="224"/>
        </w:trPr>
        <w:tc>
          <w:tcPr>
            <w:tcW w:w="1409" w:type="dxa"/>
            <w:shd w:val="clear" w:color="auto" w:fill="auto"/>
            <w:tcMar>
              <w:top w:w="15" w:type="dxa"/>
              <w:left w:w="15" w:type="dxa"/>
              <w:bottom w:w="0" w:type="dxa"/>
              <w:right w:w="15" w:type="dxa"/>
            </w:tcMar>
            <w:vAlign w:val="bottom"/>
            <w:hideMark/>
          </w:tcPr>
          <w:p w14:paraId="0A110DE6" w14:textId="77777777" w:rsidR="002E5F35" w:rsidRPr="002C667B" w:rsidRDefault="002E5F35" w:rsidP="002C667B">
            <w:pPr>
              <w:jc w:val="center"/>
              <w:rPr>
                <w:sz w:val="22"/>
                <w:szCs w:val="22"/>
                <w:lang w:val="en-GB"/>
              </w:rPr>
            </w:pPr>
            <w:r w:rsidRPr="002C667B">
              <w:rPr>
                <w:bCs/>
                <w:sz w:val="22"/>
                <w:szCs w:val="22"/>
              </w:rPr>
              <w:t>ES</w:t>
            </w:r>
          </w:p>
        </w:tc>
        <w:tc>
          <w:tcPr>
            <w:tcW w:w="915" w:type="dxa"/>
            <w:shd w:val="clear" w:color="auto" w:fill="92D050"/>
            <w:tcMar>
              <w:top w:w="15" w:type="dxa"/>
              <w:left w:w="15" w:type="dxa"/>
              <w:bottom w:w="0" w:type="dxa"/>
              <w:right w:w="15" w:type="dxa"/>
            </w:tcMar>
            <w:vAlign w:val="bottom"/>
            <w:hideMark/>
          </w:tcPr>
          <w:p w14:paraId="4B4EEB13" w14:textId="77777777" w:rsidR="002E5F35" w:rsidRPr="002C667B" w:rsidRDefault="002E5F35" w:rsidP="002C667B">
            <w:pPr>
              <w:jc w:val="center"/>
              <w:rPr>
                <w:sz w:val="22"/>
                <w:szCs w:val="22"/>
                <w:lang w:val="en-GB"/>
              </w:rPr>
            </w:pPr>
            <w:r w:rsidRPr="002C667B">
              <w:rPr>
                <w:sz w:val="22"/>
                <w:szCs w:val="22"/>
              </w:rPr>
              <w:t>4.4%</w:t>
            </w:r>
          </w:p>
        </w:tc>
        <w:tc>
          <w:tcPr>
            <w:tcW w:w="915" w:type="dxa"/>
            <w:shd w:val="clear" w:color="auto" w:fill="92D050"/>
            <w:tcMar>
              <w:top w:w="15" w:type="dxa"/>
              <w:left w:w="15" w:type="dxa"/>
              <w:bottom w:w="0" w:type="dxa"/>
              <w:right w:w="15" w:type="dxa"/>
            </w:tcMar>
            <w:vAlign w:val="bottom"/>
            <w:hideMark/>
          </w:tcPr>
          <w:p w14:paraId="2D9D0C6C" w14:textId="77777777" w:rsidR="002E5F35" w:rsidRPr="002C667B" w:rsidRDefault="002E5F35" w:rsidP="002C667B">
            <w:pPr>
              <w:jc w:val="center"/>
              <w:rPr>
                <w:sz w:val="22"/>
                <w:szCs w:val="22"/>
                <w:lang w:val="en-GB"/>
              </w:rPr>
            </w:pPr>
            <w:r w:rsidRPr="002C667B">
              <w:rPr>
                <w:sz w:val="22"/>
                <w:szCs w:val="22"/>
              </w:rPr>
              <w:t>0.9%</w:t>
            </w:r>
          </w:p>
        </w:tc>
        <w:tc>
          <w:tcPr>
            <w:tcW w:w="915" w:type="dxa"/>
            <w:shd w:val="clear" w:color="auto" w:fill="92D050"/>
            <w:tcMar>
              <w:top w:w="15" w:type="dxa"/>
              <w:left w:w="15" w:type="dxa"/>
              <w:bottom w:w="0" w:type="dxa"/>
              <w:right w:w="15" w:type="dxa"/>
            </w:tcMar>
            <w:vAlign w:val="bottom"/>
            <w:hideMark/>
          </w:tcPr>
          <w:p w14:paraId="7CF260E0" w14:textId="77777777" w:rsidR="002E5F35" w:rsidRPr="002C667B" w:rsidRDefault="002E5F35" w:rsidP="002C667B">
            <w:pPr>
              <w:jc w:val="center"/>
              <w:rPr>
                <w:sz w:val="22"/>
                <w:szCs w:val="22"/>
                <w:lang w:val="en-GB"/>
              </w:rPr>
            </w:pPr>
            <w:r w:rsidRPr="002C667B">
              <w:rPr>
                <w:sz w:val="22"/>
                <w:szCs w:val="22"/>
              </w:rPr>
              <w:t>2.9%</w:t>
            </w:r>
          </w:p>
        </w:tc>
        <w:tc>
          <w:tcPr>
            <w:tcW w:w="915" w:type="dxa"/>
            <w:shd w:val="clear" w:color="auto" w:fill="00B0F0"/>
          </w:tcPr>
          <w:p w14:paraId="3293A093" w14:textId="10997D65" w:rsidR="002E5F35" w:rsidRPr="002C667B" w:rsidRDefault="001C65D4" w:rsidP="002C667B">
            <w:pPr>
              <w:jc w:val="center"/>
              <w:rPr>
                <w:sz w:val="22"/>
                <w:szCs w:val="22"/>
              </w:rPr>
            </w:pPr>
            <w:r w:rsidRPr="001C65D4">
              <w:rPr>
                <w:sz w:val="22"/>
                <w:szCs w:val="22"/>
              </w:rPr>
              <w:t>12.7</w:t>
            </w:r>
            <w:r>
              <w:rPr>
                <w:sz w:val="22"/>
                <w:szCs w:val="22"/>
              </w:rPr>
              <w:t>%</w:t>
            </w:r>
          </w:p>
        </w:tc>
        <w:tc>
          <w:tcPr>
            <w:tcW w:w="915" w:type="dxa"/>
            <w:shd w:val="clear" w:color="auto" w:fill="FFFF00"/>
            <w:tcMar>
              <w:top w:w="15" w:type="dxa"/>
              <w:left w:w="15" w:type="dxa"/>
              <w:bottom w:w="0" w:type="dxa"/>
              <w:right w:w="15" w:type="dxa"/>
            </w:tcMar>
            <w:vAlign w:val="bottom"/>
            <w:hideMark/>
          </w:tcPr>
          <w:p w14:paraId="797B62D0" w14:textId="30D9E785" w:rsidR="002E5F35" w:rsidRPr="002C667B" w:rsidRDefault="002E5F35" w:rsidP="002C667B">
            <w:pPr>
              <w:jc w:val="center"/>
              <w:rPr>
                <w:sz w:val="22"/>
                <w:szCs w:val="22"/>
                <w:lang w:val="en-GB"/>
              </w:rPr>
            </w:pPr>
            <w:r w:rsidRPr="002C667B">
              <w:rPr>
                <w:sz w:val="22"/>
                <w:szCs w:val="22"/>
              </w:rPr>
              <w:t>0.1%</w:t>
            </w:r>
          </w:p>
        </w:tc>
        <w:tc>
          <w:tcPr>
            <w:tcW w:w="916" w:type="dxa"/>
            <w:shd w:val="clear" w:color="auto" w:fill="FFFF00"/>
            <w:tcMar>
              <w:top w:w="15" w:type="dxa"/>
              <w:left w:w="15" w:type="dxa"/>
              <w:bottom w:w="0" w:type="dxa"/>
              <w:right w:w="15" w:type="dxa"/>
            </w:tcMar>
            <w:vAlign w:val="bottom"/>
            <w:hideMark/>
          </w:tcPr>
          <w:p w14:paraId="0D8AC611" w14:textId="77777777" w:rsidR="002E5F35" w:rsidRPr="002C667B" w:rsidRDefault="002E5F35" w:rsidP="002C667B">
            <w:pPr>
              <w:jc w:val="center"/>
              <w:rPr>
                <w:sz w:val="22"/>
                <w:szCs w:val="22"/>
                <w:lang w:val="en-GB"/>
              </w:rPr>
            </w:pPr>
            <w:r w:rsidRPr="002C667B">
              <w:rPr>
                <w:sz w:val="22"/>
                <w:szCs w:val="22"/>
              </w:rPr>
              <w:t>0.7%</w:t>
            </w:r>
          </w:p>
        </w:tc>
        <w:tc>
          <w:tcPr>
            <w:tcW w:w="1245" w:type="dxa"/>
            <w:shd w:val="clear" w:color="auto" w:fill="FFFF00"/>
            <w:tcMar>
              <w:top w:w="15" w:type="dxa"/>
              <w:left w:w="15" w:type="dxa"/>
              <w:bottom w:w="0" w:type="dxa"/>
              <w:right w:w="15" w:type="dxa"/>
            </w:tcMar>
            <w:vAlign w:val="bottom"/>
            <w:hideMark/>
          </w:tcPr>
          <w:p w14:paraId="1FDD416F" w14:textId="77777777" w:rsidR="002E5F35" w:rsidRPr="002C667B" w:rsidRDefault="002E5F35" w:rsidP="002C667B">
            <w:pPr>
              <w:jc w:val="center"/>
              <w:rPr>
                <w:sz w:val="22"/>
                <w:szCs w:val="22"/>
                <w:lang w:val="en-GB"/>
              </w:rPr>
            </w:pPr>
            <w:r w:rsidRPr="002C667B">
              <w:rPr>
                <w:sz w:val="22"/>
                <w:szCs w:val="22"/>
              </w:rPr>
              <w:t>1.0%</w:t>
            </w:r>
          </w:p>
        </w:tc>
      </w:tr>
      <w:tr w:rsidR="002E5F35" w:rsidRPr="002C667B" w14:paraId="6D50A4BA" w14:textId="74FBF04C" w:rsidTr="002607F3">
        <w:trPr>
          <w:trHeight w:val="224"/>
        </w:trPr>
        <w:tc>
          <w:tcPr>
            <w:tcW w:w="1409" w:type="dxa"/>
            <w:shd w:val="clear" w:color="auto" w:fill="auto"/>
            <w:tcMar>
              <w:top w:w="15" w:type="dxa"/>
              <w:left w:w="15" w:type="dxa"/>
              <w:bottom w:w="0" w:type="dxa"/>
              <w:right w:w="15" w:type="dxa"/>
            </w:tcMar>
            <w:vAlign w:val="bottom"/>
            <w:hideMark/>
          </w:tcPr>
          <w:p w14:paraId="3067E322" w14:textId="77777777" w:rsidR="002E5F35" w:rsidRPr="002C667B" w:rsidRDefault="002E5F35" w:rsidP="002C667B">
            <w:pPr>
              <w:jc w:val="center"/>
              <w:rPr>
                <w:sz w:val="22"/>
                <w:szCs w:val="22"/>
                <w:lang w:val="en-GB"/>
              </w:rPr>
            </w:pPr>
            <w:r w:rsidRPr="002C667B">
              <w:rPr>
                <w:bCs/>
                <w:sz w:val="22"/>
                <w:szCs w:val="22"/>
              </w:rPr>
              <w:t>FI</w:t>
            </w:r>
          </w:p>
        </w:tc>
        <w:tc>
          <w:tcPr>
            <w:tcW w:w="915" w:type="dxa"/>
            <w:shd w:val="clear" w:color="auto" w:fill="FFFF00"/>
            <w:tcMar>
              <w:top w:w="15" w:type="dxa"/>
              <w:left w:w="15" w:type="dxa"/>
              <w:bottom w:w="0" w:type="dxa"/>
              <w:right w:w="15" w:type="dxa"/>
            </w:tcMar>
            <w:vAlign w:val="bottom"/>
            <w:hideMark/>
          </w:tcPr>
          <w:p w14:paraId="1C814D65"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FFFF00"/>
            <w:tcMar>
              <w:top w:w="15" w:type="dxa"/>
              <w:left w:w="15" w:type="dxa"/>
              <w:bottom w:w="0" w:type="dxa"/>
              <w:right w:w="15" w:type="dxa"/>
            </w:tcMar>
            <w:vAlign w:val="bottom"/>
            <w:hideMark/>
          </w:tcPr>
          <w:p w14:paraId="2782DE74"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629CDBE9"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auto"/>
          </w:tcPr>
          <w:p w14:paraId="35B22A66" w14:textId="681A0472"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36AD5655" w14:textId="6483F746" w:rsidR="002E5F35" w:rsidRPr="002C667B" w:rsidRDefault="002E5F35" w:rsidP="002C667B">
            <w:pPr>
              <w:jc w:val="center"/>
              <w:rPr>
                <w:sz w:val="22"/>
                <w:szCs w:val="22"/>
                <w:lang w:val="en-GB"/>
              </w:rPr>
            </w:pPr>
            <w:r w:rsidRPr="002C667B">
              <w:rPr>
                <w:sz w:val="22"/>
                <w:szCs w:val="22"/>
              </w:rPr>
              <w:t>0.1%</w:t>
            </w:r>
          </w:p>
        </w:tc>
        <w:tc>
          <w:tcPr>
            <w:tcW w:w="916" w:type="dxa"/>
            <w:shd w:val="clear" w:color="auto" w:fill="auto"/>
            <w:tcMar>
              <w:top w:w="15" w:type="dxa"/>
              <w:left w:w="15" w:type="dxa"/>
              <w:bottom w:w="0" w:type="dxa"/>
              <w:right w:w="15" w:type="dxa"/>
            </w:tcMar>
            <w:vAlign w:val="bottom"/>
            <w:hideMark/>
          </w:tcPr>
          <w:p w14:paraId="32D5C8CE"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FFFF00"/>
            <w:tcMar>
              <w:top w:w="15" w:type="dxa"/>
              <w:left w:w="15" w:type="dxa"/>
              <w:bottom w:w="0" w:type="dxa"/>
              <w:right w:w="15" w:type="dxa"/>
            </w:tcMar>
            <w:vAlign w:val="bottom"/>
            <w:hideMark/>
          </w:tcPr>
          <w:p w14:paraId="4E855D14" w14:textId="77777777" w:rsidR="002E5F35" w:rsidRPr="002C667B" w:rsidRDefault="002E5F35" w:rsidP="002C667B">
            <w:pPr>
              <w:jc w:val="center"/>
              <w:rPr>
                <w:sz w:val="22"/>
                <w:szCs w:val="22"/>
                <w:lang w:val="en-GB"/>
              </w:rPr>
            </w:pPr>
            <w:r w:rsidRPr="002C667B">
              <w:rPr>
                <w:sz w:val="22"/>
                <w:szCs w:val="22"/>
              </w:rPr>
              <w:t>0.3%</w:t>
            </w:r>
          </w:p>
        </w:tc>
      </w:tr>
      <w:tr w:rsidR="002E5F35" w:rsidRPr="002C667B" w14:paraId="033F7E6B" w14:textId="7D03F582" w:rsidTr="002607F3">
        <w:trPr>
          <w:trHeight w:val="224"/>
        </w:trPr>
        <w:tc>
          <w:tcPr>
            <w:tcW w:w="1409" w:type="dxa"/>
            <w:shd w:val="clear" w:color="auto" w:fill="auto"/>
            <w:tcMar>
              <w:top w:w="15" w:type="dxa"/>
              <w:left w:w="15" w:type="dxa"/>
              <w:bottom w:w="0" w:type="dxa"/>
              <w:right w:w="15" w:type="dxa"/>
            </w:tcMar>
            <w:vAlign w:val="bottom"/>
            <w:hideMark/>
          </w:tcPr>
          <w:p w14:paraId="49CC52F4" w14:textId="77777777" w:rsidR="002E5F35" w:rsidRPr="002C667B" w:rsidRDefault="002E5F35" w:rsidP="002C667B">
            <w:pPr>
              <w:jc w:val="center"/>
              <w:rPr>
                <w:sz w:val="22"/>
                <w:szCs w:val="22"/>
                <w:lang w:val="en-GB"/>
              </w:rPr>
            </w:pPr>
            <w:r w:rsidRPr="002C667B">
              <w:rPr>
                <w:bCs/>
                <w:sz w:val="22"/>
                <w:szCs w:val="22"/>
              </w:rPr>
              <w:t>FR</w:t>
            </w:r>
          </w:p>
        </w:tc>
        <w:tc>
          <w:tcPr>
            <w:tcW w:w="915" w:type="dxa"/>
            <w:shd w:val="clear" w:color="auto" w:fill="FFFF00"/>
            <w:tcMar>
              <w:top w:w="15" w:type="dxa"/>
              <w:left w:w="15" w:type="dxa"/>
              <w:bottom w:w="0" w:type="dxa"/>
              <w:right w:w="15" w:type="dxa"/>
            </w:tcMar>
            <w:vAlign w:val="bottom"/>
            <w:hideMark/>
          </w:tcPr>
          <w:p w14:paraId="3E973D52" w14:textId="77777777" w:rsidR="002E5F35" w:rsidRPr="002C667B" w:rsidRDefault="002E5F35" w:rsidP="002C667B">
            <w:pPr>
              <w:jc w:val="center"/>
              <w:rPr>
                <w:sz w:val="22"/>
                <w:szCs w:val="22"/>
                <w:lang w:val="en-GB"/>
              </w:rPr>
            </w:pPr>
            <w:r w:rsidRPr="002C667B">
              <w:rPr>
                <w:sz w:val="22"/>
                <w:szCs w:val="22"/>
              </w:rPr>
              <w:t>0.8%</w:t>
            </w:r>
          </w:p>
        </w:tc>
        <w:tc>
          <w:tcPr>
            <w:tcW w:w="915" w:type="dxa"/>
            <w:shd w:val="clear" w:color="auto" w:fill="FFFF00"/>
            <w:tcMar>
              <w:top w:w="15" w:type="dxa"/>
              <w:left w:w="15" w:type="dxa"/>
              <w:bottom w:w="0" w:type="dxa"/>
              <w:right w:w="15" w:type="dxa"/>
            </w:tcMar>
            <w:vAlign w:val="bottom"/>
            <w:hideMark/>
          </w:tcPr>
          <w:p w14:paraId="4B185518" w14:textId="77777777" w:rsidR="002E5F35" w:rsidRPr="002C667B" w:rsidRDefault="002E5F35" w:rsidP="002C667B">
            <w:pPr>
              <w:jc w:val="center"/>
              <w:rPr>
                <w:sz w:val="22"/>
                <w:szCs w:val="22"/>
                <w:lang w:val="en-GB"/>
              </w:rPr>
            </w:pPr>
            <w:r w:rsidRPr="002C667B">
              <w:rPr>
                <w:sz w:val="22"/>
                <w:szCs w:val="22"/>
              </w:rPr>
              <w:t>1.4%</w:t>
            </w:r>
          </w:p>
        </w:tc>
        <w:tc>
          <w:tcPr>
            <w:tcW w:w="915" w:type="dxa"/>
            <w:shd w:val="clear" w:color="auto" w:fill="FFFF00"/>
            <w:tcMar>
              <w:top w:w="15" w:type="dxa"/>
              <w:left w:w="15" w:type="dxa"/>
              <w:bottom w:w="0" w:type="dxa"/>
              <w:right w:w="15" w:type="dxa"/>
            </w:tcMar>
            <w:vAlign w:val="bottom"/>
            <w:hideMark/>
          </w:tcPr>
          <w:p w14:paraId="7F855F8B" w14:textId="77777777" w:rsidR="002E5F35" w:rsidRPr="002C667B" w:rsidRDefault="002E5F35" w:rsidP="002C667B">
            <w:pPr>
              <w:jc w:val="center"/>
              <w:rPr>
                <w:sz w:val="22"/>
                <w:szCs w:val="22"/>
                <w:lang w:val="en-GB"/>
              </w:rPr>
            </w:pPr>
            <w:r w:rsidRPr="002C667B">
              <w:rPr>
                <w:sz w:val="22"/>
                <w:szCs w:val="22"/>
              </w:rPr>
              <w:t>1.5%</w:t>
            </w:r>
          </w:p>
        </w:tc>
        <w:tc>
          <w:tcPr>
            <w:tcW w:w="915" w:type="dxa"/>
            <w:shd w:val="clear" w:color="auto" w:fill="auto"/>
          </w:tcPr>
          <w:p w14:paraId="252E06D8" w14:textId="4929783C"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3AAF51EE" w14:textId="0F114919" w:rsidR="002E5F35" w:rsidRPr="002C667B" w:rsidRDefault="002E5F35" w:rsidP="002C667B">
            <w:pPr>
              <w:jc w:val="center"/>
              <w:rPr>
                <w:sz w:val="22"/>
                <w:szCs w:val="22"/>
                <w:lang w:val="en-GB"/>
              </w:rPr>
            </w:pPr>
            <w:r w:rsidRPr="002C667B">
              <w:rPr>
                <w:sz w:val="22"/>
                <w:szCs w:val="22"/>
              </w:rPr>
              <w:t>0.1%</w:t>
            </w:r>
          </w:p>
        </w:tc>
        <w:tc>
          <w:tcPr>
            <w:tcW w:w="916" w:type="dxa"/>
            <w:shd w:val="clear" w:color="auto" w:fill="92D050"/>
            <w:tcMar>
              <w:top w:w="15" w:type="dxa"/>
              <w:left w:w="15" w:type="dxa"/>
              <w:bottom w:w="0" w:type="dxa"/>
              <w:right w:w="15" w:type="dxa"/>
            </w:tcMar>
            <w:vAlign w:val="bottom"/>
            <w:hideMark/>
          </w:tcPr>
          <w:p w14:paraId="72E6E9CE" w14:textId="77777777" w:rsidR="002E5F35" w:rsidRPr="002C667B" w:rsidRDefault="002E5F35" w:rsidP="002C667B">
            <w:pPr>
              <w:jc w:val="center"/>
              <w:rPr>
                <w:sz w:val="22"/>
                <w:szCs w:val="22"/>
                <w:lang w:val="en-GB"/>
              </w:rPr>
            </w:pPr>
            <w:r w:rsidRPr="002C667B">
              <w:rPr>
                <w:sz w:val="22"/>
                <w:szCs w:val="22"/>
              </w:rPr>
              <w:t>4.9%</w:t>
            </w:r>
          </w:p>
        </w:tc>
        <w:tc>
          <w:tcPr>
            <w:tcW w:w="1245" w:type="dxa"/>
            <w:shd w:val="clear" w:color="auto" w:fill="FFFF00"/>
            <w:tcMar>
              <w:top w:w="15" w:type="dxa"/>
              <w:left w:w="15" w:type="dxa"/>
              <w:bottom w:w="0" w:type="dxa"/>
              <w:right w:w="15" w:type="dxa"/>
            </w:tcMar>
            <w:vAlign w:val="bottom"/>
            <w:hideMark/>
          </w:tcPr>
          <w:p w14:paraId="1FA47594" w14:textId="77777777" w:rsidR="002E5F35" w:rsidRPr="002C667B" w:rsidRDefault="002E5F35" w:rsidP="002C667B">
            <w:pPr>
              <w:jc w:val="center"/>
              <w:rPr>
                <w:sz w:val="22"/>
                <w:szCs w:val="22"/>
                <w:lang w:val="en-GB"/>
              </w:rPr>
            </w:pPr>
            <w:r w:rsidRPr="002C667B">
              <w:rPr>
                <w:sz w:val="22"/>
                <w:szCs w:val="22"/>
              </w:rPr>
              <w:t>1.3%</w:t>
            </w:r>
          </w:p>
        </w:tc>
      </w:tr>
      <w:tr w:rsidR="002E5F35" w:rsidRPr="002C667B" w14:paraId="386D9DAE" w14:textId="27258826" w:rsidTr="00032263">
        <w:trPr>
          <w:trHeight w:val="224"/>
        </w:trPr>
        <w:tc>
          <w:tcPr>
            <w:tcW w:w="1409" w:type="dxa"/>
            <w:shd w:val="clear" w:color="auto" w:fill="auto"/>
            <w:tcMar>
              <w:top w:w="15" w:type="dxa"/>
              <w:left w:w="15" w:type="dxa"/>
              <w:bottom w:w="0" w:type="dxa"/>
              <w:right w:w="15" w:type="dxa"/>
            </w:tcMar>
            <w:vAlign w:val="bottom"/>
            <w:hideMark/>
          </w:tcPr>
          <w:p w14:paraId="35E18592" w14:textId="77777777" w:rsidR="002E5F35" w:rsidRPr="002C667B" w:rsidRDefault="002E5F35" w:rsidP="002C667B">
            <w:pPr>
              <w:jc w:val="center"/>
              <w:rPr>
                <w:sz w:val="22"/>
                <w:szCs w:val="22"/>
                <w:lang w:val="en-GB"/>
              </w:rPr>
            </w:pPr>
            <w:r w:rsidRPr="002C667B">
              <w:rPr>
                <w:bCs/>
                <w:sz w:val="22"/>
                <w:szCs w:val="22"/>
              </w:rPr>
              <w:t>GB</w:t>
            </w:r>
          </w:p>
        </w:tc>
        <w:tc>
          <w:tcPr>
            <w:tcW w:w="915" w:type="dxa"/>
            <w:shd w:val="clear" w:color="auto" w:fill="92D050"/>
            <w:tcMar>
              <w:top w:w="15" w:type="dxa"/>
              <w:left w:w="15" w:type="dxa"/>
              <w:bottom w:w="0" w:type="dxa"/>
              <w:right w:w="15" w:type="dxa"/>
            </w:tcMar>
            <w:vAlign w:val="bottom"/>
            <w:hideMark/>
          </w:tcPr>
          <w:p w14:paraId="27CDFC72" w14:textId="77777777" w:rsidR="002E5F35" w:rsidRPr="002C667B" w:rsidRDefault="002E5F35" w:rsidP="002C667B">
            <w:pPr>
              <w:jc w:val="center"/>
              <w:rPr>
                <w:sz w:val="22"/>
                <w:szCs w:val="22"/>
                <w:lang w:val="en-GB"/>
              </w:rPr>
            </w:pPr>
            <w:r w:rsidRPr="002C667B">
              <w:rPr>
                <w:sz w:val="22"/>
                <w:szCs w:val="22"/>
              </w:rPr>
              <w:t>5.4%</w:t>
            </w:r>
          </w:p>
        </w:tc>
        <w:tc>
          <w:tcPr>
            <w:tcW w:w="915" w:type="dxa"/>
            <w:shd w:val="clear" w:color="auto" w:fill="92D050"/>
            <w:tcMar>
              <w:top w:w="15" w:type="dxa"/>
              <w:left w:w="15" w:type="dxa"/>
              <w:bottom w:w="0" w:type="dxa"/>
              <w:right w:w="15" w:type="dxa"/>
            </w:tcMar>
            <w:vAlign w:val="bottom"/>
            <w:hideMark/>
          </w:tcPr>
          <w:p w14:paraId="245A7A0E" w14:textId="77777777" w:rsidR="002E5F35" w:rsidRPr="002C667B" w:rsidRDefault="002E5F35" w:rsidP="002C667B">
            <w:pPr>
              <w:jc w:val="center"/>
              <w:rPr>
                <w:sz w:val="22"/>
                <w:szCs w:val="22"/>
                <w:lang w:val="en-GB"/>
              </w:rPr>
            </w:pPr>
            <w:r w:rsidRPr="002C667B">
              <w:rPr>
                <w:sz w:val="22"/>
                <w:szCs w:val="22"/>
              </w:rPr>
              <w:t>4.1%</w:t>
            </w:r>
          </w:p>
        </w:tc>
        <w:tc>
          <w:tcPr>
            <w:tcW w:w="915" w:type="dxa"/>
            <w:shd w:val="clear" w:color="auto" w:fill="00B0F0"/>
            <w:tcMar>
              <w:top w:w="15" w:type="dxa"/>
              <w:left w:w="15" w:type="dxa"/>
              <w:bottom w:w="0" w:type="dxa"/>
              <w:right w:w="15" w:type="dxa"/>
            </w:tcMar>
            <w:vAlign w:val="bottom"/>
            <w:hideMark/>
          </w:tcPr>
          <w:p w14:paraId="3E09405B" w14:textId="77777777" w:rsidR="002E5F35" w:rsidRPr="002C667B" w:rsidRDefault="002E5F35" w:rsidP="002C667B">
            <w:pPr>
              <w:jc w:val="center"/>
              <w:rPr>
                <w:sz w:val="22"/>
                <w:szCs w:val="22"/>
                <w:lang w:val="en-GB"/>
              </w:rPr>
            </w:pPr>
            <w:r w:rsidRPr="002C667B">
              <w:rPr>
                <w:sz w:val="22"/>
                <w:szCs w:val="22"/>
              </w:rPr>
              <w:t>22.0%</w:t>
            </w:r>
          </w:p>
        </w:tc>
        <w:tc>
          <w:tcPr>
            <w:tcW w:w="915" w:type="dxa"/>
            <w:shd w:val="clear" w:color="auto" w:fill="92D050"/>
          </w:tcPr>
          <w:p w14:paraId="557DE0D8" w14:textId="0B05081B" w:rsidR="002E5F35" w:rsidRPr="002C667B" w:rsidRDefault="002607F3" w:rsidP="002607F3">
            <w:pPr>
              <w:jc w:val="center"/>
              <w:rPr>
                <w:sz w:val="22"/>
                <w:szCs w:val="22"/>
              </w:rPr>
            </w:pPr>
            <w:r>
              <w:rPr>
                <w:sz w:val="22"/>
                <w:szCs w:val="22"/>
              </w:rPr>
              <w:t>4.6%</w:t>
            </w:r>
          </w:p>
        </w:tc>
        <w:tc>
          <w:tcPr>
            <w:tcW w:w="915" w:type="dxa"/>
            <w:shd w:val="clear" w:color="auto" w:fill="FFFF00"/>
            <w:tcMar>
              <w:top w:w="15" w:type="dxa"/>
              <w:left w:w="15" w:type="dxa"/>
              <w:bottom w:w="0" w:type="dxa"/>
              <w:right w:w="15" w:type="dxa"/>
            </w:tcMar>
            <w:vAlign w:val="bottom"/>
            <w:hideMark/>
          </w:tcPr>
          <w:p w14:paraId="03F6B1AA" w14:textId="71C9603C" w:rsidR="002E5F35" w:rsidRPr="002C667B" w:rsidRDefault="002E5F35" w:rsidP="002C667B">
            <w:pPr>
              <w:jc w:val="center"/>
              <w:rPr>
                <w:sz w:val="22"/>
                <w:szCs w:val="22"/>
                <w:lang w:val="en-GB"/>
              </w:rPr>
            </w:pPr>
            <w:r w:rsidRPr="002C667B">
              <w:rPr>
                <w:sz w:val="22"/>
                <w:szCs w:val="22"/>
              </w:rPr>
              <w:t>0.7%</w:t>
            </w:r>
          </w:p>
        </w:tc>
        <w:tc>
          <w:tcPr>
            <w:tcW w:w="916" w:type="dxa"/>
            <w:shd w:val="clear" w:color="auto" w:fill="FFFF00"/>
            <w:tcMar>
              <w:top w:w="15" w:type="dxa"/>
              <w:left w:w="15" w:type="dxa"/>
              <w:bottom w:w="0" w:type="dxa"/>
              <w:right w:w="15" w:type="dxa"/>
            </w:tcMar>
            <w:vAlign w:val="bottom"/>
            <w:hideMark/>
          </w:tcPr>
          <w:p w14:paraId="2A0A68A1" w14:textId="77777777" w:rsidR="002E5F35" w:rsidRPr="002C667B" w:rsidRDefault="002E5F35" w:rsidP="002C667B">
            <w:pPr>
              <w:jc w:val="center"/>
              <w:rPr>
                <w:sz w:val="22"/>
                <w:szCs w:val="22"/>
                <w:lang w:val="en-GB"/>
              </w:rPr>
            </w:pPr>
            <w:r w:rsidRPr="002C667B">
              <w:rPr>
                <w:sz w:val="22"/>
                <w:szCs w:val="22"/>
              </w:rPr>
              <w:t>1.5%</w:t>
            </w:r>
          </w:p>
        </w:tc>
        <w:tc>
          <w:tcPr>
            <w:tcW w:w="1245" w:type="dxa"/>
            <w:shd w:val="clear" w:color="auto" w:fill="00B0F0"/>
            <w:tcMar>
              <w:top w:w="15" w:type="dxa"/>
              <w:left w:w="15" w:type="dxa"/>
              <w:bottom w:w="0" w:type="dxa"/>
              <w:right w:w="15" w:type="dxa"/>
            </w:tcMar>
            <w:vAlign w:val="bottom"/>
            <w:hideMark/>
          </w:tcPr>
          <w:p w14:paraId="6C5C9FDC" w14:textId="77777777" w:rsidR="002E5F35" w:rsidRPr="002C667B" w:rsidRDefault="002E5F35" w:rsidP="002C667B">
            <w:pPr>
              <w:jc w:val="center"/>
              <w:rPr>
                <w:sz w:val="22"/>
                <w:szCs w:val="22"/>
                <w:lang w:val="en-GB"/>
              </w:rPr>
            </w:pPr>
            <w:r w:rsidRPr="002C667B">
              <w:rPr>
                <w:sz w:val="22"/>
                <w:szCs w:val="22"/>
              </w:rPr>
              <w:t>30.8%</w:t>
            </w:r>
          </w:p>
        </w:tc>
      </w:tr>
      <w:tr w:rsidR="002E5F35" w:rsidRPr="002C667B" w14:paraId="1E9306DA" w14:textId="1B38B48E" w:rsidTr="002607F3">
        <w:trPr>
          <w:trHeight w:val="224"/>
        </w:trPr>
        <w:tc>
          <w:tcPr>
            <w:tcW w:w="1409" w:type="dxa"/>
            <w:shd w:val="clear" w:color="auto" w:fill="auto"/>
            <w:tcMar>
              <w:top w:w="15" w:type="dxa"/>
              <w:left w:w="15" w:type="dxa"/>
              <w:bottom w:w="0" w:type="dxa"/>
              <w:right w:w="15" w:type="dxa"/>
            </w:tcMar>
            <w:vAlign w:val="bottom"/>
            <w:hideMark/>
          </w:tcPr>
          <w:p w14:paraId="6046DF45" w14:textId="77777777" w:rsidR="002E5F35" w:rsidRPr="002C667B" w:rsidRDefault="002E5F35" w:rsidP="002C667B">
            <w:pPr>
              <w:jc w:val="center"/>
              <w:rPr>
                <w:sz w:val="22"/>
                <w:szCs w:val="22"/>
                <w:lang w:val="en-GB"/>
              </w:rPr>
            </w:pPr>
            <w:r w:rsidRPr="002C667B">
              <w:rPr>
                <w:bCs/>
                <w:sz w:val="22"/>
                <w:szCs w:val="22"/>
              </w:rPr>
              <w:t>GR</w:t>
            </w:r>
          </w:p>
        </w:tc>
        <w:tc>
          <w:tcPr>
            <w:tcW w:w="915" w:type="dxa"/>
            <w:shd w:val="clear" w:color="auto" w:fill="auto"/>
            <w:tcMar>
              <w:top w:w="15" w:type="dxa"/>
              <w:left w:w="15" w:type="dxa"/>
              <w:bottom w:w="0" w:type="dxa"/>
              <w:right w:w="15" w:type="dxa"/>
            </w:tcMar>
            <w:vAlign w:val="bottom"/>
            <w:hideMark/>
          </w:tcPr>
          <w:p w14:paraId="19F049B6" w14:textId="77777777" w:rsidR="002E5F35" w:rsidRPr="002C667B" w:rsidRDefault="002E5F35" w:rsidP="002C667B">
            <w:pPr>
              <w:jc w:val="center"/>
              <w:rPr>
                <w:sz w:val="22"/>
                <w:szCs w:val="22"/>
                <w:lang w:val="en-GB"/>
              </w:rPr>
            </w:pPr>
            <w:r w:rsidRPr="002C667B">
              <w:rPr>
                <w:sz w:val="22"/>
                <w:szCs w:val="22"/>
              </w:rPr>
              <w:t>0.0%</w:t>
            </w:r>
          </w:p>
        </w:tc>
        <w:tc>
          <w:tcPr>
            <w:tcW w:w="915" w:type="dxa"/>
            <w:shd w:val="clear" w:color="auto" w:fill="auto"/>
            <w:tcMar>
              <w:top w:w="15" w:type="dxa"/>
              <w:left w:w="15" w:type="dxa"/>
              <w:bottom w:w="0" w:type="dxa"/>
              <w:right w:w="15" w:type="dxa"/>
            </w:tcMar>
            <w:vAlign w:val="bottom"/>
            <w:hideMark/>
          </w:tcPr>
          <w:p w14:paraId="32489752" w14:textId="77777777" w:rsidR="002E5F35" w:rsidRPr="002C667B" w:rsidRDefault="002E5F35" w:rsidP="002C667B">
            <w:pPr>
              <w:jc w:val="center"/>
              <w:rPr>
                <w:sz w:val="22"/>
                <w:szCs w:val="22"/>
                <w:lang w:val="en-GB"/>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25E1F437"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auto"/>
          </w:tcPr>
          <w:p w14:paraId="63047296" w14:textId="56F66213"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6862AA22" w14:textId="5927B2D5" w:rsidR="002E5F35" w:rsidRPr="002C667B" w:rsidRDefault="002E5F35" w:rsidP="002C667B">
            <w:pPr>
              <w:jc w:val="center"/>
              <w:rPr>
                <w:sz w:val="22"/>
                <w:szCs w:val="22"/>
                <w:lang w:val="en-GB"/>
              </w:rPr>
            </w:pPr>
            <w:r w:rsidRPr="002C667B">
              <w:rPr>
                <w:sz w:val="22"/>
                <w:szCs w:val="22"/>
              </w:rPr>
              <w:t>0.0%</w:t>
            </w:r>
          </w:p>
        </w:tc>
        <w:tc>
          <w:tcPr>
            <w:tcW w:w="916" w:type="dxa"/>
            <w:shd w:val="clear" w:color="auto" w:fill="FFFF00"/>
            <w:tcMar>
              <w:top w:w="15" w:type="dxa"/>
              <w:left w:w="15" w:type="dxa"/>
              <w:bottom w:w="0" w:type="dxa"/>
              <w:right w:w="15" w:type="dxa"/>
            </w:tcMar>
            <w:vAlign w:val="bottom"/>
            <w:hideMark/>
          </w:tcPr>
          <w:p w14:paraId="2C25D77C" w14:textId="77777777" w:rsidR="002E5F35" w:rsidRPr="002C667B" w:rsidRDefault="002E5F35" w:rsidP="002C667B">
            <w:pPr>
              <w:jc w:val="center"/>
              <w:rPr>
                <w:sz w:val="22"/>
                <w:szCs w:val="22"/>
                <w:lang w:val="en-GB"/>
              </w:rPr>
            </w:pPr>
            <w:r w:rsidRPr="002C667B">
              <w:rPr>
                <w:sz w:val="22"/>
                <w:szCs w:val="22"/>
              </w:rPr>
              <w:t>0.3%</w:t>
            </w:r>
          </w:p>
        </w:tc>
        <w:tc>
          <w:tcPr>
            <w:tcW w:w="1245" w:type="dxa"/>
            <w:shd w:val="clear" w:color="auto" w:fill="FFFF00"/>
            <w:tcMar>
              <w:top w:w="15" w:type="dxa"/>
              <w:left w:w="15" w:type="dxa"/>
              <w:bottom w:w="0" w:type="dxa"/>
              <w:right w:w="15" w:type="dxa"/>
            </w:tcMar>
            <w:vAlign w:val="bottom"/>
            <w:hideMark/>
          </w:tcPr>
          <w:p w14:paraId="42C8708F" w14:textId="77777777" w:rsidR="002E5F35" w:rsidRPr="002C667B" w:rsidRDefault="002E5F35" w:rsidP="002C667B">
            <w:pPr>
              <w:jc w:val="center"/>
              <w:rPr>
                <w:sz w:val="22"/>
                <w:szCs w:val="22"/>
                <w:lang w:val="en-GB"/>
              </w:rPr>
            </w:pPr>
            <w:r w:rsidRPr="002C667B">
              <w:rPr>
                <w:sz w:val="22"/>
                <w:szCs w:val="22"/>
              </w:rPr>
              <w:t>0.0%</w:t>
            </w:r>
          </w:p>
        </w:tc>
      </w:tr>
      <w:tr w:rsidR="002E5F35" w:rsidRPr="002C667B" w14:paraId="65B577D3" w14:textId="0D8532C9" w:rsidTr="002607F3">
        <w:trPr>
          <w:trHeight w:val="224"/>
        </w:trPr>
        <w:tc>
          <w:tcPr>
            <w:tcW w:w="1409" w:type="dxa"/>
            <w:shd w:val="clear" w:color="auto" w:fill="auto"/>
            <w:tcMar>
              <w:top w:w="15" w:type="dxa"/>
              <w:left w:w="15" w:type="dxa"/>
              <w:bottom w:w="0" w:type="dxa"/>
              <w:right w:w="15" w:type="dxa"/>
            </w:tcMar>
            <w:vAlign w:val="bottom"/>
            <w:hideMark/>
          </w:tcPr>
          <w:p w14:paraId="097A9810" w14:textId="77777777" w:rsidR="002E5F35" w:rsidRPr="002C667B" w:rsidRDefault="002E5F35" w:rsidP="002C667B">
            <w:pPr>
              <w:jc w:val="center"/>
              <w:rPr>
                <w:sz w:val="22"/>
                <w:szCs w:val="22"/>
                <w:lang w:val="en-GB"/>
              </w:rPr>
            </w:pPr>
            <w:r w:rsidRPr="002C667B">
              <w:rPr>
                <w:bCs/>
                <w:sz w:val="22"/>
                <w:szCs w:val="22"/>
              </w:rPr>
              <w:t>HU</w:t>
            </w:r>
          </w:p>
        </w:tc>
        <w:tc>
          <w:tcPr>
            <w:tcW w:w="915" w:type="dxa"/>
            <w:shd w:val="clear" w:color="auto" w:fill="auto"/>
            <w:tcMar>
              <w:top w:w="15" w:type="dxa"/>
              <w:left w:w="15" w:type="dxa"/>
              <w:bottom w:w="0" w:type="dxa"/>
              <w:right w:w="15" w:type="dxa"/>
            </w:tcMar>
            <w:vAlign w:val="bottom"/>
            <w:hideMark/>
          </w:tcPr>
          <w:p w14:paraId="3F286080" w14:textId="77777777" w:rsidR="002E5F35" w:rsidRPr="002C667B" w:rsidRDefault="002E5F35" w:rsidP="002C667B">
            <w:pPr>
              <w:jc w:val="center"/>
              <w:rPr>
                <w:sz w:val="22"/>
                <w:szCs w:val="22"/>
                <w:lang w:val="en-GB"/>
              </w:rPr>
            </w:pPr>
            <w:r w:rsidRPr="002C667B">
              <w:rPr>
                <w:sz w:val="22"/>
                <w:szCs w:val="22"/>
              </w:rPr>
              <w:t>0.0%</w:t>
            </w:r>
          </w:p>
        </w:tc>
        <w:tc>
          <w:tcPr>
            <w:tcW w:w="915" w:type="dxa"/>
            <w:shd w:val="clear" w:color="auto" w:fill="auto"/>
            <w:tcMar>
              <w:top w:w="15" w:type="dxa"/>
              <w:left w:w="15" w:type="dxa"/>
              <w:bottom w:w="0" w:type="dxa"/>
              <w:right w:w="15" w:type="dxa"/>
            </w:tcMar>
            <w:vAlign w:val="bottom"/>
            <w:hideMark/>
          </w:tcPr>
          <w:p w14:paraId="0B0ADB4E" w14:textId="77777777" w:rsidR="002E5F35" w:rsidRPr="002C667B" w:rsidRDefault="002E5F35" w:rsidP="002C667B">
            <w:pPr>
              <w:jc w:val="center"/>
              <w:rPr>
                <w:sz w:val="22"/>
                <w:szCs w:val="22"/>
                <w:lang w:val="en-GB"/>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3A8BF9C8" w14:textId="77777777" w:rsidR="002E5F35" w:rsidRPr="002C667B" w:rsidRDefault="002E5F35" w:rsidP="002C667B">
            <w:pPr>
              <w:jc w:val="center"/>
              <w:rPr>
                <w:sz w:val="22"/>
                <w:szCs w:val="22"/>
                <w:lang w:val="en-GB"/>
              </w:rPr>
            </w:pPr>
            <w:r w:rsidRPr="002C667B">
              <w:rPr>
                <w:sz w:val="22"/>
                <w:szCs w:val="22"/>
              </w:rPr>
              <w:t>0.4%</w:t>
            </w:r>
          </w:p>
        </w:tc>
        <w:tc>
          <w:tcPr>
            <w:tcW w:w="915" w:type="dxa"/>
            <w:shd w:val="clear" w:color="auto" w:fill="auto"/>
          </w:tcPr>
          <w:p w14:paraId="4F94D4EC" w14:textId="451D494B"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26FA3B35" w14:textId="3CACE332" w:rsidR="002E5F35" w:rsidRPr="002C667B" w:rsidRDefault="002E5F35" w:rsidP="002C667B">
            <w:pPr>
              <w:jc w:val="center"/>
              <w:rPr>
                <w:sz w:val="22"/>
                <w:szCs w:val="22"/>
                <w:lang w:val="en-GB"/>
              </w:rPr>
            </w:pPr>
            <w:r w:rsidRPr="002C667B">
              <w:rPr>
                <w:sz w:val="22"/>
                <w:szCs w:val="22"/>
              </w:rPr>
              <w:t>0.0%</w:t>
            </w:r>
          </w:p>
        </w:tc>
        <w:tc>
          <w:tcPr>
            <w:tcW w:w="916" w:type="dxa"/>
            <w:shd w:val="clear" w:color="auto" w:fill="auto"/>
            <w:tcMar>
              <w:top w:w="15" w:type="dxa"/>
              <w:left w:w="15" w:type="dxa"/>
              <w:bottom w:w="0" w:type="dxa"/>
              <w:right w:w="15" w:type="dxa"/>
            </w:tcMar>
            <w:vAlign w:val="bottom"/>
            <w:hideMark/>
          </w:tcPr>
          <w:p w14:paraId="68BE3A04"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FFFF00"/>
            <w:tcMar>
              <w:top w:w="15" w:type="dxa"/>
              <w:left w:w="15" w:type="dxa"/>
              <w:bottom w:w="0" w:type="dxa"/>
              <w:right w:w="15" w:type="dxa"/>
            </w:tcMar>
            <w:vAlign w:val="bottom"/>
            <w:hideMark/>
          </w:tcPr>
          <w:p w14:paraId="64C49C85" w14:textId="77777777" w:rsidR="002E5F35" w:rsidRPr="002C667B" w:rsidRDefault="002E5F35" w:rsidP="002C667B">
            <w:pPr>
              <w:jc w:val="center"/>
              <w:rPr>
                <w:sz w:val="22"/>
                <w:szCs w:val="22"/>
                <w:lang w:val="en-GB"/>
              </w:rPr>
            </w:pPr>
            <w:r w:rsidRPr="002C667B">
              <w:rPr>
                <w:sz w:val="22"/>
                <w:szCs w:val="22"/>
              </w:rPr>
              <w:t>0.3%</w:t>
            </w:r>
          </w:p>
        </w:tc>
      </w:tr>
      <w:tr w:rsidR="002E5F35" w:rsidRPr="002C667B" w14:paraId="73A7137C" w14:textId="1666C52A" w:rsidTr="002607F3">
        <w:trPr>
          <w:trHeight w:val="224"/>
        </w:trPr>
        <w:tc>
          <w:tcPr>
            <w:tcW w:w="1409" w:type="dxa"/>
            <w:shd w:val="clear" w:color="auto" w:fill="auto"/>
            <w:tcMar>
              <w:top w:w="15" w:type="dxa"/>
              <w:left w:w="15" w:type="dxa"/>
              <w:bottom w:w="0" w:type="dxa"/>
              <w:right w:w="15" w:type="dxa"/>
            </w:tcMar>
            <w:vAlign w:val="bottom"/>
            <w:hideMark/>
          </w:tcPr>
          <w:p w14:paraId="7DC2CDDD" w14:textId="77777777" w:rsidR="002E5F35" w:rsidRPr="002C667B" w:rsidRDefault="002E5F35" w:rsidP="002C667B">
            <w:pPr>
              <w:jc w:val="center"/>
              <w:rPr>
                <w:sz w:val="22"/>
                <w:szCs w:val="22"/>
                <w:lang w:val="en-GB"/>
              </w:rPr>
            </w:pPr>
            <w:r w:rsidRPr="002C667B">
              <w:rPr>
                <w:bCs/>
                <w:sz w:val="22"/>
                <w:szCs w:val="22"/>
              </w:rPr>
              <w:t>IE</w:t>
            </w:r>
          </w:p>
        </w:tc>
        <w:tc>
          <w:tcPr>
            <w:tcW w:w="915" w:type="dxa"/>
            <w:shd w:val="clear" w:color="auto" w:fill="FFFF00"/>
            <w:tcMar>
              <w:top w:w="15" w:type="dxa"/>
              <w:left w:w="15" w:type="dxa"/>
              <w:bottom w:w="0" w:type="dxa"/>
              <w:right w:w="15" w:type="dxa"/>
            </w:tcMar>
            <w:vAlign w:val="bottom"/>
            <w:hideMark/>
          </w:tcPr>
          <w:p w14:paraId="35608CEC"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540B1A77" w14:textId="77777777" w:rsidR="002E5F35" w:rsidRPr="002C667B" w:rsidRDefault="002E5F35" w:rsidP="002C667B">
            <w:pPr>
              <w:jc w:val="center"/>
              <w:rPr>
                <w:sz w:val="22"/>
                <w:szCs w:val="22"/>
                <w:lang w:val="en-GB"/>
              </w:rPr>
            </w:pPr>
            <w:r w:rsidRPr="002C667B">
              <w:rPr>
                <w:sz w:val="22"/>
                <w:szCs w:val="22"/>
              </w:rPr>
              <w:t>2.1%</w:t>
            </w:r>
          </w:p>
        </w:tc>
        <w:tc>
          <w:tcPr>
            <w:tcW w:w="915" w:type="dxa"/>
            <w:shd w:val="clear" w:color="auto" w:fill="FFFF00"/>
            <w:tcMar>
              <w:top w:w="15" w:type="dxa"/>
              <w:left w:w="15" w:type="dxa"/>
              <w:bottom w:w="0" w:type="dxa"/>
              <w:right w:w="15" w:type="dxa"/>
            </w:tcMar>
            <w:vAlign w:val="bottom"/>
            <w:hideMark/>
          </w:tcPr>
          <w:p w14:paraId="4903342D" w14:textId="77777777" w:rsidR="002E5F35" w:rsidRPr="002C667B" w:rsidRDefault="002E5F35" w:rsidP="002C667B">
            <w:pPr>
              <w:jc w:val="center"/>
              <w:rPr>
                <w:sz w:val="22"/>
                <w:szCs w:val="22"/>
                <w:lang w:val="en-GB"/>
              </w:rPr>
            </w:pPr>
            <w:r w:rsidRPr="002C667B">
              <w:rPr>
                <w:sz w:val="22"/>
                <w:szCs w:val="22"/>
              </w:rPr>
              <w:t>0.9%</w:t>
            </w:r>
          </w:p>
        </w:tc>
        <w:tc>
          <w:tcPr>
            <w:tcW w:w="915" w:type="dxa"/>
            <w:shd w:val="clear" w:color="auto" w:fill="FFFF00"/>
          </w:tcPr>
          <w:p w14:paraId="2CF87F06" w14:textId="5B14BD9D" w:rsidR="002E5F35" w:rsidRPr="002C667B" w:rsidRDefault="002607F3" w:rsidP="002C667B">
            <w:pPr>
              <w:jc w:val="center"/>
              <w:rPr>
                <w:sz w:val="22"/>
                <w:szCs w:val="22"/>
              </w:rPr>
            </w:pPr>
            <w:r>
              <w:rPr>
                <w:sz w:val="22"/>
                <w:szCs w:val="22"/>
              </w:rPr>
              <w:t>0.9%</w:t>
            </w:r>
          </w:p>
        </w:tc>
        <w:tc>
          <w:tcPr>
            <w:tcW w:w="915" w:type="dxa"/>
            <w:shd w:val="clear" w:color="auto" w:fill="FFFF00"/>
            <w:tcMar>
              <w:top w:w="15" w:type="dxa"/>
              <w:left w:w="15" w:type="dxa"/>
              <w:bottom w:w="0" w:type="dxa"/>
              <w:right w:w="15" w:type="dxa"/>
            </w:tcMar>
            <w:vAlign w:val="bottom"/>
            <w:hideMark/>
          </w:tcPr>
          <w:p w14:paraId="1AF5803C" w14:textId="1BB940D2" w:rsidR="002E5F35" w:rsidRPr="002C667B" w:rsidRDefault="002E5F35" w:rsidP="002C667B">
            <w:pPr>
              <w:jc w:val="center"/>
              <w:rPr>
                <w:sz w:val="22"/>
                <w:szCs w:val="22"/>
                <w:lang w:val="en-GB"/>
              </w:rPr>
            </w:pPr>
            <w:r w:rsidRPr="002C667B">
              <w:rPr>
                <w:sz w:val="22"/>
                <w:szCs w:val="22"/>
              </w:rPr>
              <w:t>0.4%</w:t>
            </w:r>
          </w:p>
        </w:tc>
        <w:tc>
          <w:tcPr>
            <w:tcW w:w="916" w:type="dxa"/>
            <w:shd w:val="clear" w:color="auto" w:fill="FFFF00"/>
            <w:tcMar>
              <w:top w:w="15" w:type="dxa"/>
              <w:left w:w="15" w:type="dxa"/>
              <w:bottom w:w="0" w:type="dxa"/>
              <w:right w:w="15" w:type="dxa"/>
            </w:tcMar>
            <w:vAlign w:val="bottom"/>
            <w:hideMark/>
          </w:tcPr>
          <w:p w14:paraId="57454820" w14:textId="77777777" w:rsidR="002E5F35" w:rsidRPr="002C667B" w:rsidRDefault="002E5F35" w:rsidP="002C667B">
            <w:pPr>
              <w:jc w:val="center"/>
              <w:rPr>
                <w:sz w:val="22"/>
                <w:szCs w:val="22"/>
                <w:lang w:val="en-GB"/>
              </w:rPr>
            </w:pPr>
            <w:r w:rsidRPr="002C667B">
              <w:rPr>
                <w:sz w:val="22"/>
                <w:szCs w:val="22"/>
              </w:rPr>
              <w:t>0.1%</w:t>
            </w:r>
          </w:p>
        </w:tc>
        <w:tc>
          <w:tcPr>
            <w:tcW w:w="1245" w:type="dxa"/>
            <w:shd w:val="clear" w:color="auto" w:fill="FFFF00"/>
            <w:tcMar>
              <w:top w:w="15" w:type="dxa"/>
              <w:left w:w="15" w:type="dxa"/>
              <w:bottom w:w="0" w:type="dxa"/>
              <w:right w:w="15" w:type="dxa"/>
            </w:tcMar>
            <w:vAlign w:val="bottom"/>
            <w:hideMark/>
          </w:tcPr>
          <w:p w14:paraId="17ECD4A9" w14:textId="77777777" w:rsidR="002E5F35" w:rsidRPr="002C667B" w:rsidRDefault="002E5F35" w:rsidP="002C667B">
            <w:pPr>
              <w:jc w:val="center"/>
              <w:rPr>
                <w:sz w:val="22"/>
                <w:szCs w:val="22"/>
                <w:lang w:val="en-GB"/>
              </w:rPr>
            </w:pPr>
            <w:r w:rsidRPr="002C667B">
              <w:rPr>
                <w:sz w:val="22"/>
                <w:szCs w:val="22"/>
              </w:rPr>
              <w:t>2.4%</w:t>
            </w:r>
          </w:p>
        </w:tc>
      </w:tr>
      <w:tr w:rsidR="002E5F35" w:rsidRPr="002C667B" w14:paraId="22EF280E" w14:textId="367CF318" w:rsidTr="00032263">
        <w:trPr>
          <w:trHeight w:val="224"/>
        </w:trPr>
        <w:tc>
          <w:tcPr>
            <w:tcW w:w="1409" w:type="dxa"/>
            <w:shd w:val="clear" w:color="auto" w:fill="auto"/>
            <w:tcMar>
              <w:top w:w="15" w:type="dxa"/>
              <w:left w:w="15" w:type="dxa"/>
              <w:bottom w:w="0" w:type="dxa"/>
              <w:right w:w="15" w:type="dxa"/>
            </w:tcMar>
            <w:vAlign w:val="bottom"/>
            <w:hideMark/>
          </w:tcPr>
          <w:p w14:paraId="6BA36FCF" w14:textId="77777777" w:rsidR="002E5F35" w:rsidRPr="002C667B" w:rsidRDefault="002E5F35" w:rsidP="002C667B">
            <w:pPr>
              <w:jc w:val="center"/>
              <w:rPr>
                <w:sz w:val="22"/>
                <w:szCs w:val="22"/>
                <w:lang w:val="en-GB"/>
              </w:rPr>
            </w:pPr>
            <w:r w:rsidRPr="002C667B">
              <w:rPr>
                <w:bCs/>
                <w:sz w:val="22"/>
                <w:szCs w:val="22"/>
              </w:rPr>
              <w:t>IT</w:t>
            </w:r>
          </w:p>
        </w:tc>
        <w:tc>
          <w:tcPr>
            <w:tcW w:w="915" w:type="dxa"/>
            <w:shd w:val="clear" w:color="auto" w:fill="92D050"/>
            <w:tcMar>
              <w:top w:w="15" w:type="dxa"/>
              <w:left w:w="15" w:type="dxa"/>
              <w:bottom w:w="0" w:type="dxa"/>
              <w:right w:w="15" w:type="dxa"/>
            </w:tcMar>
            <w:vAlign w:val="bottom"/>
            <w:hideMark/>
          </w:tcPr>
          <w:p w14:paraId="78054A76" w14:textId="77777777" w:rsidR="002E5F35" w:rsidRPr="002C667B" w:rsidRDefault="002E5F35" w:rsidP="002C667B">
            <w:pPr>
              <w:jc w:val="center"/>
              <w:rPr>
                <w:sz w:val="22"/>
                <w:szCs w:val="22"/>
                <w:lang w:val="en-GB"/>
              </w:rPr>
            </w:pPr>
            <w:r w:rsidRPr="002C667B">
              <w:rPr>
                <w:sz w:val="22"/>
                <w:szCs w:val="22"/>
              </w:rPr>
              <w:t>5.3%</w:t>
            </w:r>
          </w:p>
        </w:tc>
        <w:tc>
          <w:tcPr>
            <w:tcW w:w="915" w:type="dxa"/>
            <w:shd w:val="clear" w:color="auto" w:fill="00B0F0"/>
            <w:tcMar>
              <w:top w:w="15" w:type="dxa"/>
              <w:left w:w="15" w:type="dxa"/>
              <w:bottom w:w="0" w:type="dxa"/>
              <w:right w:w="15" w:type="dxa"/>
            </w:tcMar>
            <w:vAlign w:val="bottom"/>
            <w:hideMark/>
          </w:tcPr>
          <w:p w14:paraId="7E069137" w14:textId="77777777" w:rsidR="002E5F35" w:rsidRPr="002C667B" w:rsidRDefault="002E5F35" w:rsidP="002C667B">
            <w:pPr>
              <w:jc w:val="center"/>
              <w:rPr>
                <w:sz w:val="22"/>
                <w:szCs w:val="22"/>
                <w:lang w:val="en-GB"/>
              </w:rPr>
            </w:pPr>
            <w:r w:rsidRPr="002C667B">
              <w:rPr>
                <w:sz w:val="22"/>
                <w:szCs w:val="22"/>
              </w:rPr>
              <w:t>11.5%</w:t>
            </w:r>
          </w:p>
        </w:tc>
        <w:tc>
          <w:tcPr>
            <w:tcW w:w="915" w:type="dxa"/>
            <w:shd w:val="clear" w:color="auto" w:fill="92D050"/>
            <w:tcMar>
              <w:top w:w="15" w:type="dxa"/>
              <w:left w:w="15" w:type="dxa"/>
              <w:bottom w:w="0" w:type="dxa"/>
              <w:right w:w="15" w:type="dxa"/>
            </w:tcMar>
            <w:vAlign w:val="bottom"/>
            <w:hideMark/>
          </w:tcPr>
          <w:p w14:paraId="5CFDF107" w14:textId="77777777" w:rsidR="002E5F35" w:rsidRPr="002C667B" w:rsidRDefault="002E5F35" w:rsidP="002C667B">
            <w:pPr>
              <w:jc w:val="center"/>
              <w:rPr>
                <w:sz w:val="22"/>
                <w:szCs w:val="22"/>
                <w:lang w:val="en-GB"/>
              </w:rPr>
            </w:pPr>
            <w:r w:rsidRPr="002C667B">
              <w:rPr>
                <w:sz w:val="22"/>
                <w:szCs w:val="22"/>
              </w:rPr>
              <w:t>4.3%</w:t>
            </w:r>
          </w:p>
        </w:tc>
        <w:tc>
          <w:tcPr>
            <w:tcW w:w="915" w:type="dxa"/>
            <w:shd w:val="clear" w:color="auto" w:fill="92D050"/>
          </w:tcPr>
          <w:p w14:paraId="7C5D2BA9" w14:textId="33D75C67" w:rsidR="002E5F35" w:rsidRPr="002C667B" w:rsidRDefault="002607F3" w:rsidP="002C667B">
            <w:pPr>
              <w:jc w:val="center"/>
              <w:rPr>
                <w:sz w:val="22"/>
                <w:szCs w:val="22"/>
              </w:rPr>
            </w:pPr>
            <w:r w:rsidRPr="002607F3">
              <w:rPr>
                <w:sz w:val="22"/>
                <w:szCs w:val="22"/>
              </w:rPr>
              <w:t>7.</w:t>
            </w:r>
            <w:r>
              <w:rPr>
                <w:sz w:val="22"/>
                <w:szCs w:val="22"/>
              </w:rPr>
              <w:t>3%</w:t>
            </w:r>
          </w:p>
        </w:tc>
        <w:tc>
          <w:tcPr>
            <w:tcW w:w="915" w:type="dxa"/>
            <w:shd w:val="clear" w:color="auto" w:fill="FFFF00"/>
            <w:tcMar>
              <w:top w:w="15" w:type="dxa"/>
              <w:left w:w="15" w:type="dxa"/>
              <w:bottom w:w="0" w:type="dxa"/>
              <w:right w:w="15" w:type="dxa"/>
            </w:tcMar>
            <w:vAlign w:val="bottom"/>
            <w:hideMark/>
          </w:tcPr>
          <w:p w14:paraId="151471BD" w14:textId="542DCEA3" w:rsidR="002E5F35" w:rsidRPr="002C667B" w:rsidRDefault="002E5F35" w:rsidP="002C667B">
            <w:pPr>
              <w:jc w:val="center"/>
              <w:rPr>
                <w:sz w:val="22"/>
                <w:szCs w:val="22"/>
                <w:lang w:val="en-GB"/>
              </w:rPr>
            </w:pPr>
            <w:r w:rsidRPr="002C667B">
              <w:rPr>
                <w:sz w:val="22"/>
                <w:szCs w:val="22"/>
              </w:rPr>
              <w:t>1.5%</w:t>
            </w:r>
          </w:p>
        </w:tc>
        <w:tc>
          <w:tcPr>
            <w:tcW w:w="916" w:type="dxa"/>
            <w:shd w:val="clear" w:color="auto" w:fill="92D050"/>
            <w:tcMar>
              <w:top w:w="15" w:type="dxa"/>
              <w:left w:w="15" w:type="dxa"/>
              <w:bottom w:w="0" w:type="dxa"/>
              <w:right w:w="15" w:type="dxa"/>
            </w:tcMar>
            <w:vAlign w:val="bottom"/>
            <w:hideMark/>
          </w:tcPr>
          <w:p w14:paraId="4C5C0B1E" w14:textId="77777777" w:rsidR="002E5F35" w:rsidRPr="002C667B" w:rsidRDefault="002E5F35" w:rsidP="002C667B">
            <w:pPr>
              <w:jc w:val="center"/>
              <w:rPr>
                <w:sz w:val="22"/>
                <w:szCs w:val="22"/>
                <w:lang w:val="en-GB"/>
              </w:rPr>
            </w:pPr>
            <w:r w:rsidRPr="002C667B">
              <w:rPr>
                <w:sz w:val="22"/>
                <w:szCs w:val="22"/>
              </w:rPr>
              <w:t>3.8%</w:t>
            </w:r>
          </w:p>
        </w:tc>
        <w:tc>
          <w:tcPr>
            <w:tcW w:w="1245" w:type="dxa"/>
            <w:shd w:val="clear" w:color="auto" w:fill="FFFF00"/>
            <w:tcMar>
              <w:top w:w="15" w:type="dxa"/>
              <w:left w:w="15" w:type="dxa"/>
              <w:bottom w:w="0" w:type="dxa"/>
              <w:right w:w="15" w:type="dxa"/>
            </w:tcMar>
            <w:vAlign w:val="bottom"/>
            <w:hideMark/>
          </w:tcPr>
          <w:p w14:paraId="0223653B" w14:textId="77777777" w:rsidR="002E5F35" w:rsidRPr="002C667B" w:rsidRDefault="002E5F35" w:rsidP="002C667B">
            <w:pPr>
              <w:jc w:val="center"/>
              <w:rPr>
                <w:sz w:val="22"/>
                <w:szCs w:val="22"/>
                <w:lang w:val="en-GB"/>
              </w:rPr>
            </w:pPr>
            <w:r w:rsidRPr="002C667B">
              <w:rPr>
                <w:sz w:val="22"/>
                <w:szCs w:val="22"/>
              </w:rPr>
              <w:t>1.3%</w:t>
            </w:r>
          </w:p>
        </w:tc>
      </w:tr>
      <w:tr w:rsidR="002E5F35" w:rsidRPr="002C667B" w14:paraId="3B0747B1" w14:textId="368C28FC" w:rsidTr="002607F3">
        <w:trPr>
          <w:trHeight w:val="224"/>
        </w:trPr>
        <w:tc>
          <w:tcPr>
            <w:tcW w:w="1409" w:type="dxa"/>
            <w:shd w:val="clear" w:color="auto" w:fill="auto"/>
            <w:tcMar>
              <w:top w:w="15" w:type="dxa"/>
              <w:left w:w="15" w:type="dxa"/>
              <w:bottom w:w="0" w:type="dxa"/>
              <w:right w:w="15" w:type="dxa"/>
            </w:tcMar>
            <w:vAlign w:val="bottom"/>
            <w:hideMark/>
          </w:tcPr>
          <w:p w14:paraId="4BE06D97" w14:textId="77777777" w:rsidR="002E5F35" w:rsidRPr="002C667B" w:rsidRDefault="002E5F35" w:rsidP="002C667B">
            <w:pPr>
              <w:jc w:val="center"/>
              <w:rPr>
                <w:sz w:val="22"/>
                <w:szCs w:val="22"/>
                <w:lang w:val="en-GB"/>
              </w:rPr>
            </w:pPr>
            <w:r w:rsidRPr="002C667B">
              <w:rPr>
                <w:bCs/>
                <w:sz w:val="22"/>
                <w:szCs w:val="22"/>
              </w:rPr>
              <w:t>JP</w:t>
            </w:r>
          </w:p>
        </w:tc>
        <w:tc>
          <w:tcPr>
            <w:tcW w:w="915" w:type="dxa"/>
            <w:shd w:val="clear" w:color="auto" w:fill="FFFF00"/>
            <w:tcMar>
              <w:top w:w="15" w:type="dxa"/>
              <w:left w:w="15" w:type="dxa"/>
              <w:bottom w:w="0" w:type="dxa"/>
              <w:right w:w="15" w:type="dxa"/>
            </w:tcMar>
            <w:vAlign w:val="bottom"/>
            <w:hideMark/>
          </w:tcPr>
          <w:p w14:paraId="7BD915CA"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5225E1B7" w14:textId="77777777" w:rsidR="002E5F35" w:rsidRPr="002C667B" w:rsidRDefault="002E5F35" w:rsidP="002C667B">
            <w:pPr>
              <w:jc w:val="center"/>
              <w:rPr>
                <w:sz w:val="22"/>
                <w:szCs w:val="22"/>
                <w:lang w:val="en-GB"/>
              </w:rPr>
            </w:pPr>
            <w:r w:rsidRPr="002C667B">
              <w:rPr>
                <w:sz w:val="22"/>
                <w:szCs w:val="22"/>
              </w:rPr>
              <w:t>0.6%</w:t>
            </w:r>
          </w:p>
        </w:tc>
        <w:tc>
          <w:tcPr>
            <w:tcW w:w="915" w:type="dxa"/>
            <w:shd w:val="clear" w:color="auto" w:fill="FFFF00"/>
            <w:tcMar>
              <w:top w:w="15" w:type="dxa"/>
              <w:left w:w="15" w:type="dxa"/>
              <w:bottom w:w="0" w:type="dxa"/>
              <w:right w:w="15" w:type="dxa"/>
            </w:tcMar>
            <w:vAlign w:val="bottom"/>
            <w:hideMark/>
          </w:tcPr>
          <w:p w14:paraId="125102B9" w14:textId="77777777" w:rsidR="002E5F35" w:rsidRPr="002C667B" w:rsidRDefault="002E5F35" w:rsidP="002C667B">
            <w:pPr>
              <w:jc w:val="center"/>
              <w:rPr>
                <w:sz w:val="22"/>
                <w:szCs w:val="22"/>
                <w:lang w:val="en-GB"/>
              </w:rPr>
            </w:pPr>
            <w:r w:rsidRPr="002C667B">
              <w:rPr>
                <w:sz w:val="22"/>
                <w:szCs w:val="22"/>
              </w:rPr>
              <w:t>0.5%</w:t>
            </w:r>
          </w:p>
        </w:tc>
        <w:tc>
          <w:tcPr>
            <w:tcW w:w="915" w:type="dxa"/>
            <w:shd w:val="clear" w:color="auto" w:fill="auto"/>
          </w:tcPr>
          <w:p w14:paraId="2C785B9F" w14:textId="35ECFBFD" w:rsidR="002E5F35" w:rsidRPr="002C667B" w:rsidRDefault="002607F3" w:rsidP="002C667B">
            <w:pPr>
              <w:jc w:val="center"/>
              <w:rPr>
                <w:sz w:val="22"/>
                <w:szCs w:val="22"/>
              </w:rPr>
            </w:pPr>
            <w:r w:rsidRPr="002C667B">
              <w:rPr>
                <w:sz w:val="22"/>
                <w:szCs w:val="22"/>
              </w:rPr>
              <w:t>0.0%</w:t>
            </w:r>
          </w:p>
        </w:tc>
        <w:tc>
          <w:tcPr>
            <w:tcW w:w="915" w:type="dxa"/>
            <w:shd w:val="clear" w:color="auto" w:fill="auto"/>
            <w:tcMar>
              <w:top w:w="15" w:type="dxa"/>
              <w:left w:w="15" w:type="dxa"/>
              <w:bottom w:w="0" w:type="dxa"/>
              <w:right w:w="15" w:type="dxa"/>
            </w:tcMar>
            <w:vAlign w:val="bottom"/>
            <w:hideMark/>
          </w:tcPr>
          <w:p w14:paraId="48E2337F" w14:textId="1D60FA8B" w:rsidR="002E5F35" w:rsidRPr="002C667B" w:rsidRDefault="002E5F35" w:rsidP="002C667B">
            <w:pPr>
              <w:jc w:val="center"/>
              <w:rPr>
                <w:sz w:val="22"/>
                <w:szCs w:val="22"/>
                <w:lang w:val="en-GB"/>
              </w:rPr>
            </w:pPr>
            <w:r w:rsidRPr="002C667B">
              <w:rPr>
                <w:sz w:val="22"/>
                <w:szCs w:val="22"/>
              </w:rPr>
              <w:t>0.0%</w:t>
            </w:r>
          </w:p>
        </w:tc>
        <w:tc>
          <w:tcPr>
            <w:tcW w:w="916" w:type="dxa"/>
            <w:shd w:val="clear" w:color="auto" w:fill="auto"/>
            <w:tcMar>
              <w:top w:w="15" w:type="dxa"/>
              <w:left w:w="15" w:type="dxa"/>
              <w:bottom w:w="0" w:type="dxa"/>
              <w:right w:w="15" w:type="dxa"/>
            </w:tcMar>
            <w:vAlign w:val="bottom"/>
            <w:hideMark/>
          </w:tcPr>
          <w:p w14:paraId="28DE6322"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auto"/>
            <w:tcMar>
              <w:top w:w="15" w:type="dxa"/>
              <w:left w:w="15" w:type="dxa"/>
              <w:bottom w:w="0" w:type="dxa"/>
              <w:right w:w="15" w:type="dxa"/>
            </w:tcMar>
            <w:vAlign w:val="bottom"/>
            <w:hideMark/>
          </w:tcPr>
          <w:p w14:paraId="768DDA94" w14:textId="77777777" w:rsidR="002E5F35" w:rsidRPr="002C667B" w:rsidRDefault="002E5F35" w:rsidP="002C667B">
            <w:pPr>
              <w:jc w:val="center"/>
              <w:rPr>
                <w:sz w:val="22"/>
                <w:szCs w:val="22"/>
                <w:lang w:val="en-GB"/>
              </w:rPr>
            </w:pPr>
            <w:r w:rsidRPr="002C667B">
              <w:rPr>
                <w:sz w:val="22"/>
                <w:szCs w:val="22"/>
              </w:rPr>
              <w:t>0.0%</w:t>
            </w:r>
          </w:p>
        </w:tc>
      </w:tr>
      <w:tr w:rsidR="002E5F35" w:rsidRPr="002C667B" w14:paraId="19F824FF" w14:textId="2177C5A5" w:rsidTr="002607F3">
        <w:trPr>
          <w:trHeight w:val="224"/>
        </w:trPr>
        <w:tc>
          <w:tcPr>
            <w:tcW w:w="1409" w:type="dxa"/>
            <w:shd w:val="clear" w:color="auto" w:fill="auto"/>
            <w:tcMar>
              <w:top w:w="15" w:type="dxa"/>
              <w:left w:w="15" w:type="dxa"/>
              <w:bottom w:w="0" w:type="dxa"/>
              <w:right w:w="15" w:type="dxa"/>
            </w:tcMar>
            <w:vAlign w:val="bottom"/>
            <w:hideMark/>
          </w:tcPr>
          <w:p w14:paraId="215628BF" w14:textId="77777777" w:rsidR="002E5F35" w:rsidRPr="002C667B" w:rsidRDefault="002E5F35" w:rsidP="002C667B">
            <w:pPr>
              <w:jc w:val="center"/>
              <w:rPr>
                <w:sz w:val="22"/>
                <w:szCs w:val="22"/>
                <w:lang w:val="en-GB"/>
              </w:rPr>
            </w:pPr>
            <w:r w:rsidRPr="002C667B">
              <w:rPr>
                <w:bCs/>
                <w:sz w:val="22"/>
                <w:szCs w:val="22"/>
              </w:rPr>
              <w:t>KR</w:t>
            </w:r>
          </w:p>
        </w:tc>
        <w:tc>
          <w:tcPr>
            <w:tcW w:w="915" w:type="dxa"/>
            <w:shd w:val="clear" w:color="auto" w:fill="FFFF00"/>
            <w:tcMar>
              <w:top w:w="15" w:type="dxa"/>
              <w:left w:w="15" w:type="dxa"/>
              <w:bottom w:w="0" w:type="dxa"/>
              <w:right w:w="15" w:type="dxa"/>
            </w:tcMar>
            <w:vAlign w:val="bottom"/>
            <w:hideMark/>
          </w:tcPr>
          <w:p w14:paraId="0165D9E4"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FFFF00"/>
            <w:tcMar>
              <w:top w:w="15" w:type="dxa"/>
              <w:left w:w="15" w:type="dxa"/>
              <w:bottom w:w="0" w:type="dxa"/>
              <w:right w:w="15" w:type="dxa"/>
            </w:tcMar>
            <w:vAlign w:val="bottom"/>
            <w:hideMark/>
          </w:tcPr>
          <w:p w14:paraId="3B64C3A4"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23B22CD1"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auto"/>
          </w:tcPr>
          <w:p w14:paraId="12941FFA" w14:textId="5F8BEB2E" w:rsidR="002E5F35" w:rsidRPr="002C667B" w:rsidRDefault="002607F3" w:rsidP="002C667B">
            <w:pPr>
              <w:jc w:val="center"/>
              <w:rPr>
                <w:sz w:val="22"/>
                <w:szCs w:val="22"/>
              </w:rPr>
            </w:pPr>
            <w:r w:rsidRPr="002C667B">
              <w:rPr>
                <w:sz w:val="22"/>
                <w:szCs w:val="22"/>
              </w:rPr>
              <w:t>0.0%</w:t>
            </w:r>
          </w:p>
        </w:tc>
        <w:tc>
          <w:tcPr>
            <w:tcW w:w="915" w:type="dxa"/>
            <w:shd w:val="clear" w:color="auto" w:fill="auto"/>
            <w:tcMar>
              <w:top w:w="15" w:type="dxa"/>
              <w:left w:w="15" w:type="dxa"/>
              <w:bottom w:w="0" w:type="dxa"/>
              <w:right w:w="15" w:type="dxa"/>
            </w:tcMar>
            <w:vAlign w:val="bottom"/>
            <w:hideMark/>
          </w:tcPr>
          <w:p w14:paraId="056E22C0" w14:textId="205FB449" w:rsidR="002E5F35" w:rsidRPr="002C667B" w:rsidRDefault="002E5F35" w:rsidP="002C667B">
            <w:pPr>
              <w:jc w:val="center"/>
              <w:rPr>
                <w:sz w:val="22"/>
                <w:szCs w:val="22"/>
                <w:lang w:val="en-GB"/>
              </w:rPr>
            </w:pPr>
            <w:r w:rsidRPr="002C667B">
              <w:rPr>
                <w:sz w:val="22"/>
                <w:szCs w:val="22"/>
              </w:rPr>
              <w:t>0.0%</w:t>
            </w:r>
          </w:p>
        </w:tc>
        <w:tc>
          <w:tcPr>
            <w:tcW w:w="916" w:type="dxa"/>
            <w:shd w:val="clear" w:color="auto" w:fill="auto"/>
            <w:tcMar>
              <w:top w:w="15" w:type="dxa"/>
              <w:left w:w="15" w:type="dxa"/>
              <w:bottom w:w="0" w:type="dxa"/>
              <w:right w:w="15" w:type="dxa"/>
            </w:tcMar>
            <w:vAlign w:val="bottom"/>
            <w:hideMark/>
          </w:tcPr>
          <w:p w14:paraId="6D37C48A"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auto"/>
            <w:tcMar>
              <w:top w:w="15" w:type="dxa"/>
              <w:left w:w="15" w:type="dxa"/>
              <w:bottom w:w="0" w:type="dxa"/>
              <w:right w:w="15" w:type="dxa"/>
            </w:tcMar>
            <w:vAlign w:val="bottom"/>
            <w:hideMark/>
          </w:tcPr>
          <w:p w14:paraId="0F7BC318" w14:textId="77777777" w:rsidR="002E5F35" w:rsidRPr="002C667B" w:rsidRDefault="002E5F35" w:rsidP="002C667B">
            <w:pPr>
              <w:jc w:val="center"/>
              <w:rPr>
                <w:sz w:val="22"/>
                <w:szCs w:val="22"/>
                <w:lang w:val="en-GB"/>
              </w:rPr>
            </w:pPr>
            <w:r w:rsidRPr="002C667B">
              <w:rPr>
                <w:sz w:val="22"/>
                <w:szCs w:val="22"/>
              </w:rPr>
              <w:t>0.0%</w:t>
            </w:r>
          </w:p>
        </w:tc>
      </w:tr>
      <w:tr w:rsidR="002E5F35" w:rsidRPr="002C667B" w14:paraId="106F75F4" w14:textId="368047F9" w:rsidTr="002607F3">
        <w:trPr>
          <w:trHeight w:val="224"/>
        </w:trPr>
        <w:tc>
          <w:tcPr>
            <w:tcW w:w="1409" w:type="dxa"/>
            <w:shd w:val="clear" w:color="auto" w:fill="auto"/>
            <w:tcMar>
              <w:top w:w="15" w:type="dxa"/>
              <w:left w:w="15" w:type="dxa"/>
              <w:bottom w:w="0" w:type="dxa"/>
              <w:right w:w="15" w:type="dxa"/>
            </w:tcMar>
            <w:vAlign w:val="bottom"/>
            <w:hideMark/>
          </w:tcPr>
          <w:p w14:paraId="5FB003BB" w14:textId="77777777" w:rsidR="002E5F35" w:rsidRPr="002C667B" w:rsidRDefault="002E5F35" w:rsidP="002C667B">
            <w:pPr>
              <w:jc w:val="center"/>
              <w:rPr>
                <w:sz w:val="22"/>
                <w:szCs w:val="22"/>
                <w:lang w:val="en-GB"/>
              </w:rPr>
            </w:pPr>
            <w:r w:rsidRPr="002C667B">
              <w:rPr>
                <w:bCs/>
                <w:sz w:val="22"/>
                <w:szCs w:val="22"/>
              </w:rPr>
              <w:t>LU</w:t>
            </w:r>
          </w:p>
        </w:tc>
        <w:tc>
          <w:tcPr>
            <w:tcW w:w="915" w:type="dxa"/>
            <w:shd w:val="clear" w:color="auto" w:fill="FFFF00"/>
            <w:tcMar>
              <w:top w:w="15" w:type="dxa"/>
              <w:left w:w="15" w:type="dxa"/>
              <w:bottom w:w="0" w:type="dxa"/>
              <w:right w:w="15" w:type="dxa"/>
            </w:tcMar>
            <w:vAlign w:val="bottom"/>
            <w:hideMark/>
          </w:tcPr>
          <w:p w14:paraId="7E8C0681" w14:textId="77777777" w:rsidR="002E5F35" w:rsidRPr="002C667B" w:rsidRDefault="002E5F35" w:rsidP="002C667B">
            <w:pPr>
              <w:jc w:val="center"/>
              <w:rPr>
                <w:sz w:val="22"/>
                <w:szCs w:val="22"/>
                <w:lang w:val="en-GB"/>
              </w:rPr>
            </w:pPr>
            <w:r w:rsidRPr="002C667B">
              <w:rPr>
                <w:sz w:val="22"/>
                <w:szCs w:val="22"/>
              </w:rPr>
              <w:t>2.3%</w:t>
            </w:r>
          </w:p>
        </w:tc>
        <w:tc>
          <w:tcPr>
            <w:tcW w:w="915" w:type="dxa"/>
            <w:shd w:val="clear" w:color="auto" w:fill="FFFF00"/>
            <w:tcMar>
              <w:top w:w="15" w:type="dxa"/>
              <w:left w:w="15" w:type="dxa"/>
              <w:bottom w:w="0" w:type="dxa"/>
              <w:right w:w="15" w:type="dxa"/>
            </w:tcMar>
            <w:vAlign w:val="bottom"/>
            <w:hideMark/>
          </w:tcPr>
          <w:p w14:paraId="5CE28071" w14:textId="77777777" w:rsidR="002E5F35" w:rsidRPr="002C667B" w:rsidRDefault="002E5F35" w:rsidP="002C667B">
            <w:pPr>
              <w:jc w:val="center"/>
              <w:rPr>
                <w:sz w:val="22"/>
                <w:szCs w:val="22"/>
                <w:lang w:val="en-GB"/>
              </w:rPr>
            </w:pPr>
            <w:r w:rsidRPr="002C667B">
              <w:rPr>
                <w:sz w:val="22"/>
                <w:szCs w:val="22"/>
              </w:rPr>
              <w:t>0.3%</w:t>
            </w:r>
          </w:p>
        </w:tc>
        <w:tc>
          <w:tcPr>
            <w:tcW w:w="915" w:type="dxa"/>
            <w:shd w:val="clear" w:color="auto" w:fill="FFFF00"/>
            <w:tcMar>
              <w:top w:w="15" w:type="dxa"/>
              <w:left w:w="15" w:type="dxa"/>
              <w:bottom w:w="0" w:type="dxa"/>
              <w:right w:w="15" w:type="dxa"/>
            </w:tcMar>
            <w:vAlign w:val="bottom"/>
            <w:hideMark/>
          </w:tcPr>
          <w:p w14:paraId="7866595F" w14:textId="77777777" w:rsidR="002E5F35" w:rsidRPr="002C667B" w:rsidRDefault="002E5F35" w:rsidP="002C667B">
            <w:pPr>
              <w:jc w:val="center"/>
              <w:rPr>
                <w:sz w:val="22"/>
                <w:szCs w:val="22"/>
                <w:lang w:val="en-GB"/>
              </w:rPr>
            </w:pPr>
            <w:r w:rsidRPr="002C667B">
              <w:rPr>
                <w:sz w:val="22"/>
                <w:szCs w:val="22"/>
              </w:rPr>
              <w:t>0.6%</w:t>
            </w:r>
          </w:p>
        </w:tc>
        <w:tc>
          <w:tcPr>
            <w:tcW w:w="915" w:type="dxa"/>
            <w:shd w:val="clear" w:color="auto" w:fill="auto"/>
          </w:tcPr>
          <w:p w14:paraId="003B741B" w14:textId="15CA2E7D"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097F880D" w14:textId="579B69EC" w:rsidR="002E5F35" w:rsidRPr="002C667B" w:rsidRDefault="002E5F35" w:rsidP="002C667B">
            <w:pPr>
              <w:jc w:val="center"/>
              <w:rPr>
                <w:sz w:val="22"/>
                <w:szCs w:val="22"/>
                <w:lang w:val="en-GB"/>
              </w:rPr>
            </w:pPr>
            <w:r w:rsidRPr="002C667B">
              <w:rPr>
                <w:sz w:val="22"/>
                <w:szCs w:val="22"/>
              </w:rPr>
              <w:t>0.4%</w:t>
            </w:r>
          </w:p>
        </w:tc>
        <w:tc>
          <w:tcPr>
            <w:tcW w:w="916" w:type="dxa"/>
            <w:shd w:val="clear" w:color="auto" w:fill="FFFF00"/>
            <w:tcMar>
              <w:top w:w="15" w:type="dxa"/>
              <w:left w:w="15" w:type="dxa"/>
              <w:bottom w:w="0" w:type="dxa"/>
              <w:right w:w="15" w:type="dxa"/>
            </w:tcMar>
            <w:vAlign w:val="bottom"/>
            <w:hideMark/>
          </w:tcPr>
          <w:p w14:paraId="7C931BFB" w14:textId="77777777" w:rsidR="002E5F35" w:rsidRPr="002C667B" w:rsidRDefault="002E5F35" w:rsidP="002C667B">
            <w:pPr>
              <w:jc w:val="center"/>
              <w:rPr>
                <w:sz w:val="22"/>
                <w:szCs w:val="22"/>
                <w:lang w:val="en-GB"/>
              </w:rPr>
            </w:pPr>
            <w:r w:rsidRPr="002C667B">
              <w:rPr>
                <w:sz w:val="22"/>
                <w:szCs w:val="22"/>
              </w:rPr>
              <w:t>0.2%</w:t>
            </w:r>
          </w:p>
        </w:tc>
        <w:tc>
          <w:tcPr>
            <w:tcW w:w="1245" w:type="dxa"/>
            <w:shd w:val="clear" w:color="auto" w:fill="FFFF00"/>
            <w:tcMar>
              <w:top w:w="15" w:type="dxa"/>
              <w:left w:w="15" w:type="dxa"/>
              <w:bottom w:w="0" w:type="dxa"/>
              <w:right w:w="15" w:type="dxa"/>
            </w:tcMar>
            <w:vAlign w:val="bottom"/>
            <w:hideMark/>
          </w:tcPr>
          <w:p w14:paraId="32A57468" w14:textId="77777777" w:rsidR="002E5F35" w:rsidRPr="002C667B" w:rsidRDefault="002E5F35" w:rsidP="002C667B">
            <w:pPr>
              <w:jc w:val="center"/>
              <w:rPr>
                <w:sz w:val="22"/>
                <w:szCs w:val="22"/>
                <w:lang w:val="en-GB"/>
              </w:rPr>
            </w:pPr>
            <w:r w:rsidRPr="002C667B">
              <w:rPr>
                <w:sz w:val="22"/>
                <w:szCs w:val="22"/>
              </w:rPr>
              <w:t>1.5%</w:t>
            </w:r>
          </w:p>
        </w:tc>
      </w:tr>
      <w:tr w:rsidR="002E5F35" w:rsidRPr="002C667B" w14:paraId="4C584B7B" w14:textId="64435237" w:rsidTr="00032263">
        <w:trPr>
          <w:trHeight w:val="224"/>
        </w:trPr>
        <w:tc>
          <w:tcPr>
            <w:tcW w:w="1409" w:type="dxa"/>
            <w:shd w:val="clear" w:color="auto" w:fill="auto"/>
            <w:tcMar>
              <w:top w:w="15" w:type="dxa"/>
              <w:left w:w="15" w:type="dxa"/>
              <w:bottom w:w="0" w:type="dxa"/>
              <w:right w:w="15" w:type="dxa"/>
            </w:tcMar>
            <w:vAlign w:val="bottom"/>
            <w:hideMark/>
          </w:tcPr>
          <w:p w14:paraId="1F0CBFA6" w14:textId="77777777" w:rsidR="002E5F35" w:rsidRPr="002C667B" w:rsidRDefault="002E5F35" w:rsidP="002C667B">
            <w:pPr>
              <w:jc w:val="center"/>
              <w:rPr>
                <w:sz w:val="22"/>
                <w:szCs w:val="22"/>
                <w:lang w:val="en-GB"/>
              </w:rPr>
            </w:pPr>
            <w:r w:rsidRPr="002C667B">
              <w:rPr>
                <w:bCs/>
                <w:sz w:val="22"/>
                <w:szCs w:val="22"/>
              </w:rPr>
              <w:t>LV</w:t>
            </w:r>
          </w:p>
        </w:tc>
        <w:tc>
          <w:tcPr>
            <w:tcW w:w="915" w:type="dxa"/>
            <w:shd w:val="clear" w:color="auto" w:fill="FFFF00"/>
            <w:tcMar>
              <w:top w:w="15" w:type="dxa"/>
              <w:left w:w="15" w:type="dxa"/>
              <w:bottom w:w="0" w:type="dxa"/>
              <w:right w:w="15" w:type="dxa"/>
            </w:tcMar>
            <w:vAlign w:val="bottom"/>
            <w:hideMark/>
          </w:tcPr>
          <w:p w14:paraId="47210B03" w14:textId="77777777" w:rsidR="002E5F35" w:rsidRPr="002C667B" w:rsidRDefault="002E5F35" w:rsidP="002C667B">
            <w:pPr>
              <w:jc w:val="center"/>
              <w:rPr>
                <w:sz w:val="22"/>
                <w:szCs w:val="22"/>
                <w:lang w:val="en-GB"/>
              </w:rPr>
            </w:pPr>
            <w:r w:rsidRPr="002C667B">
              <w:rPr>
                <w:sz w:val="22"/>
                <w:szCs w:val="22"/>
              </w:rPr>
              <w:t>0.8%</w:t>
            </w:r>
          </w:p>
        </w:tc>
        <w:tc>
          <w:tcPr>
            <w:tcW w:w="915" w:type="dxa"/>
            <w:shd w:val="clear" w:color="auto" w:fill="FFFF00"/>
            <w:tcMar>
              <w:top w:w="15" w:type="dxa"/>
              <w:left w:w="15" w:type="dxa"/>
              <w:bottom w:w="0" w:type="dxa"/>
              <w:right w:w="15" w:type="dxa"/>
            </w:tcMar>
            <w:vAlign w:val="bottom"/>
            <w:hideMark/>
          </w:tcPr>
          <w:p w14:paraId="59B04569" w14:textId="77777777" w:rsidR="002E5F35" w:rsidRPr="002C667B" w:rsidRDefault="002E5F35" w:rsidP="002C667B">
            <w:pPr>
              <w:jc w:val="center"/>
              <w:rPr>
                <w:sz w:val="22"/>
                <w:szCs w:val="22"/>
                <w:lang w:val="en-GB"/>
              </w:rPr>
            </w:pPr>
            <w:r w:rsidRPr="002C667B">
              <w:rPr>
                <w:sz w:val="22"/>
                <w:szCs w:val="22"/>
              </w:rPr>
              <w:t>2.2%</w:t>
            </w:r>
          </w:p>
        </w:tc>
        <w:tc>
          <w:tcPr>
            <w:tcW w:w="915" w:type="dxa"/>
            <w:shd w:val="clear" w:color="auto" w:fill="92D050"/>
            <w:tcMar>
              <w:top w:w="15" w:type="dxa"/>
              <w:left w:w="15" w:type="dxa"/>
              <w:bottom w:w="0" w:type="dxa"/>
              <w:right w:w="15" w:type="dxa"/>
            </w:tcMar>
            <w:vAlign w:val="bottom"/>
            <w:hideMark/>
          </w:tcPr>
          <w:p w14:paraId="5A63A662" w14:textId="77777777" w:rsidR="002E5F35" w:rsidRPr="002C667B" w:rsidRDefault="002E5F35" w:rsidP="002C667B">
            <w:pPr>
              <w:jc w:val="center"/>
              <w:rPr>
                <w:sz w:val="22"/>
                <w:szCs w:val="22"/>
                <w:lang w:val="en-GB"/>
              </w:rPr>
            </w:pPr>
            <w:r w:rsidRPr="002C667B">
              <w:rPr>
                <w:sz w:val="22"/>
                <w:szCs w:val="22"/>
              </w:rPr>
              <w:t>3.7%</w:t>
            </w:r>
          </w:p>
        </w:tc>
        <w:tc>
          <w:tcPr>
            <w:tcW w:w="915" w:type="dxa"/>
            <w:shd w:val="clear" w:color="auto" w:fill="92D050"/>
          </w:tcPr>
          <w:p w14:paraId="0AD3A4F7" w14:textId="6D950D37" w:rsidR="002E5F35" w:rsidRPr="002C667B" w:rsidRDefault="002607F3" w:rsidP="002C667B">
            <w:pPr>
              <w:jc w:val="center"/>
              <w:rPr>
                <w:sz w:val="22"/>
                <w:szCs w:val="22"/>
              </w:rPr>
            </w:pPr>
            <w:r>
              <w:rPr>
                <w:sz w:val="22"/>
                <w:szCs w:val="22"/>
              </w:rPr>
              <w:t>4.6%</w:t>
            </w:r>
          </w:p>
        </w:tc>
        <w:tc>
          <w:tcPr>
            <w:tcW w:w="915" w:type="dxa"/>
            <w:shd w:val="clear" w:color="auto" w:fill="00B0F0"/>
            <w:tcMar>
              <w:top w:w="15" w:type="dxa"/>
              <w:left w:w="15" w:type="dxa"/>
              <w:bottom w:w="0" w:type="dxa"/>
              <w:right w:w="15" w:type="dxa"/>
            </w:tcMar>
            <w:vAlign w:val="bottom"/>
            <w:hideMark/>
          </w:tcPr>
          <w:p w14:paraId="3BF2E441" w14:textId="03E1DC78" w:rsidR="002E5F35" w:rsidRPr="002C667B" w:rsidRDefault="002E5F35" w:rsidP="002C667B">
            <w:pPr>
              <w:jc w:val="center"/>
              <w:rPr>
                <w:sz w:val="22"/>
                <w:szCs w:val="22"/>
                <w:lang w:val="en-GB"/>
              </w:rPr>
            </w:pPr>
            <w:r w:rsidRPr="002C667B">
              <w:rPr>
                <w:sz w:val="22"/>
                <w:szCs w:val="22"/>
              </w:rPr>
              <w:t>37.3%</w:t>
            </w:r>
          </w:p>
        </w:tc>
        <w:tc>
          <w:tcPr>
            <w:tcW w:w="916" w:type="dxa"/>
            <w:shd w:val="clear" w:color="auto" w:fill="00B0F0"/>
            <w:tcMar>
              <w:top w:w="15" w:type="dxa"/>
              <w:left w:w="15" w:type="dxa"/>
              <w:bottom w:w="0" w:type="dxa"/>
              <w:right w:w="15" w:type="dxa"/>
            </w:tcMar>
            <w:vAlign w:val="bottom"/>
            <w:hideMark/>
          </w:tcPr>
          <w:p w14:paraId="702B659B" w14:textId="77777777" w:rsidR="002E5F35" w:rsidRPr="002C667B" w:rsidRDefault="002E5F35" w:rsidP="002C667B">
            <w:pPr>
              <w:jc w:val="center"/>
              <w:rPr>
                <w:sz w:val="22"/>
                <w:szCs w:val="22"/>
                <w:lang w:val="en-GB"/>
              </w:rPr>
            </w:pPr>
            <w:r w:rsidRPr="002C667B">
              <w:rPr>
                <w:sz w:val="22"/>
                <w:szCs w:val="22"/>
              </w:rPr>
              <w:t>9.6%</w:t>
            </w:r>
          </w:p>
        </w:tc>
        <w:tc>
          <w:tcPr>
            <w:tcW w:w="1245" w:type="dxa"/>
            <w:shd w:val="clear" w:color="auto" w:fill="FFFF00"/>
            <w:tcMar>
              <w:top w:w="15" w:type="dxa"/>
              <w:left w:w="15" w:type="dxa"/>
              <w:bottom w:w="0" w:type="dxa"/>
              <w:right w:w="15" w:type="dxa"/>
            </w:tcMar>
            <w:vAlign w:val="bottom"/>
            <w:hideMark/>
          </w:tcPr>
          <w:p w14:paraId="4BE5DCE6" w14:textId="77777777" w:rsidR="002E5F35" w:rsidRPr="002C667B" w:rsidRDefault="002E5F35" w:rsidP="002C667B">
            <w:pPr>
              <w:jc w:val="center"/>
              <w:rPr>
                <w:sz w:val="22"/>
                <w:szCs w:val="22"/>
                <w:lang w:val="en-GB"/>
              </w:rPr>
            </w:pPr>
            <w:r w:rsidRPr="002C667B">
              <w:rPr>
                <w:sz w:val="22"/>
                <w:szCs w:val="22"/>
              </w:rPr>
              <w:t>0.9%</w:t>
            </w:r>
          </w:p>
        </w:tc>
      </w:tr>
      <w:tr w:rsidR="002E5F35" w:rsidRPr="002C667B" w14:paraId="25129DD8" w14:textId="2EC47A08" w:rsidTr="00032263">
        <w:trPr>
          <w:trHeight w:val="224"/>
        </w:trPr>
        <w:tc>
          <w:tcPr>
            <w:tcW w:w="1409" w:type="dxa"/>
            <w:shd w:val="clear" w:color="auto" w:fill="auto"/>
            <w:tcMar>
              <w:top w:w="15" w:type="dxa"/>
              <w:left w:w="15" w:type="dxa"/>
              <w:bottom w:w="0" w:type="dxa"/>
              <w:right w:w="15" w:type="dxa"/>
            </w:tcMar>
            <w:vAlign w:val="bottom"/>
            <w:hideMark/>
          </w:tcPr>
          <w:p w14:paraId="7254850C" w14:textId="77777777" w:rsidR="002E5F35" w:rsidRPr="002C667B" w:rsidRDefault="002E5F35" w:rsidP="002C667B">
            <w:pPr>
              <w:jc w:val="center"/>
              <w:rPr>
                <w:sz w:val="22"/>
                <w:szCs w:val="22"/>
                <w:lang w:val="en-GB"/>
              </w:rPr>
            </w:pPr>
            <w:r w:rsidRPr="002C667B">
              <w:rPr>
                <w:bCs/>
                <w:sz w:val="22"/>
                <w:szCs w:val="22"/>
              </w:rPr>
              <w:t>NL</w:t>
            </w:r>
          </w:p>
        </w:tc>
        <w:tc>
          <w:tcPr>
            <w:tcW w:w="915" w:type="dxa"/>
            <w:shd w:val="clear" w:color="auto" w:fill="00B0F0"/>
            <w:tcMar>
              <w:top w:w="15" w:type="dxa"/>
              <w:left w:w="15" w:type="dxa"/>
              <w:bottom w:w="0" w:type="dxa"/>
              <w:right w:w="15" w:type="dxa"/>
            </w:tcMar>
            <w:vAlign w:val="bottom"/>
            <w:hideMark/>
          </w:tcPr>
          <w:p w14:paraId="2F81159F" w14:textId="77777777" w:rsidR="002E5F35" w:rsidRPr="002C667B" w:rsidRDefault="002E5F35" w:rsidP="002C667B">
            <w:pPr>
              <w:jc w:val="center"/>
              <w:rPr>
                <w:sz w:val="22"/>
                <w:szCs w:val="22"/>
                <w:lang w:val="en-GB"/>
              </w:rPr>
            </w:pPr>
            <w:r w:rsidRPr="002C667B">
              <w:rPr>
                <w:sz w:val="22"/>
                <w:szCs w:val="22"/>
              </w:rPr>
              <w:t>39.6%</w:t>
            </w:r>
          </w:p>
        </w:tc>
        <w:tc>
          <w:tcPr>
            <w:tcW w:w="915" w:type="dxa"/>
            <w:shd w:val="clear" w:color="auto" w:fill="92D050"/>
            <w:tcMar>
              <w:top w:w="15" w:type="dxa"/>
              <w:left w:w="15" w:type="dxa"/>
              <w:bottom w:w="0" w:type="dxa"/>
              <w:right w:w="15" w:type="dxa"/>
            </w:tcMar>
            <w:vAlign w:val="bottom"/>
            <w:hideMark/>
          </w:tcPr>
          <w:p w14:paraId="06273CC6" w14:textId="77777777" w:rsidR="002E5F35" w:rsidRPr="002C667B" w:rsidRDefault="002E5F35" w:rsidP="002C667B">
            <w:pPr>
              <w:jc w:val="center"/>
              <w:rPr>
                <w:sz w:val="22"/>
                <w:szCs w:val="22"/>
                <w:lang w:val="en-GB"/>
              </w:rPr>
            </w:pPr>
            <w:r w:rsidRPr="002C667B">
              <w:rPr>
                <w:sz w:val="22"/>
                <w:szCs w:val="22"/>
              </w:rPr>
              <w:t>10.8%</w:t>
            </w:r>
          </w:p>
        </w:tc>
        <w:tc>
          <w:tcPr>
            <w:tcW w:w="915" w:type="dxa"/>
            <w:shd w:val="clear" w:color="auto" w:fill="92D050"/>
            <w:tcMar>
              <w:top w:w="15" w:type="dxa"/>
              <w:left w:w="15" w:type="dxa"/>
              <w:bottom w:w="0" w:type="dxa"/>
              <w:right w:w="15" w:type="dxa"/>
            </w:tcMar>
            <w:vAlign w:val="bottom"/>
            <w:hideMark/>
          </w:tcPr>
          <w:p w14:paraId="2A531A66" w14:textId="77777777" w:rsidR="002E5F35" w:rsidRPr="002C667B" w:rsidRDefault="002E5F35" w:rsidP="002C667B">
            <w:pPr>
              <w:jc w:val="center"/>
              <w:rPr>
                <w:sz w:val="22"/>
                <w:szCs w:val="22"/>
                <w:lang w:val="en-GB"/>
              </w:rPr>
            </w:pPr>
            <w:r w:rsidRPr="002C667B">
              <w:rPr>
                <w:sz w:val="22"/>
                <w:szCs w:val="22"/>
              </w:rPr>
              <w:t>10.3%</w:t>
            </w:r>
          </w:p>
        </w:tc>
        <w:tc>
          <w:tcPr>
            <w:tcW w:w="915" w:type="dxa"/>
            <w:shd w:val="clear" w:color="auto" w:fill="92D050"/>
          </w:tcPr>
          <w:p w14:paraId="7A598EC3" w14:textId="0A28DF95" w:rsidR="002E5F35" w:rsidRPr="002C667B" w:rsidRDefault="002607F3" w:rsidP="002C667B">
            <w:pPr>
              <w:jc w:val="center"/>
              <w:rPr>
                <w:sz w:val="22"/>
                <w:szCs w:val="22"/>
              </w:rPr>
            </w:pPr>
            <w:r>
              <w:rPr>
                <w:sz w:val="22"/>
                <w:szCs w:val="22"/>
              </w:rPr>
              <w:t>5.6%</w:t>
            </w:r>
          </w:p>
        </w:tc>
        <w:tc>
          <w:tcPr>
            <w:tcW w:w="915" w:type="dxa"/>
            <w:shd w:val="clear" w:color="auto" w:fill="FFFF00"/>
            <w:tcMar>
              <w:top w:w="15" w:type="dxa"/>
              <w:left w:w="15" w:type="dxa"/>
              <w:bottom w:w="0" w:type="dxa"/>
              <w:right w:w="15" w:type="dxa"/>
            </w:tcMar>
            <w:vAlign w:val="bottom"/>
            <w:hideMark/>
          </w:tcPr>
          <w:p w14:paraId="512883CF" w14:textId="746C5082" w:rsidR="002E5F35" w:rsidRPr="002C667B" w:rsidRDefault="002E5F35" w:rsidP="002C667B">
            <w:pPr>
              <w:jc w:val="center"/>
              <w:rPr>
                <w:sz w:val="22"/>
                <w:szCs w:val="22"/>
                <w:lang w:val="en-GB"/>
              </w:rPr>
            </w:pPr>
            <w:r w:rsidRPr="002C667B">
              <w:rPr>
                <w:sz w:val="22"/>
                <w:szCs w:val="22"/>
              </w:rPr>
              <w:t>0.9%</w:t>
            </w:r>
          </w:p>
        </w:tc>
        <w:tc>
          <w:tcPr>
            <w:tcW w:w="916" w:type="dxa"/>
            <w:shd w:val="clear" w:color="auto" w:fill="92D050"/>
            <w:tcMar>
              <w:top w:w="15" w:type="dxa"/>
              <w:left w:w="15" w:type="dxa"/>
              <w:bottom w:w="0" w:type="dxa"/>
              <w:right w:w="15" w:type="dxa"/>
            </w:tcMar>
            <w:vAlign w:val="bottom"/>
            <w:hideMark/>
          </w:tcPr>
          <w:p w14:paraId="1A55845A" w14:textId="77777777" w:rsidR="002E5F35" w:rsidRPr="002C667B" w:rsidRDefault="002E5F35" w:rsidP="002C667B">
            <w:pPr>
              <w:jc w:val="center"/>
              <w:rPr>
                <w:sz w:val="22"/>
                <w:szCs w:val="22"/>
                <w:lang w:val="en-GB"/>
              </w:rPr>
            </w:pPr>
            <w:r w:rsidRPr="002C667B">
              <w:rPr>
                <w:sz w:val="22"/>
                <w:szCs w:val="22"/>
              </w:rPr>
              <w:t>4.8%</w:t>
            </w:r>
          </w:p>
        </w:tc>
        <w:tc>
          <w:tcPr>
            <w:tcW w:w="1245" w:type="dxa"/>
            <w:shd w:val="clear" w:color="auto" w:fill="92D050"/>
            <w:tcMar>
              <w:top w:w="15" w:type="dxa"/>
              <w:left w:w="15" w:type="dxa"/>
              <w:bottom w:w="0" w:type="dxa"/>
              <w:right w:w="15" w:type="dxa"/>
            </w:tcMar>
            <w:vAlign w:val="bottom"/>
            <w:hideMark/>
          </w:tcPr>
          <w:p w14:paraId="5DC3369A" w14:textId="77777777" w:rsidR="002E5F35" w:rsidRPr="002C667B" w:rsidRDefault="002E5F35" w:rsidP="002C667B">
            <w:pPr>
              <w:jc w:val="center"/>
              <w:rPr>
                <w:sz w:val="22"/>
                <w:szCs w:val="22"/>
                <w:lang w:val="en-GB"/>
              </w:rPr>
            </w:pPr>
            <w:r w:rsidRPr="002C667B">
              <w:rPr>
                <w:sz w:val="22"/>
                <w:szCs w:val="22"/>
              </w:rPr>
              <w:t>9.1%</w:t>
            </w:r>
          </w:p>
        </w:tc>
      </w:tr>
      <w:tr w:rsidR="002E5F35" w:rsidRPr="002C667B" w14:paraId="43FBB21B" w14:textId="4D0C08FA" w:rsidTr="002607F3">
        <w:trPr>
          <w:trHeight w:val="224"/>
        </w:trPr>
        <w:tc>
          <w:tcPr>
            <w:tcW w:w="1409" w:type="dxa"/>
            <w:shd w:val="clear" w:color="auto" w:fill="auto"/>
            <w:tcMar>
              <w:top w:w="15" w:type="dxa"/>
              <w:left w:w="15" w:type="dxa"/>
              <w:bottom w:w="0" w:type="dxa"/>
              <w:right w:w="15" w:type="dxa"/>
            </w:tcMar>
            <w:vAlign w:val="bottom"/>
            <w:hideMark/>
          </w:tcPr>
          <w:p w14:paraId="563E3086" w14:textId="77777777" w:rsidR="002E5F35" w:rsidRPr="002C667B" w:rsidRDefault="002E5F35" w:rsidP="002C667B">
            <w:pPr>
              <w:jc w:val="center"/>
              <w:rPr>
                <w:sz w:val="22"/>
                <w:szCs w:val="22"/>
                <w:lang w:val="en-GB"/>
              </w:rPr>
            </w:pPr>
            <w:r w:rsidRPr="002C667B">
              <w:rPr>
                <w:bCs/>
                <w:sz w:val="22"/>
                <w:szCs w:val="22"/>
              </w:rPr>
              <w:t>NO</w:t>
            </w:r>
          </w:p>
        </w:tc>
        <w:tc>
          <w:tcPr>
            <w:tcW w:w="915" w:type="dxa"/>
            <w:shd w:val="clear" w:color="auto" w:fill="FFFF00"/>
            <w:tcMar>
              <w:top w:w="15" w:type="dxa"/>
              <w:left w:w="15" w:type="dxa"/>
              <w:bottom w:w="0" w:type="dxa"/>
              <w:right w:w="15" w:type="dxa"/>
            </w:tcMar>
            <w:vAlign w:val="bottom"/>
            <w:hideMark/>
          </w:tcPr>
          <w:p w14:paraId="2AD86257"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4A417F64"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4DC10CB9"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auto"/>
          </w:tcPr>
          <w:p w14:paraId="5A641462" w14:textId="08661EAC"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0211F68B" w14:textId="58C6B6EA" w:rsidR="002E5F35" w:rsidRPr="002C667B" w:rsidRDefault="002E5F35" w:rsidP="002C667B">
            <w:pPr>
              <w:jc w:val="center"/>
              <w:rPr>
                <w:sz w:val="22"/>
                <w:szCs w:val="22"/>
                <w:lang w:val="en-GB"/>
              </w:rPr>
            </w:pPr>
            <w:r w:rsidRPr="002C667B">
              <w:rPr>
                <w:sz w:val="22"/>
                <w:szCs w:val="22"/>
              </w:rPr>
              <w:t>0.0%</w:t>
            </w:r>
          </w:p>
        </w:tc>
        <w:tc>
          <w:tcPr>
            <w:tcW w:w="916" w:type="dxa"/>
            <w:shd w:val="clear" w:color="auto" w:fill="auto"/>
            <w:tcMar>
              <w:top w:w="15" w:type="dxa"/>
              <w:left w:w="15" w:type="dxa"/>
              <w:bottom w:w="0" w:type="dxa"/>
              <w:right w:w="15" w:type="dxa"/>
            </w:tcMar>
            <w:vAlign w:val="bottom"/>
            <w:hideMark/>
          </w:tcPr>
          <w:p w14:paraId="062BE41A"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auto"/>
            <w:tcMar>
              <w:top w:w="15" w:type="dxa"/>
              <w:left w:w="15" w:type="dxa"/>
              <w:bottom w:w="0" w:type="dxa"/>
              <w:right w:w="15" w:type="dxa"/>
            </w:tcMar>
            <w:vAlign w:val="bottom"/>
            <w:hideMark/>
          </w:tcPr>
          <w:p w14:paraId="5CDA765D" w14:textId="77777777" w:rsidR="002E5F35" w:rsidRPr="002C667B" w:rsidRDefault="002E5F35" w:rsidP="002C667B">
            <w:pPr>
              <w:jc w:val="center"/>
              <w:rPr>
                <w:sz w:val="22"/>
                <w:szCs w:val="22"/>
                <w:lang w:val="en-GB"/>
              </w:rPr>
            </w:pPr>
            <w:r w:rsidRPr="002C667B">
              <w:rPr>
                <w:sz w:val="22"/>
                <w:szCs w:val="22"/>
              </w:rPr>
              <w:t>0.0%</w:t>
            </w:r>
          </w:p>
        </w:tc>
      </w:tr>
      <w:tr w:rsidR="002E5F35" w:rsidRPr="002C667B" w14:paraId="4B8A11D3" w14:textId="4F425F10" w:rsidTr="002607F3">
        <w:trPr>
          <w:trHeight w:val="224"/>
        </w:trPr>
        <w:tc>
          <w:tcPr>
            <w:tcW w:w="1409" w:type="dxa"/>
            <w:shd w:val="clear" w:color="auto" w:fill="auto"/>
            <w:tcMar>
              <w:top w:w="15" w:type="dxa"/>
              <w:left w:w="15" w:type="dxa"/>
              <w:bottom w:w="0" w:type="dxa"/>
              <w:right w:w="15" w:type="dxa"/>
            </w:tcMar>
            <w:vAlign w:val="bottom"/>
            <w:hideMark/>
          </w:tcPr>
          <w:p w14:paraId="29EC88AE" w14:textId="77777777" w:rsidR="002E5F35" w:rsidRPr="002C667B" w:rsidRDefault="002E5F35" w:rsidP="002C667B">
            <w:pPr>
              <w:jc w:val="center"/>
              <w:rPr>
                <w:sz w:val="22"/>
                <w:szCs w:val="22"/>
                <w:lang w:val="en-GB"/>
              </w:rPr>
            </w:pPr>
            <w:r w:rsidRPr="002C667B">
              <w:rPr>
                <w:bCs/>
                <w:sz w:val="22"/>
                <w:szCs w:val="22"/>
              </w:rPr>
              <w:t>NZ</w:t>
            </w:r>
          </w:p>
        </w:tc>
        <w:tc>
          <w:tcPr>
            <w:tcW w:w="915" w:type="dxa"/>
            <w:shd w:val="clear" w:color="auto" w:fill="auto"/>
            <w:tcMar>
              <w:top w:w="15" w:type="dxa"/>
              <w:left w:w="15" w:type="dxa"/>
              <w:bottom w:w="0" w:type="dxa"/>
              <w:right w:w="15" w:type="dxa"/>
            </w:tcMar>
            <w:vAlign w:val="bottom"/>
            <w:hideMark/>
          </w:tcPr>
          <w:p w14:paraId="72445100" w14:textId="77777777" w:rsidR="002E5F35" w:rsidRPr="002C667B" w:rsidRDefault="002E5F35" w:rsidP="002C667B">
            <w:pPr>
              <w:jc w:val="center"/>
              <w:rPr>
                <w:sz w:val="22"/>
                <w:szCs w:val="22"/>
                <w:lang w:val="en-GB"/>
              </w:rPr>
            </w:pPr>
            <w:r w:rsidRPr="002C667B">
              <w:rPr>
                <w:sz w:val="22"/>
                <w:szCs w:val="22"/>
              </w:rPr>
              <w:t>0.0%</w:t>
            </w:r>
          </w:p>
        </w:tc>
        <w:tc>
          <w:tcPr>
            <w:tcW w:w="915" w:type="dxa"/>
            <w:shd w:val="clear" w:color="auto" w:fill="auto"/>
            <w:tcMar>
              <w:top w:w="15" w:type="dxa"/>
              <w:left w:w="15" w:type="dxa"/>
              <w:bottom w:w="0" w:type="dxa"/>
              <w:right w:w="15" w:type="dxa"/>
            </w:tcMar>
            <w:vAlign w:val="bottom"/>
            <w:hideMark/>
          </w:tcPr>
          <w:p w14:paraId="41E46C61" w14:textId="77777777" w:rsidR="002E5F35" w:rsidRPr="002C667B" w:rsidRDefault="002E5F35" w:rsidP="002C667B">
            <w:pPr>
              <w:jc w:val="center"/>
              <w:rPr>
                <w:sz w:val="22"/>
                <w:szCs w:val="22"/>
                <w:lang w:val="en-GB"/>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731E96FB" w14:textId="77777777" w:rsidR="002E5F35" w:rsidRPr="002C667B" w:rsidRDefault="002E5F35" w:rsidP="002C667B">
            <w:pPr>
              <w:jc w:val="center"/>
              <w:rPr>
                <w:sz w:val="22"/>
                <w:szCs w:val="22"/>
                <w:lang w:val="en-GB"/>
              </w:rPr>
            </w:pPr>
            <w:r w:rsidRPr="002C667B">
              <w:rPr>
                <w:sz w:val="22"/>
                <w:szCs w:val="22"/>
              </w:rPr>
              <w:t>0.5%</w:t>
            </w:r>
          </w:p>
        </w:tc>
        <w:tc>
          <w:tcPr>
            <w:tcW w:w="915" w:type="dxa"/>
            <w:shd w:val="clear" w:color="auto" w:fill="auto"/>
          </w:tcPr>
          <w:p w14:paraId="562A676A" w14:textId="50B354DF" w:rsidR="002E5F35" w:rsidRPr="002C667B" w:rsidRDefault="002607F3" w:rsidP="002C667B">
            <w:pPr>
              <w:jc w:val="center"/>
              <w:rPr>
                <w:sz w:val="22"/>
                <w:szCs w:val="22"/>
              </w:rPr>
            </w:pPr>
            <w:r w:rsidRPr="002C667B">
              <w:rPr>
                <w:sz w:val="22"/>
                <w:szCs w:val="22"/>
              </w:rPr>
              <w:t>0.0%</w:t>
            </w:r>
          </w:p>
        </w:tc>
        <w:tc>
          <w:tcPr>
            <w:tcW w:w="915" w:type="dxa"/>
            <w:shd w:val="clear" w:color="auto" w:fill="auto"/>
            <w:tcMar>
              <w:top w:w="15" w:type="dxa"/>
              <w:left w:w="15" w:type="dxa"/>
              <w:bottom w:w="0" w:type="dxa"/>
              <w:right w:w="15" w:type="dxa"/>
            </w:tcMar>
            <w:vAlign w:val="bottom"/>
            <w:hideMark/>
          </w:tcPr>
          <w:p w14:paraId="779321E7" w14:textId="4C6EEA96" w:rsidR="002E5F35" w:rsidRPr="002C667B" w:rsidRDefault="002E5F35" w:rsidP="002C667B">
            <w:pPr>
              <w:jc w:val="center"/>
              <w:rPr>
                <w:sz w:val="22"/>
                <w:szCs w:val="22"/>
                <w:lang w:val="en-GB"/>
              </w:rPr>
            </w:pPr>
            <w:r w:rsidRPr="002C667B">
              <w:rPr>
                <w:sz w:val="22"/>
                <w:szCs w:val="22"/>
              </w:rPr>
              <w:t>0.0%</w:t>
            </w:r>
          </w:p>
        </w:tc>
        <w:tc>
          <w:tcPr>
            <w:tcW w:w="916" w:type="dxa"/>
            <w:shd w:val="clear" w:color="auto" w:fill="auto"/>
            <w:tcMar>
              <w:top w:w="15" w:type="dxa"/>
              <w:left w:w="15" w:type="dxa"/>
              <w:bottom w:w="0" w:type="dxa"/>
              <w:right w:w="15" w:type="dxa"/>
            </w:tcMar>
            <w:vAlign w:val="bottom"/>
            <w:hideMark/>
          </w:tcPr>
          <w:p w14:paraId="62888B89"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FFFF00"/>
            <w:tcMar>
              <w:top w:w="15" w:type="dxa"/>
              <w:left w:w="15" w:type="dxa"/>
              <w:bottom w:w="0" w:type="dxa"/>
              <w:right w:w="15" w:type="dxa"/>
            </w:tcMar>
            <w:vAlign w:val="bottom"/>
            <w:hideMark/>
          </w:tcPr>
          <w:p w14:paraId="2B5DE0E9" w14:textId="77777777" w:rsidR="002E5F35" w:rsidRPr="002C667B" w:rsidRDefault="002E5F35" w:rsidP="002C667B">
            <w:pPr>
              <w:jc w:val="center"/>
              <w:rPr>
                <w:sz w:val="22"/>
                <w:szCs w:val="22"/>
                <w:lang w:val="en-GB"/>
              </w:rPr>
            </w:pPr>
            <w:r w:rsidRPr="002C667B">
              <w:rPr>
                <w:sz w:val="22"/>
                <w:szCs w:val="22"/>
              </w:rPr>
              <w:t>1.6%</w:t>
            </w:r>
          </w:p>
        </w:tc>
      </w:tr>
      <w:tr w:rsidR="002E5F35" w:rsidRPr="002C667B" w14:paraId="7F74D2BF" w14:textId="4FAB0DF1" w:rsidTr="002607F3">
        <w:trPr>
          <w:trHeight w:val="224"/>
        </w:trPr>
        <w:tc>
          <w:tcPr>
            <w:tcW w:w="1409" w:type="dxa"/>
            <w:shd w:val="clear" w:color="auto" w:fill="auto"/>
            <w:tcMar>
              <w:top w:w="15" w:type="dxa"/>
              <w:left w:w="15" w:type="dxa"/>
              <w:bottom w:w="0" w:type="dxa"/>
              <w:right w:w="15" w:type="dxa"/>
            </w:tcMar>
            <w:vAlign w:val="bottom"/>
            <w:hideMark/>
          </w:tcPr>
          <w:p w14:paraId="0ADABAED" w14:textId="77777777" w:rsidR="002E5F35" w:rsidRPr="002C667B" w:rsidRDefault="002E5F35" w:rsidP="002C667B">
            <w:pPr>
              <w:jc w:val="center"/>
              <w:rPr>
                <w:sz w:val="22"/>
                <w:szCs w:val="22"/>
                <w:lang w:val="en-GB"/>
              </w:rPr>
            </w:pPr>
            <w:r w:rsidRPr="002C667B">
              <w:rPr>
                <w:bCs/>
                <w:sz w:val="22"/>
                <w:szCs w:val="22"/>
              </w:rPr>
              <w:t>PL</w:t>
            </w:r>
          </w:p>
        </w:tc>
        <w:tc>
          <w:tcPr>
            <w:tcW w:w="915" w:type="dxa"/>
            <w:shd w:val="clear" w:color="auto" w:fill="FFFF00"/>
            <w:tcMar>
              <w:top w:w="15" w:type="dxa"/>
              <w:left w:w="15" w:type="dxa"/>
              <w:bottom w:w="0" w:type="dxa"/>
              <w:right w:w="15" w:type="dxa"/>
            </w:tcMar>
            <w:vAlign w:val="bottom"/>
            <w:hideMark/>
          </w:tcPr>
          <w:p w14:paraId="0441BF76"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695ACF88" w14:textId="77777777" w:rsidR="002E5F35" w:rsidRPr="002C667B" w:rsidRDefault="002E5F35" w:rsidP="002C667B">
            <w:pPr>
              <w:jc w:val="center"/>
              <w:rPr>
                <w:sz w:val="22"/>
                <w:szCs w:val="22"/>
                <w:lang w:val="en-GB"/>
              </w:rPr>
            </w:pPr>
            <w:r w:rsidRPr="002C667B">
              <w:rPr>
                <w:sz w:val="22"/>
                <w:szCs w:val="22"/>
              </w:rPr>
              <w:t>1.0%</w:t>
            </w:r>
          </w:p>
        </w:tc>
        <w:tc>
          <w:tcPr>
            <w:tcW w:w="915" w:type="dxa"/>
            <w:shd w:val="clear" w:color="auto" w:fill="FFFF00"/>
            <w:tcMar>
              <w:top w:w="15" w:type="dxa"/>
              <w:left w:w="15" w:type="dxa"/>
              <w:bottom w:w="0" w:type="dxa"/>
              <w:right w:w="15" w:type="dxa"/>
            </w:tcMar>
            <w:vAlign w:val="bottom"/>
            <w:hideMark/>
          </w:tcPr>
          <w:p w14:paraId="5BD8810D" w14:textId="77777777" w:rsidR="002E5F35" w:rsidRPr="002C667B" w:rsidRDefault="002E5F35" w:rsidP="002C667B">
            <w:pPr>
              <w:jc w:val="center"/>
              <w:rPr>
                <w:sz w:val="22"/>
                <w:szCs w:val="22"/>
                <w:lang w:val="en-GB"/>
              </w:rPr>
            </w:pPr>
            <w:r w:rsidRPr="002C667B">
              <w:rPr>
                <w:sz w:val="22"/>
                <w:szCs w:val="22"/>
              </w:rPr>
              <w:t>1.7%</w:t>
            </w:r>
          </w:p>
        </w:tc>
        <w:tc>
          <w:tcPr>
            <w:tcW w:w="915" w:type="dxa"/>
            <w:shd w:val="clear" w:color="auto" w:fill="FFFF00"/>
          </w:tcPr>
          <w:p w14:paraId="07F065B0" w14:textId="5D16207B" w:rsidR="002E5F35" w:rsidRPr="002C667B" w:rsidRDefault="002607F3" w:rsidP="002C667B">
            <w:pPr>
              <w:jc w:val="center"/>
              <w:rPr>
                <w:sz w:val="22"/>
                <w:szCs w:val="22"/>
              </w:rPr>
            </w:pPr>
            <w:r>
              <w:rPr>
                <w:sz w:val="22"/>
                <w:szCs w:val="22"/>
              </w:rPr>
              <w:t>5.6%</w:t>
            </w:r>
          </w:p>
        </w:tc>
        <w:tc>
          <w:tcPr>
            <w:tcW w:w="915" w:type="dxa"/>
            <w:shd w:val="clear" w:color="auto" w:fill="FFFF00"/>
            <w:tcMar>
              <w:top w:w="15" w:type="dxa"/>
              <w:left w:w="15" w:type="dxa"/>
              <w:bottom w:w="0" w:type="dxa"/>
              <w:right w:w="15" w:type="dxa"/>
            </w:tcMar>
            <w:vAlign w:val="bottom"/>
            <w:hideMark/>
          </w:tcPr>
          <w:p w14:paraId="1BDBB81A" w14:textId="33CE2F11" w:rsidR="002E5F35" w:rsidRPr="002C667B" w:rsidRDefault="002E5F35" w:rsidP="002C667B">
            <w:pPr>
              <w:jc w:val="center"/>
              <w:rPr>
                <w:sz w:val="22"/>
                <w:szCs w:val="22"/>
                <w:lang w:val="en-GB"/>
              </w:rPr>
            </w:pPr>
            <w:r w:rsidRPr="002C667B">
              <w:rPr>
                <w:sz w:val="22"/>
                <w:szCs w:val="22"/>
              </w:rPr>
              <w:t>0.2%</w:t>
            </w:r>
          </w:p>
        </w:tc>
        <w:tc>
          <w:tcPr>
            <w:tcW w:w="916" w:type="dxa"/>
            <w:shd w:val="clear" w:color="auto" w:fill="FFFF00"/>
            <w:tcMar>
              <w:top w:w="15" w:type="dxa"/>
              <w:left w:w="15" w:type="dxa"/>
              <w:bottom w:w="0" w:type="dxa"/>
              <w:right w:w="15" w:type="dxa"/>
            </w:tcMar>
            <w:vAlign w:val="bottom"/>
            <w:hideMark/>
          </w:tcPr>
          <w:p w14:paraId="573271E5" w14:textId="77777777" w:rsidR="002E5F35" w:rsidRPr="002C667B" w:rsidRDefault="002E5F35" w:rsidP="002C667B">
            <w:pPr>
              <w:jc w:val="center"/>
              <w:rPr>
                <w:sz w:val="22"/>
                <w:szCs w:val="22"/>
                <w:lang w:val="en-GB"/>
              </w:rPr>
            </w:pPr>
            <w:r w:rsidRPr="002C667B">
              <w:rPr>
                <w:sz w:val="22"/>
                <w:szCs w:val="22"/>
              </w:rPr>
              <w:t>2.2%</w:t>
            </w:r>
          </w:p>
        </w:tc>
        <w:tc>
          <w:tcPr>
            <w:tcW w:w="1245" w:type="dxa"/>
            <w:shd w:val="clear" w:color="auto" w:fill="FFFF00"/>
            <w:tcMar>
              <w:top w:w="15" w:type="dxa"/>
              <w:left w:w="15" w:type="dxa"/>
              <w:bottom w:w="0" w:type="dxa"/>
              <w:right w:w="15" w:type="dxa"/>
            </w:tcMar>
            <w:vAlign w:val="bottom"/>
            <w:hideMark/>
          </w:tcPr>
          <w:p w14:paraId="45483DBA" w14:textId="77777777" w:rsidR="002E5F35" w:rsidRPr="002C667B" w:rsidRDefault="002E5F35" w:rsidP="002C667B">
            <w:pPr>
              <w:jc w:val="center"/>
              <w:rPr>
                <w:sz w:val="22"/>
                <w:szCs w:val="22"/>
                <w:lang w:val="en-GB"/>
              </w:rPr>
            </w:pPr>
            <w:r w:rsidRPr="002C667B">
              <w:rPr>
                <w:sz w:val="22"/>
                <w:szCs w:val="22"/>
              </w:rPr>
              <w:t>3.7%</w:t>
            </w:r>
          </w:p>
        </w:tc>
      </w:tr>
      <w:tr w:rsidR="002E5F35" w:rsidRPr="002C667B" w14:paraId="3DA03525" w14:textId="4B6427C1" w:rsidTr="002607F3">
        <w:trPr>
          <w:trHeight w:val="224"/>
        </w:trPr>
        <w:tc>
          <w:tcPr>
            <w:tcW w:w="1409" w:type="dxa"/>
            <w:shd w:val="clear" w:color="auto" w:fill="auto"/>
            <w:tcMar>
              <w:top w:w="15" w:type="dxa"/>
              <w:left w:w="15" w:type="dxa"/>
              <w:bottom w:w="0" w:type="dxa"/>
              <w:right w:w="15" w:type="dxa"/>
            </w:tcMar>
            <w:vAlign w:val="bottom"/>
            <w:hideMark/>
          </w:tcPr>
          <w:p w14:paraId="3FC5E2D9" w14:textId="77777777" w:rsidR="002E5F35" w:rsidRPr="002C667B" w:rsidRDefault="002E5F35" w:rsidP="002C667B">
            <w:pPr>
              <w:jc w:val="center"/>
              <w:rPr>
                <w:sz w:val="22"/>
                <w:szCs w:val="22"/>
                <w:lang w:val="en-GB"/>
              </w:rPr>
            </w:pPr>
            <w:r w:rsidRPr="002C667B">
              <w:rPr>
                <w:bCs/>
                <w:sz w:val="22"/>
                <w:szCs w:val="22"/>
              </w:rPr>
              <w:t>PT</w:t>
            </w:r>
          </w:p>
        </w:tc>
        <w:tc>
          <w:tcPr>
            <w:tcW w:w="915" w:type="dxa"/>
            <w:shd w:val="clear" w:color="auto" w:fill="00B0F0"/>
            <w:tcMar>
              <w:top w:w="15" w:type="dxa"/>
              <w:left w:w="15" w:type="dxa"/>
              <w:bottom w:w="0" w:type="dxa"/>
              <w:right w:w="15" w:type="dxa"/>
            </w:tcMar>
            <w:vAlign w:val="bottom"/>
            <w:hideMark/>
          </w:tcPr>
          <w:p w14:paraId="259C633E" w14:textId="77777777" w:rsidR="002E5F35" w:rsidRPr="002C667B" w:rsidRDefault="002E5F35" w:rsidP="002C667B">
            <w:pPr>
              <w:jc w:val="center"/>
              <w:rPr>
                <w:sz w:val="22"/>
                <w:szCs w:val="22"/>
                <w:lang w:val="en-GB"/>
              </w:rPr>
            </w:pPr>
            <w:r w:rsidRPr="002C667B">
              <w:rPr>
                <w:sz w:val="22"/>
                <w:szCs w:val="22"/>
              </w:rPr>
              <w:t>14.7%</w:t>
            </w:r>
          </w:p>
        </w:tc>
        <w:tc>
          <w:tcPr>
            <w:tcW w:w="915" w:type="dxa"/>
            <w:shd w:val="clear" w:color="auto" w:fill="FFFF00"/>
            <w:tcMar>
              <w:top w:w="15" w:type="dxa"/>
              <w:left w:w="15" w:type="dxa"/>
              <w:bottom w:w="0" w:type="dxa"/>
              <w:right w:w="15" w:type="dxa"/>
            </w:tcMar>
            <w:vAlign w:val="bottom"/>
            <w:hideMark/>
          </w:tcPr>
          <w:p w14:paraId="7B981524"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146FFB32" w14:textId="77777777" w:rsidR="002E5F35" w:rsidRPr="002C667B" w:rsidRDefault="002E5F35" w:rsidP="002C667B">
            <w:pPr>
              <w:jc w:val="center"/>
              <w:rPr>
                <w:sz w:val="22"/>
                <w:szCs w:val="22"/>
                <w:lang w:val="en-GB"/>
              </w:rPr>
            </w:pPr>
            <w:r w:rsidRPr="002C667B">
              <w:rPr>
                <w:sz w:val="22"/>
                <w:szCs w:val="22"/>
              </w:rPr>
              <w:t>0.6%</w:t>
            </w:r>
          </w:p>
        </w:tc>
        <w:tc>
          <w:tcPr>
            <w:tcW w:w="915" w:type="dxa"/>
            <w:shd w:val="clear" w:color="auto" w:fill="auto"/>
          </w:tcPr>
          <w:p w14:paraId="5600CD39" w14:textId="0ACBC52F"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27045D0C" w14:textId="2C79C17E" w:rsidR="002E5F35" w:rsidRPr="002C667B" w:rsidRDefault="002E5F35" w:rsidP="002C667B">
            <w:pPr>
              <w:jc w:val="center"/>
              <w:rPr>
                <w:sz w:val="22"/>
                <w:szCs w:val="22"/>
                <w:lang w:val="en-GB"/>
              </w:rPr>
            </w:pPr>
            <w:r w:rsidRPr="002C667B">
              <w:rPr>
                <w:sz w:val="22"/>
                <w:szCs w:val="22"/>
              </w:rPr>
              <w:t>0.0%</w:t>
            </w:r>
          </w:p>
        </w:tc>
        <w:tc>
          <w:tcPr>
            <w:tcW w:w="916" w:type="dxa"/>
            <w:shd w:val="clear" w:color="auto" w:fill="FFFF00"/>
            <w:tcMar>
              <w:top w:w="15" w:type="dxa"/>
              <w:left w:w="15" w:type="dxa"/>
              <w:bottom w:w="0" w:type="dxa"/>
              <w:right w:w="15" w:type="dxa"/>
            </w:tcMar>
            <w:vAlign w:val="bottom"/>
            <w:hideMark/>
          </w:tcPr>
          <w:p w14:paraId="6D724B75" w14:textId="77777777" w:rsidR="002E5F35" w:rsidRPr="002C667B" w:rsidRDefault="002E5F35" w:rsidP="002C667B">
            <w:pPr>
              <w:jc w:val="center"/>
              <w:rPr>
                <w:sz w:val="22"/>
                <w:szCs w:val="22"/>
                <w:lang w:val="en-GB"/>
              </w:rPr>
            </w:pPr>
            <w:r w:rsidRPr="002C667B">
              <w:rPr>
                <w:sz w:val="22"/>
                <w:szCs w:val="22"/>
              </w:rPr>
              <w:t>0.1%</w:t>
            </w:r>
          </w:p>
        </w:tc>
        <w:tc>
          <w:tcPr>
            <w:tcW w:w="1245" w:type="dxa"/>
            <w:shd w:val="clear" w:color="auto" w:fill="FFFF00"/>
            <w:tcMar>
              <w:top w:w="15" w:type="dxa"/>
              <w:left w:w="15" w:type="dxa"/>
              <w:bottom w:w="0" w:type="dxa"/>
              <w:right w:w="15" w:type="dxa"/>
            </w:tcMar>
            <w:vAlign w:val="bottom"/>
            <w:hideMark/>
          </w:tcPr>
          <w:p w14:paraId="54C5A6E3" w14:textId="77777777" w:rsidR="002E5F35" w:rsidRPr="002C667B" w:rsidRDefault="002E5F35" w:rsidP="002C667B">
            <w:pPr>
              <w:jc w:val="center"/>
              <w:rPr>
                <w:sz w:val="22"/>
                <w:szCs w:val="22"/>
                <w:lang w:val="en-GB"/>
              </w:rPr>
            </w:pPr>
            <w:r w:rsidRPr="002C667B">
              <w:rPr>
                <w:sz w:val="22"/>
                <w:szCs w:val="22"/>
              </w:rPr>
              <w:t>0.1%</w:t>
            </w:r>
          </w:p>
        </w:tc>
      </w:tr>
      <w:tr w:rsidR="002E5F35" w:rsidRPr="002C667B" w14:paraId="69185D9F" w14:textId="6B00702B" w:rsidTr="002607F3">
        <w:trPr>
          <w:trHeight w:val="224"/>
        </w:trPr>
        <w:tc>
          <w:tcPr>
            <w:tcW w:w="1409" w:type="dxa"/>
            <w:shd w:val="clear" w:color="auto" w:fill="auto"/>
            <w:tcMar>
              <w:top w:w="15" w:type="dxa"/>
              <w:left w:w="15" w:type="dxa"/>
              <w:bottom w:w="0" w:type="dxa"/>
              <w:right w:w="15" w:type="dxa"/>
            </w:tcMar>
            <w:vAlign w:val="bottom"/>
            <w:hideMark/>
          </w:tcPr>
          <w:p w14:paraId="4623AEBF" w14:textId="77777777" w:rsidR="002E5F35" w:rsidRPr="002C667B" w:rsidRDefault="002E5F35" w:rsidP="002C667B">
            <w:pPr>
              <w:jc w:val="center"/>
              <w:rPr>
                <w:sz w:val="22"/>
                <w:szCs w:val="22"/>
                <w:lang w:val="en-GB"/>
              </w:rPr>
            </w:pPr>
            <w:r w:rsidRPr="002C667B">
              <w:rPr>
                <w:bCs/>
                <w:sz w:val="22"/>
                <w:szCs w:val="22"/>
              </w:rPr>
              <w:t>SE</w:t>
            </w:r>
          </w:p>
        </w:tc>
        <w:tc>
          <w:tcPr>
            <w:tcW w:w="915" w:type="dxa"/>
            <w:shd w:val="clear" w:color="auto" w:fill="FFFF00"/>
            <w:tcMar>
              <w:top w:w="15" w:type="dxa"/>
              <w:left w:w="15" w:type="dxa"/>
              <w:bottom w:w="0" w:type="dxa"/>
              <w:right w:w="15" w:type="dxa"/>
            </w:tcMar>
            <w:vAlign w:val="bottom"/>
            <w:hideMark/>
          </w:tcPr>
          <w:p w14:paraId="61F3BB36"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FFFF00"/>
            <w:tcMar>
              <w:top w:w="15" w:type="dxa"/>
              <w:left w:w="15" w:type="dxa"/>
              <w:bottom w:w="0" w:type="dxa"/>
              <w:right w:w="15" w:type="dxa"/>
            </w:tcMar>
            <w:vAlign w:val="bottom"/>
            <w:hideMark/>
          </w:tcPr>
          <w:p w14:paraId="5E62010C"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FFFF00"/>
            <w:tcMar>
              <w:top w:w="15" w:type="dxa"/>
              <w:left w:w="15" w:type="dxa"/>
              <w:bottom w:w="0" w:type="dxa"/>
              <w:right w:w="15" w:type="dxa"/>
            </w:tcMar>
            <w:vAlign w:val="bottom"/>
            <w:hideMark/>
          </w:tcPr>
          <w:p w14:paraId="70CF21EB" w14:textId="77777777" w:rsidR="002E5F35" w:rsidRPr="002C667B" w:rsidRDefault="002E5F35" w:rsidP="002C667B">
            <w:pPr>
              <w:jc w:val="center"/>
              <w:rPr>
                <w:sz w:val="22"/>
                <w:szCs w:val="22"/>
                <w:lang w:val="en-GB"/>
              </w:rPr>
            </w:pPr>
            <w:r w:rsidRPr="002C667B">
              <w:rPr>
                <w:sz w:val="22"/>
                <w:szCs w:val="22"/>
              </w:rPr>
              <w:t>0.6%</w:t>
            </w:r>
          </w:p>
        </w:tc>
        <w:tc>
          <w:tcPr>
            <w:tcW w:w="915" w:type="dxa"/>
            <w:shd w:val="clear" w:color="auto" w:fill="auto"/>
          </w:tcPr>
          <w:p w14:paraId="30BEA9C4" w14:textId="46584B34"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5555182D" w14:textId="77CDE45D" w:rsidR="002E5F35" w:rsidRPr="002C667B" w:rsidRDefault="002E5F35" w:rsidP="002C667B">
            <w:pPr>
              <w:jc w:val="center"/>
              <w:rPr>
                <w:sz w:val="22"/>
                <w:szCs w:val="22"/>
                <w:lang w:val="en-GB"/>
              </w:rPr>
            </w:pPr>
            <w:r w:rsidRPr="002C667B">
              <w:rPr>
                <w:sz w:val="22"/>
                <w:szCs w:val="22"/>
              </w:rPr>
              <w:t>0.0%</w:t>
            </w:r>
          </w:p>
        </w:tc>
        <w:tc>
          <w:tcPr>
            <w:tcW w:w="916" w:type="dxa"/>
            <w:shd w:val="clear" w:color="auto" w:fill="auto"/>
            <w:tcMar>
              <w:top w:w="15" w:type="dxa"/>
              <w:left w:w="15" w:type="dxa"/>
              <w:bottom w:w="0" w:type="dxa"/>
              <w:right w:w="15" w:type="dxa"/>
            </w:tcMar>
            <w:vAlign w:val="bottom"/>
            <w:hideMark/>
          </w:tcPr>
          <w:p w14:paraId="3C8D4E17" w14:textId="77777777" w:rsidR="002E5F35" w:rsidRPr="002C667B" w:rsidRDefault="002E5F35" w:rsidP="002C667B">
            <w:pPr>
              <w:jc w:val="center"/>
              <w:rPr>
                <w:sz w:val="22"/>
                <w:szCs w:val="22"/>
                <w:lang w:val="en-GB"/>
              </w:rPr>
            </w:pPr>
            <w:r w:rsidRPr="002C667B">
              <w:rPr>
                <w:sz w:val="22"/>
                <w:szCs w:val="22"/>
              </w:rPr>
              <w:t>0.0%</w:t>
            </w:r>
          </w:p>
        </w:tc>
        <w:tc>
          <w:tcPr>
            <w:tcW w:w="1245" w:type="dxa"/>
            <w:shd w:val="clear" w:color="auto" w:fill="FFFF00"/>
            <w:tcMar>
              <w:top w:w="15" w:type="dxa"/>
              <w:left w:w="15" w:type="dxa"/>
              <w:bottom w:w="0" w:type="dxa"/>
              <w:right w:w="15" w:type="dxa"/>
            </w:tcMar>
            <w:vAlign w:val="bottom"/>
            <w:hideMark/>
          </w:tcPr>
          <w:p w14:paraId="13F996BC" w14:textId="77777777" w:rsidR="002E5F35" w:rsidRPr="002C667B" w:rsidRDefault="002E5F35" w:rsidP="002C667B">
            <w:pPr>
              <w:jc w:val="center"/>
              <w:rPr>
                <w:sz w:val="22"/>
                <w:szCs w:val="22"/>
                <w:lang w:val="en-GB"/>
              </w:rPr>
            </w:pPr>
            <w:r w:rsidRPr="002C667B">
              <w:rPr>
                <w:sz w:val="22"/>
                <w:szCs w:val="22"/>
              </w:rPr>
              <w:t>0.1%</w:t>
            </w:r>
          </w:p>
        </w:tc>
      </w:tr>
      <w:tr w:rsidR="002E5F35" w:rsidRPr="002C667B" w14:paraId="7BE5528D" w14:textId="37E845F9" w:rsidTr="002607F3">
        <w:trPr>
          <w:trHeight w:val="224"/>
        </w:trPr>
        <w:tc>
          <w:tcPr>
            <w:tcW w:w="1409" w:type="dxa"/>
            <w:shd w:val="clear" w:color="auto" w:fill="auto"/>
            <w:tcMar>
              <w:top w:w="15" w:type="dxa"/>
              <w:left w:w="15" w:type="dxa"/>
              <w:bottom w:w="0" w:type="dxa"/>
              <w:right w:w="15" w:type="dxa"/>
            </w:tcMar>
            <w:vAlign w:val="bottom"/>
            <w:hideMark/>
          </w:tcPr>
          <w:p w14:paraId="66CC86DC" w14:textId="77777777" w:rsidR="002E5F35" w:rsidRPr="002C667B" w:rsidRDefault="002E5F35" w:rsidP="002C667B">
            <w:pPr>
              <w:jc w:val="center"/>
              <w:rPr>
                <w:sz w:val="22"/>
                <w:szCs w:val="22"/>
                <w:lang w:val="en-GB"/>
              </w:rPr>
            </w:pPr>
            <w:r w:rsidRPr="002C667B">
              <w:rPr>
                <w:bCs/>
                <w:sz w:val="22"/>
                <w:szCs w:val="22"/>
              </w:rPr>
              <w:t>SI</w:t>
            </w:r>
          </w:p>
        </w:tc>
        <w:tc>
          <w:tcPr>
            <w:tcW w:w="915" w:type="dxa"/>
            <w:shd w:val="clear" w:color="auto" w:fill="FFFF00"/>
            <w:tcMar>
              <w:top w:w="15" w:type="dxa"/>
              <w:left w:w="15" w:type="dxa"/>
              <w:bottom w:w="0" w:type="dxa"/>
              <w:right w:w="15" w:type="dxa"/>
            </w:tcMar>
            <w:vAlign w:val="bottom"/>
            <w:hideMark/>
          </w:tcPr>
          <w:p w14:paraId="4F5E878E" w14:textId="77777777" w:rsidR="002E5F35" w:rsidRPr="002C667B" w:rsidRDefault="002E5F35" w:rsidP="002C667B">
            <w:pPr>
              <w:jc w:val="center"/>
              <w:rPr>
                <w:sz w:val="22"/>
                <w:szCs w:val="22"/>
                <w:lang w:val="en-GB"/>
              </w:rPr>
            </w:pPr>
            <w:r w:rsidRPr="002C667B">
              <w:rPr>
                <w:sz w:val="22"/>
                <w:szCs w:val="22"/>
              </w:rPr>
              <w:t>0.2%</w:t>
            </w:r>
          </w:p>
        </w:tc>
        <w:tc>
          <w:tcPr>
            <w:tcW w:w="915" w:type="dxa"/>
            <w:shd w:val="clear" w:color="auto" w:fill="FFFF00"/>
            <w:tcMar>
              <w:top w:w="15" w:type="dxa"/>
              <w:left w:w="15" w:type="dxa"/>
              <w:bottom w:w="0" w:type="dxa"/>
              <w:right w:w="15" w:type="dxa"/>
            </w:tcMar>
            <w:vAlign w:val="bottom"/>
            <w:hideMark/>
          </w:tcPr>
          <w:p w14:paraId="7883200F"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FFFF00"/>
            <w:tcMar>
              <w:top w:w="15" w:type="dxa"/>
              <w:left w:w="15" w:type="dxa"/>
              <w:bottom w:w="0" w:type="dxa"/>
              <w:right w:w="15" w:type="dxa"/>
            </w:tcMar>
            <w:vAlign w:val="bottom"/>
            <w:hideMark/>
          </w:tcPr>
          <w:p w14:paraId="5971D89B" w14:textId="77777777" w:rsidR="002E5F35" w:rsidRPr="002C667B" w:rsidRDefault="002E5F35" w:rsidP="002C667B">
            <w:pPr>
              <w:jc w:val="center"/>
              <w:rPr>
                <w:sz w:val="22"/>
                <w:szCs w:val="22"/>
                <w:lang w:val="en-GB"/>
              </w:rPr>
            </w:pPr>
            <w:r w:rsidRPr="002C667B">
              <w:rPr>
                <w:sz w:val="22"/>
                <w:szCs w:val="22"/>
              </w:rPr>
              <w:t>0.1%</w:t>
            </w:r>
          </w:p>
        </w:tc>
        <w:tc>
          <w:tcPr>
            <w:tcW w:w="915" w:type="dxa"/>
            <w:shd w:val="clear" w:color="auto" w:fill="auto"/>
          </w:tcPr>
          <w:p w14:paraId="58CF51A8" w14:textId="4449ED65" w:rsidR="002E5F35" w:rsidRPr="002C667B" w:rsidRDefault="002607F3" w:rsidP="002C667B">
            <w:pPr>
              <w:jc w:val="center"/>
              <w:rPr>
                <w:sz w:val="22"/>
                <w:szCs w:val="22"/>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7F8FA791" w14:textId="1D837FEC" w:rsidR="002E5F35" w:rsidRPr="002C667B" w:rsidRDefault="002E5F35" w:rsidP="002C667B">
            <w:pPr>
              <w:jc w:val="center"/>
              <w:rPr>
                <w:sz w:val="22"/>
                <w:szCs w:val="22"/>
                <w:lang w:val="en-GB"/>
              </w:rPr>
            </w:pPr>
            <w:r w:rsidRPr="002C667B">
              <w:rPr>
                <w:sz w:val="22"/>
                <w:szCs w:val="22"/>
              </w:rPr>
              <w:t>0.2%</w:t>
            </w:r>
          </w:p>
        </w:tc>
        <w:tc>
          <w:tcPr>
            <w:tcW w:w="916" w:type="dxa"/>
            <w:shd w:val="clear" w:color="auto" w:fill="FFFF00"/>
            <w:tcMar>
              <w:top w:w="15" w:type="dxa"/>
              <w:left w:w="15" w:type="dxa"/>
              <w:bottom w:w="0" w:type="dxa"/>
              <w:right w:w="15" w:type="dxa"/>
            </w:tcMar>
            <w:vAlign w:val="bottom"/>
            <w:hideMark/>
          </w:tcPr>
          <w:p w14:paraId="451C7025" w14:textId="77777777" w:rsidR="002E5F35" w:rsidRPr="002C667B" w:rsidRDefault="002E5F35" w:rsidP="002C667B">
            <w:pPr>
              <w:jc w:val="center"/>
              <w:rPr>
                <w:sz w:val="22"/>
                <w:szCs w:val="22"/>
                <w:lang w:val="en-GB"/>
              </w:rPr>
            </w:pPr>
            <w:r w:rsidRPr="002C667B">
              <w:rPr>
                <w:sz w:val="22"/>
                <w:szCs w:val="22"/>
              </w:rPr>
              <w:t>0.7%</w:t>
            </w:r>
          </w:p>
        </w:tc>
        <w:tc>
          <w:tcPr>
            <w:tcW w:w="1245" w:type="dxa"/>
            <w:shd w:val="clear" w:color="auto" w:fill="auto"/>
            <w:tcMar>
              <w:top w:w="15" w:type="dxa"/>
              <w:left w:w="15" w:type="dxa"/>
              <w:bottom w:w="0" w:type="dxa"/>
              <w:right w:w="15" w:type="dxa"/>
            </w:tcMar>
            <w:vAlign w:val="bottom"/>
            <w:hideMark/>
          </w:tcPr>
          <w:p w14:paraId="6F0708B1" w14:textId="77777777" w:rsidR="002E5F35" w:rsidRPr="002C667B" w:rsidRDefault="002E5F35" w:rsidP="002C667B">
            <w:pPr>
              <w:jc w:val="center"/>
              <w:rPr>
                <w:sz w:val="22"/>
                <w:szCs w:val="22"/>
                <w:lang w:val="en-GB"/>
              </w:rPr>
            </w:pPr>
            <w:r w:rsidRPr="002C667B">
              <w:rPr>
                <w:sz w:val="22"/>
                <w:szCs w:val="22"/>
              </w:rPr>
              <w:t>0.0%</w:t>
            </w:r>
          </w:p>
        </w:tc>
      </w:tr>
      <w:tr w:rsidR="002E5F35" w:rsidRPr="002C667B" w14:paraId="0A4742D7" w14:textId="4772A016" w:rsidTr="002607F3">
        <w:trPr>
          <w:trHeight w:val="224"/>
        </w:trPr>
        <w:tc>
          <w:tcPr>
            <w:tcW w:w="1409" w:type="dxa"/>
            <w:shd w:val="clear" w:color="auto" w:fill="auto"/>
            <w:tcMar>
              <w:top w:w="15" w:type="dxa"/>
              <w:left w:w="15" w:type="dxa"/>
              <w:bottom w:w="0" w:type="dxa"/>
              <w:right w:w="15" w:type="dxa"/>
            </w:tcMar>
            <w:vAlign w:val="bottom"/>
            <w:hideMark/>
          </w:tcPr>
          <w:p w14:paraId="279CECED" w14:textId="77777777" w:rsidR="002E5F35" w:rsidRPr="002C667B" w:rsidRDefault="002E5F35" w:rsidP="002C667B">
            <w:pPr>
              <w:jc w:val="center"/>
              <w:rPr>
                <w:sz w:val="22"/>
                <w:szCs w:val="22"/>
                <w:lang w:val="en-GB"/>
              </w:rPr>
            </w:pPr>
            <w:r w:rsidRPr="002C667B">
              <w:rPr>
                <w:bCs/>
                <w:sz w:val="22"/>
                <w:szCs w:val="22"/>
              </w:rPr>
              <w:t>SK</w:t>
            </w:r>
          </w:p>
        </w:tc>
        <w:tc>
          <w:tcPr>
            <w:tcW w:w="915" w:type="dxa"/>
            <w:shd w:val="clear" w:color="auto" w:fill="auto"/>
            <w:tcMar>
              <w:top w:w="15" w:type="dxa"/>
              <w:left w:w="15" w:type="dxa"/>
              <w:bottom w:w="0" w:type="dxa"/>
              <w:right w:w="15" w:type="dxa"/>
            </w:tcMar>
            <w:vAlign w:val="bottom"/>
            <w:hideMark/>
          </w:tcPr>
          <w:p w14:paraId="4A3A03C2" w14:textId="77777777" w:rsidR="002E5F35" w:rsidRPr="002C667B" w:rsidRDefault="002E5F35" w:rsidP="002C667B">
            <w:pPr>
              <w:jc w:val="center"/>
              <w:rPr>
                <w:sz w:val="22"/>
                <w:szCs w:val="22"/>
                <w:lang w:val="en-GB"/>
              </w:rPr>
            </w:pPr>
            <w:r w:rsidRPr="002C667B">
              <w:rPr>
                <w:sz w:val="22"/>
                <w:szCs w:val="22"/>
              </w:rPr>
              <w:t>0.0%</w:t>
            </w:r>
          </w:p>
        </w:tc>
        <w:tc>
          <w:tcPr>
            <w:tcW w:w="915" w:type="dxa"/>
            <w:shd w:val="clear" w:color="auto" w:fill="FFFF00"/>
            <w:tcMar>
              <w:top w:w="15" w:type="dxa"/>
              <w:left w:w="15" w:type="dxa"/>
              <w:bottom w:w="0" w:type="dxa"/>
              <w:right w:w="15" w:type="dxa"/>
            </w:tcMar>
            <w:vAlign w:val="bottom"/>
            <w:hideMark/>
          </w:tcPr>
          <w:p w14:paraId="2EAF0424" w14:textId="77777777" w:rsidR="002E5F35" w:rsidRPr="002C667B" w:rsidRDefault="002E5F35" w:rsidP="002C667B">
            <w:pPr>
              <w:jc w:val="center"/>
              <w:rPr>
                <w:sz w:val="22"/>
                <w:szCs w:val="22"/>
                <w:lang w:val="en-GB"/>
              </w:rPr>
            </w:pPr>
            <w:r w:rsidRPr="002C667B">
              <w:rPr>
                <w:sz w:val="22"/>
                <w:szCs w:val="22"/>
              </w:rPr>
              <w:t>1.8%</w:t>
            </w:r>
          </w:p>
        </w:tc>
        <w:tc>
          <w:tcPr>
            <w:tcW w:w="915" w:type="dxa"/>
            <w:shd w:val="clear" w:color="auto" w:fill="FFFF00"/>
            <w:tcMar>
              <w:top w:w="15" w:type="dxa"/>
              <w:left w:w="15" w:type="dxa"/>
              <w:bottom w:w="0" w:type="dxa"/>
              <w:right w:w="15" w:type="dxa"/>
            </w:tcMar>
            <w:vAlign w:val="bottom"/>
            <w:hideMark/>
          </w:tcPr>
          <w:p w14:paraId="0B3EAAAE" w14:textId="77777777" w:rsidR="002E5F35" w:rsidRPr="002C667B" w:rsidRDefault="002E5F35" w:rsidP="002C667B">
            <w:pPr>
              <w:jc w:val="center"/>
              <w:rPr>
                <w:sz w:val="22"/>
                <w:szCs w:val="22"/>
                <w:lang w:val="en-GB"/>
              </w:rPr>
            </w:pPr>
            <w:r w:rsidRPr="002C667B">
              <w:rPr>
                <w:sz w:val="22"/>
                <w:szCs w:val="22"/>
              </w:rPr>
              <w:t>0.9%</w:t>
            </w:r>
          </w:p>
        </w:tc>
        <w:tc>
          <w:tcPr>
            <w:tcW w:w="915" w:type="dxa"/>
            <w:shd w:val="clear" w:color="auto" w:fill="auto"/>
          </w:tcPr>
          <w:p w14:paraId="5672F84D" w14:textId="63251DEC" w:rsidR="002E5F35" w:rsidRPr="002C667B" w:rsidRDefault="002607F3" w:rsidP="002C667B">
            <w:pPr>
              <w:jc w:val="center"/>
              <w:rPr>
                <w:sz w:val="22"/>
                <w:szCs w:val="22"/>
              </w:rPr>
            </w:pPr>
            <w:r w:rsidRPr="002C667B">
              <w:rPr>
                <w:sz w:val="22"/>
                <w:szCs w:val="22"/>
              </w:rPr>
              <w:t>0.0%</w:t>
            </w:r>
          </w:p>
        </w:tc>
        <w:tc>
          <w:tcPr>
            <w:tcW w:w="915" w:type="dxa"/>
            <w:shd w:val="clear" w:color="auto" w:fill="92D050"/>
            <w:tcMar>
              <w:top w:w="15" w:type="dxa"/>
              <w:left w:w="15" w:type="dxa"/>
              <w:bottom w:w="0" w:type="dxa"/>
              <w:right w:w="15" w:type="dxa"/>
            </w:tcMar>
            <w:vAlign w:val="bottom"/>
            <w:hideMark/>
          </w:tcPr>
          <w:p w14:paraId="7E268144" w14:textId="247C7A77" w:rsidR="002E5F35" w:rsidRPr="002C667B" w:rsidRDefault="002E5F35" w:rsidP="002C667B">
            <w:pPr>
              <w:jc w:val="center"/>
              <w:rPr>
                <w:sz w:val="22"/>
                <w:szCs w:val="22"/>
                <w:lang w:val="en-GB"/>
              </w:rPr>
            </w:pPr>
            <w:r w:rsidRPr="002C667B">
              <w:rPr>
                <w:sz w:val="22"/>
                <w:szCs w:val="22"/>
              </w:rPr>
              <w:t>4.4%</w:t>
            </w:r>
          </w:p>
        </w:tc>
        <w:tc>
          <w:tcPr>
            <w:tcW w:w="916" w:type="dxa"/>
            <w:shd w:val="clear" w:color="auto" w:fill="92D050"/>
            <w:tcMar>
              <w:top w:w="15" w:type="dxa"/>
              <w:left w:w="15" w:type="dxa"/>
              <w:bottom w:w="0" w:type="dxa"/>
              <w:right w:w="15" w:type="dxa"/>
            </w:tcMar>
            <w:vAlign w:val="bottom"/>
            <w:hideMark/>
          </w:tcPr>
          <w:p w14:paraId="263A066A" w14:textId="77777777" w:rsidR="002E5F35" w:rsidRPr="002C667B" w:rsidRDefault="002E5F35" w:rsidP="002C667B">
            <w:pPr>
              <w:jc w:val="center"/>
              <w:rPr>
                <w:sz w:val="22"/>
                <w:szCs w:val="22"/>
                <w:lang w:val="en-GB"/>
              </w:rPr>
            </w:pPr>
            <w:r w:rsidRPr="002C667B">
              <w:rPr>
                <w:sz w:val="22"/>
                <w:szCs w:val="22"/>
              </w:rPr>
              <w:t>8.5%</w:t>
            </w:r>
          </w:p>
        </w:tc>
        <w:tc>
          <w:tcPr>
            <w:tcW w:w="1245" w:type="dxa"/>
            <w:shd w:val="clear" w:color="auto" w:fill="auto"/>
            <w:tcMar>
              <w:top w:w="15" w:type="dxa"/>
              <w:left w:w="15" w:type="dxa"/>
              <w:bottom w:w="0" w:type="dxa"/>
              <w:right w:w="15" w:type="dxa"/>
            </w:tcMar>
            <w:vAlign w:val="bottom"/>
            <w:hideMark/>
          </w:tcPr>
          <w:p w14:paraId="1B14DBF7" w14:textId="77777777" w:rsidR="002E5F35" w:rsidRPr="002C667B" w:rsidRDefault="002E5F35" w:rsidP="002C667B">
            <w:pPr>
              <w:jc w:val="center"/>
              <w:rPr>
                <w:sz w:val="22"/>
                <w:szCs w:val="22"/>
                <w:lang w:val="en-GB"/>
              </w:rPr>
            </w:pPr>
            <w:r w:rsidRPr="002C667B">
              <w:rPr>
                <w:sz w:val="22"/>
                <w:szCs w:val="22"/>
              </w:rPr>
              <w:t>0.0%</w:t>
            </w:r>
          </w:p>
        </w:tc>
      </w:tr>
      <w:tr w:rsidR="002E5F35" w:rsidRPr="002C667B" w14:paraId="19CBDF43" w14:textId="6F23687D" w:rsidTr="002607F3">
        <w:trPr>
          <w:trHeight w:val="224"/>
        </w:trPr>
        <w:tc>
          <w:tcPr>
            <w:tcW w:w="1409" w:type="dxa"/>
            <w:shd w:val="clear" w:color="auto" w:fill="auto"/>
            <w:tcMar>
              <w:top w:w="15" w:type="dxa"/>
              <w:left w:w="15" w:type="dxa"/>
              <w:bottom w:w="0" w:type="dxa"/>
              <w:right w:w="15" w:type="dxa"/>
            </w:tcMar>
            <w:vAlign w:val="bottom"/>
            <w:hideMark/>
          </w:tcPr>
          <w:p w14:paraId="6ADBD6BE" w14:textId="77777777" w:rsidR="002E5F35" w:rsidRPr="002C667B" w:rsidRDefault="002E5F35" w:rsidP="002C667B">
            <w:pPr>
              <w:jc w:val="center"/>
              <w:rPr>
                <w:sz w:val="22"/>
                <w:szCs w:val="22"/>
                <w:lang w:val="en-GB"/>
              </w:rPr>
            </w:pPr>
            <w:r w:rsidRPr="002C667B">
              <w:rPr>
                <w:bCs/>
                <w:sz w:val="22"/>
                <w:szCs w:val="22"/>
              </w:rPr>
              <w:t>US</w:t>
            </w:r>
          </w:p>
        </w:tc>
        <w:tc>
          <w:tcPr>
            <w:tcW w:w="915" w:type="dxa"/>
            <w:shd w:val="clear" w:color="auto" w:fill="92D050"/>
            <w:tcMar>
              <w:top w:w="15" w:type="dxa"/>
              <w:left w:w="15" w:type="dxa"/>
              <w:bottom w:w="0" w:type="dxa"/>
              <w:right w:w="15" w:type="dxa"/>
            </w:tcMar>
            <w:vAlign w:val="bottom"/>
            <w:hideMark/>
          </w:tcPr>
          <w:p w14:paraId="0ECA3069" w14:textId="77777777" w:rsidR="002E5F35" w:rsidRPr="002C667B" w:rsidRDefault="002E5F35" w:rsidP="002C667B">
            <w:pPr>
              <w:jc w:val="center"/>
              <w:rPr>
                <w:sz w:val="22"/>
                <w:szCs w:val="22"/>
                <w:lang w:val="en-GB"/>
              </w:rPr>
            </w:pPr>
            <w:r w:rsidRPr="002C667B">
              <w:rPr>
                <w:sz w:val="22"/>
                <w:szCs w:val="22"/>
              </w:rPr>
              <w:t>5.3%</w:t>
            </w:r>
          </w:p>
        </w:tc>
        <w:tc>
          <w:tcPr>
            <w:tcW w:w="915" w:type="dxa"/>
            <w:shd w:val="clear" w:color="auto" w:fill="92D050"/>
            <w:tcMar>
              <w:top w:w="15" w:type="dxa"/>
              <w:left w:w="15" w:type="dxa"/>
              <w:bottom w:w="0" w:type="dxa"/>
              <w:right w:w="15" w:type="dxa"/>
            </w:tcMar>
            <w:vAlign w:val="bottom"/>
            <w:hideMark/>
          </w:tcPr>
          <w:p w14:paraId="7DAFE982" w14:textId="77777777" w:rsidR="002E5F35" w:rsidRPr="002C667B" w:rsidRDefault="002E5F35" w:rsidP="002C667B">
            <w:pPr>
              <w:jc w:val="center"/>
              <w:rPr>
                <w:sz w:val="22"/>
                <w:szCs w:val="22"/>
                <w:lang w:val="en-GB"/>
              </w:rPr>
            </w:pPr>
            <w:r w:rsidRPr="002C667B">
              <w:rPr>
                <w:sz w:val="22"/>
                <w:szCs w:val="22"/>
              </w:rPr>
              <w:t>3.0%</w:t>
            </w:r>
          </w:p>
        </w:tc>
        <w:tc>
          <w:tcPr>
            <w:tcW w:w="915" w:type="dxa"/>
            <w:shd w:val="clear" w:color="auto" w:fill="00B0F0"/>
            <w:tcMar>
              <w:top w:w="15" w:type="dxa"/>
              <w:left w:w="15" w:type="dxa"/>
              <w:bottom w:w="0" w:type="dxa"/>
              <w:right w:w="15" w:type="dxa"/>
            </w:tcMar>
            <w:vAlign w:val="bottom"/>
            <w:hideMark/>
          </w:tcPr>
          <w:p w14:paraId="609E175C" w14:textId="77777777" w:rsidR="002E5F35" w:rsidRPr="002C667B" w:rsidRDefault="002E5F35" w:rsidP="002C667B">
            <w:pPr>
              <w:jc w:val="center"/>
              <w:rPr>
                <w:sz w:val="22"/>
                <w:szCs w:val="22"/>
                <w:lang w:val="en-GB"/>
              </w:rPr>
            </w:pPr>
            <w:r w:rsidRPr="002C667B">
              <w:rPr>
                <w:sz w:val="22"/>
                <w:szCs w:val="22"/>
              </w:rPr>
              <w:t>11.1%</w:t>
            </w:r>
          </w:p>
        </w:tc>
        <w:tc>
          <w:tcPr>
            <w:tcW w:w="915" w:type="dxa"/>
            <w:shd w:val="clear" w:color="auto" w:fill="00B0F0"/>
          </w:tcPr>
          <w:p w14:paraId="5E2A48CC" w14:textId="34E90838" w:rsidR="002E5F35" w:rsidRPr="002C667B" w:rsidRDefault="002607F3" w:rsidP="002C667B">
            <w:pPr>
              <w:jc w:val="center"/>
              <w:rPr>
                <w:sz w:val="22"/>
                <w:szCs w:val="22"/>
              </w:rPr>
            </w:pPr>
            <w:r>
              <w:rPr>
                <w:sz w:val="22"/>
                <w:szCs w:val="22"/>
              </w:rPr>
              <w:t>24.6%</w:t>
            </w:r>
          </w:p>
        </w:tc>
        <w:tc>
          <w:tcPr>
            <w:tcW w:w="915" w:type="dxa"/>
            <w:shd w:val="clear" w:color="auto" w:fill="FFFF00"/>
            <w:tcMar>
              <w:top w:w="15" w:type="dxa"/>
              <w:left w:w="15" w:type="dxa"/>
              <w:bottom w:w="0" w:type="dxa"/>
              <w:right w:w="15" w:type="dxa"/>
            </w:tcMar>
            <w:vAlign w:val="bottom"/>
            <w:hideMark/>
          </w:tcPr>
          <w:p w14:paraId="2BF31D6F" w14:textId="13AC9058" w:rsidR="002E5F35" w:rsidRPr="002C667B" w:rsidRDefault="002E5F35" w:rsidP="002C667B">
            <w:pPr>
              <w:jc w:val="center"/>
              <w:rPr>
                <w:sz w:val="22"/>
                <w:szCs w:val="22"/>
                <w:lang w:val="en-GB"/>
              </w:rPr>
            </w:pPr>
            <w:r w:rsidRPr="002C667B">
              <w:rPr>
                <w:sz w:val="22"/>
                <w:szCs w:val="22"/>
              </w:rPr>
              <w:t>0.1%</w:t>
            </w:r>
          </w:p>
        </w:tc>
        <w:tc>
          <w:tcPr>
            <w:tcW w:w="916" w:type="dxa"/>
            <w:shd w:val="clear" w:color="auto" w:fill="FFFF00"/>
            <w:tcMar>
              <w:top w:w="15" w:type="dxa"/>
              <w:left w:w="15" w:type="dxa"/>
              <w:bottom w:w="0" w:type="dxa"/>
              <w:right w:w="15" w:type="dxa"/>
            </w:tcMar>
            <w:vAlign w:val="bottom"/>
            <w:hideMark/>
          </w:tcPr>
          <w:p w14:paraId="28BCEC37" w14:textId="77777777" w:rsidR="002E5F35" w:rsidRPr="002C667B" w:rsidRDefault="002E5F35" w:rsidP="002C667B">
            <w:pPr>
              <w:jc w:val="center"/>
              <w:rPr>
                <w:sz w:val="22"/>
                <w:szCs w:val="22"/>
                <w:lang w:val="en-GB"/>
              </w:rPr>
            </w:pPr>
            <w:r w:rsidRPr="002C667B">
              <w:rPr>
                <w:sz w:val="22"/>
                <w:szCs w:val="22"/>
              </w:rPr>
              <w:t>0.9%</w:t>
            </w:r>
          </w:p>
        </w:tc>
        <w:tc>
          <w:tcPr>
            <w:tcW w:w="1245" w:type="dxa"/>
            <w:shd w:val="clear" w:color="auto" w:fill="FFFF00"/>
            <w:tcMar>
              <w:top w:w="15" w:type="dxa"/>
              <w:left w:w="15" w:type="dxa"/>
              <w:bottom w:w="0" w:type="dxa"/>
              <w:right w:w="15" w:type="dxa"/>
            </w:tcMar>
            <w:vAlign w:val="bottom"/>
            <w:hideMark/>
          </w:tcPr>
          <w:p w14:paraId="72BEB8FE" w14:textId="77777777" w:rsidR="002E5F35" w:rsidRPr="002C667B" w:rsidRDefault="002E5F35" w:rsidP="002C667B">
            <w:pPr>
              <w:jc w:val="center"/>
              <w:rPr>
                <w:sz w:val="22"/>
                <w:szCs w:val="22"/>
                <w:lang w:val="en-GB"/>
              </w:rPr>
            </w:pPr>
            <w:r w:rsidRPr="002C667B">
              <w:rPr>
                <w:sz w:val="22"/>
                <w:szCs w:val="22"/>
              </w:rPr>
              <w:t>1.5%</w:t>
            </w:r>
          </w:p>
        </w:tc>
      </w:tr>
      <w:tr w:rsidR="00BA1132" w:rsidRPr="002C667B" w14:paraId="569D0180" w14:textId="77777777" w:rsidTr="002607F3">
        <w:trPr>
          <w:trHeight w:val="224"/>
        </w:trPr>
        <w:tc>
          <w:tcPr>
            <w:tcW w:w="1409" w:type="dxa"/>
            <w:shd w:val="clear" w:color="auto" w:fill="auto"/>
            <w:tcMar>
              <w:top w:w="15" w:type="dxa"/>
              <w:left w:w="15" w:type="dxa"/>
              <w:bottom w:w="0" w:type="dxa"/>
              <w:right w:w="15" w:type="dxa"/>
            </w:tcMar>
            <w:vAlign w:val="bottom"/>
          </w:tcPr>
          <w:p w14:paraId="167E8CF0" w14:textId="4478D66B" w:rsidR="00BA1132" w:rsidRPr="002C667B" w:rsidRDefault="00BA1132" w:rsidP="002C667B">
            <w:pPr>
              <w:jc w:val="center"/>
              <w:rPr>
                <w:bCs/>
                <w:sz w:val="22"/>
                <w:szCs w:val="22"/>
              </w:rPr>
            </w:pPr>
            <w:r>
              <w:rPr>
                <w:bCs/>
                <w:sz w:val="22"/>
                <w:szCs w:val="22"/>
              </w:rPr>
              <w:t>Total</w:t>
            </w:r>
          </w:p>
        </w:tc>
        <w:tc>
          <w:tcPr>
            <w:tcW w:w="915" w:type="dxa"/>
            <w:shd w:val="clear" w:color="auto" w:fill="92D050"/>
            <w:tcMar>
              <w:top w:w="15" w:type="dxa"/>
              <w:left w:w="15" w:type="dxa"/>
              <w:bottom w:w="0" w:type="dxa"/>
              <w:right w:w="15" w:type="dxa"/>
            </w:tcMar>
            <w:vAlign w:val="bottom"/>
          </w:tcPr>
          <w:p w14:paraId="0FF19667" w14:textId="60A1EFC4" w:rsidR="00BA1132" w:rsidRPr="002C667B" w:rsidRDefault="00BA1132" w:rsidP="002C667B">
            <w:pPr>
              <w:jc w:val="center"/>
              <w:rPr>
                <w:sz w:val="22"/>
                <w:szCs w:val="22"/>
              </w:rPr>
            </w:pPr>
            <w:r>
              <w:rPr>
                <w:sz w:val="22"/>
                <w:szCs w:val="22"/>
              </w:rPr>
              <w:t>100%</w:t>
            </w:r>
          </w:p>
        </w:tc>
        <w:tc>
          <w:tcPr>
            <w:tcW w:w="915" w:type="dxa"/>
            <w:shd w:val="clear" w:color="auto" w:fill="92D050"/>
            <w:tcMar>
              <w:top w:w="15" w:type="dxa"/>
              <w:left w:w="15" w:type="dxa"/>
              <w:bottom w:w="0" w:type="dxa"/>
              <w:right w:w="15" w:type="dxa"/>
            </w:tcMar>
            <w:vAlign w:val="bottom"/>
          </w:tcPr>
          <w:p w14:paraId="42239E45" w14:textId="3F782E23" w:rsidR="00BA1132" w:rsidRPr="002C667B" w:rsidRDefault="00BA1132" w:rsidP="002C667B">
            <w:pPr>
              <w:jc w:val="center"/>
              <w:rPr>
                <w:sz w:val="22"/>
                <w:szCs w:val="22"/>
              </w:rPr>
            </w:pPr>
            <w:r>
              <w:rPr>
                <w:sz w:val="22"/>
                <w:szCs w:val="22"/>
              </w:rPr>
              <w:t>100%</w:t>
            </w:r>
          </w:p>
        </w:tc>
        <w:tc>
          <w:tcPr>
            <w:tcW w:w="915" w:type="dxa"/>
            <w:shd w:val="clear" w:color="auto" w:fill="00B0F0"/>
            <w:tcMar>
              <w:top w:w="15" w:type="dxa"/>
              <w:left w:w="15" w:type="dxa"/>
              <w:bottom w:w="0" w:type="dxa"/>
              <w:right w:w="15" w:type="dxa"/>
            </w:tcMar>
            <w:vAlign w:val="bottom"/>
          </w:tcPr>
          <w:p w14:paraId="6B7BA763" w14:textId="008EB8D4" w:rsidR="00BA1132" w:rsidRPr="002C667B" w:rsidRDefault="00BA1132" w:rsidP="002C667B">
            <w:pPr>
              <w:jc w:val="center"/>
              <w:rPr>
                <w:sz w:val="22"/>
                <w:szCs w:val="22"/>
              </w:rPr>
            </w:pPr>
            <w:r>
              <w:rPr>
                <w:sz w:val="22"/>
                <w:szCs w:val="22"/>
              </w:rPr>
              <w:t>100%</w:t>
            </w:r>
          </w:p>
        </w:tc>
        <w:tc>
          <w:tcPr>
            <w:tcW w:w="915" w:type="dxa"/>
            <w:shd w:val="clear" w:color="auto" w:fill="00B0F0"/>
          </w:tcPr>
          <w:p w14:paraId="01D17781" w14:textId="7E5554C2" w:rsidR="00BA1132" w:rsidRDefault="00BA1132" w:rsidP="002C667B">
            <w:pPr>
              <w:jc w:val="center"/>
              <w:rPr>
                <w:sz w:val="22"/>
                <w:szCs w:val="22"/>
              </w:rPr>
            </w:pPr>
            <w:r>
              <w:rPr>
                <w:sz w:val="22"/>
                <w:szCs w:val="22"/>
              </w:rPr>
              <w:t>100%</w:t>
            </w:r>
          </w:p>
        </w:tc>
        <w:tc>
          <w:tcPr>
            <w:tcW w:w="915" w:type="dxa"/>
            <w:shd w:val="clear" w:color="auto" w:fill="FFFF00"/>
            <w:tcMar>
              <w:top w:w="15" w:type="dxa"/>
              <w:left w:w="15" w:type="dxa"/>
              <w:bottom w:w="0" w:type="dxa"/>
              <w:right w:w="15" w:type="dxa"/>
            </w:tcMar>
            <w:vAlign w:val="bottom"/>
          </w:tcPr>
          <w:p w14:paraId="5BE250F9" w14:textId="2AA19C14" w:rsidR="00BA1132" w:rsidRPr="002C667B" w:rsidRDefault="00BA1132" w:rsidP="002C667B">
            <w:pPr>
              <w:jc w:val="center"/>
              <w:rPr>
                <w:sz w:val="22"/>
                <w:szCs w:val="22"/>
              </w:rPr>
            </w:pPr>
            <w:r>
              <w:rPr>
                <w:sz w:val="22"/>
                <w:szCs w:val="22"/>
              </w:rPr>
              <w:t>100%</w:t>
            </w:r>
          </w:p>
        </w:tc>
        <w:tc>
          <w:tcPr>
            <w:tcW w:w="916" w:type="dxa"/>
            <w:shd w:val="clear" w:color="auto" w:fill="FFFF00"/>
            <w:tcMar>
              <w:top w:w="15" w:type="dxa"/>
              <w:left w:w="15" w:type="dxa"/>
              <w:bottom w:w="0" w:type="dxa"/>
              <w:right w:w="15" w:type="dxa"/>
            </w:tcMar>
            <w:vAlign w:val="bottom"/>
          </w:tcPr>
          <w:p w14:paraId="14495ABF" w14:textId="14ED650A" w:rsidR="00BA1132" w:rsidRPr="002C667B" w:rsidRDefault="00BA1132" w:rsidP="002C667B">
            <w:pPr>
              <w:jc w:val="center"/>
              <w:rPr>
                <w:sz w:val="22"/>
                <w:szCs w:val="22"/>
              </w:rPr>
            </w:pPr>
            <w:r>
              <w:rPr>
                <w:sz w:val="22"/>
                <w:szCs w:val="22"/>
              </w:rPr>
              <w:t>100%</w:t>
            </w:r>
          </w:p>
        </w:tc>
        <w:tc>
          <w:tcPr>
            <w:tcW w:w="1245" w:type="dxa"/>
            <w:shd w:val="clear" w:color="auto" w:fill="FFFF00"/>
            <w:tcMar>
              <w:top w:w="15" w:type="dxa"/>
              <w:left w:w="15" w:type="dxa"/>
              <w:bottom w:w="0" w:type="dxa"/>
              <w:right w:w="15" w:type="dxa"/>
            </w:tcMar>
            <w:vAlign w:val="bottom"/>
          </w:tcPr>
          <w:p w14:paraId="5D2B0649" w14:textId="7249E5D4" w:rsidR="00BA1132" w:rsidRPr="002C667B" w:rsidRDefault="00BA1132" w:rsidP="002C667B">
            <w:pPr>
              <w:jc w:val="center"/>
              <w:rPr>
                <w:sz w:val="22"/>
                <w:szCs w:val="22"/>
              </w:rPr>
            </w:pPr>
            <w:r>
              <w:rPr>
                <w:sz w:val="22"/>
                <w:szCs w:val="22"/>
              </w:rPr>
              <w:t>100%</w:t>
            </w:r>
          </w:p>
        </w:tc>
      </w:tr>
    </w:tbl>
    <w:p w14:paraId="7CA7AB5F" w14:textId="6AB3A5FA" w:rsidR="00582475" w:rsidRPr="0061384E" w:rsidRDefault="00E856D4" w:rsidP="00582475">
      <w:pPr>
        <w:rPr>
          <w:lang w:val="en-GB"/>
        </w:rPr>
      </w:pPr>
      <w:r w:rsidRPr="0061384E">
        <w:rPr>
          <w:lang w:val="en-GB"/>
        </w:rPr>
        <w:t xml:space="preserve">Note: dark (blue) shading: top 3 </w:t>
      </w:r>
      <w:r>
        <w:rPr>
          <w:lang w:val="en-GB"/>
        </w:rPr>
        <w:t>host</w:t>
      </w:r>
      <w:r w:rsidRPr="0061384E">
        <w:rPr>
          <w:lang w:val="en-GB"/>
        </w:rPr>
        <w:t xml:space="preserve"> countries </w:t>
      </w:r>
      <w:r>
        <w:rPr>
          <w:lang w:val="en-GB"/>
        </w:rPr>
        <w:t xml:space="preserve">(rows) </w:t>
      </w:r>
      <w:r w:rsidRPr="0061384E">
        <w:rPr>
          <w:lang w:val="en-GB"/>
        </w:rPr>
        <w:t xml:space="preserve">in the given </w:t>
      </w:r>
      <w:r>
        <w:rPr>
          <w:lang w:val="en-GB"/>
        </w:rPr>
        <w:t>source</w:t>
      </w:r>
      <w:r w:rsidRPr="0061384E">
        <w:rPr>
          <w:lang w:val="en-GB"/>
        </w:rPr>
        <w:t xml:space="preserve"> country</w:t>
      </w:r>
      <w:r>
        <w:rPr>
          <w:lang w:val="en-GB"/>
        </w:rPr>
        <w:t xml:space="preserve"> (columns)</w:t>
      </w:r>
      <w:r w:rsidRPr="0061384E">
        <w:rPr>
          <w:lang w:val="en-GB"/>
        </w:rPr>
        <w:t xml:space="preserve">; medium (green) shading: </w:t>
      </w:r>
      <w:r>
        <w:rPr>
          <w:lang w:val="en-GB"/>
        </w:rPr>
        <w:t xml:space="preserve">host country accounts for more 3% of FDI from source country, but is not top 3; light (yellow) shading: host country accounts for less than 3% of FDI from source country. </w:t>
      </w:r>
    </w:p>
    <w:p w14:paraId="47665E1D" w14:textId="77777777" w:rsidR="00582475" w:rsidRDefault="00582475" w:rsidP="00582475">
      <w:pPr>
        <w:jc w:val="center"/>
        <w:rPr>
          <w:b/>
          <w:lang w:val="en-GB"/>
        </w:rPr>
      </w:pPr>
    </w:p>
    <w:p w14:paraId="029080BE" w14:textId="77777777" w:rsidR="00582475" w:rsidRDefault="00582475" w:rsidP="003C708A">
      <w:pPr>
        <w:rPr>
          <w:b/>
          <w:lang w:val="en-GB"/>
        </w:rPr>
      </w:pPr>
    </w:p>
    <w:p w14:paraId="54CCDA96" w14:textId="77777777" w:rsidR="003A3BCD" w:rsidRDefault="003A3BCD" w:rsidP="00C71239">
      <w:pPr>
        <w:jc w:val="center"/>
        <w:rPr>
          <w:b/>
          <w:lang w:val="en-GB"/>
        </w:rPr>
      </w:pPr>
    </w:p>
    <w:p w14:paraId="0CD8D52E" w14:textId="77777777" w:rsidR="006E2394" w:rsidRDefault="006E2394" w:rsidP="003C708A">
      <w:pPr>
        <w:rPr>
          <w:b/>
          <w:lang w:val="en-GB"/>
        </w:rPr>
      </w:pPr>
    </w:p>
    <w:p w14:paraId="56490E2D" w14:textId="77777777" w:rsidR="002C667B" w:rsidRDefault="002C667B">
      <w:pPr>
        <w:rPr>
          <w:b/>
          <w:lang w:val="en-GB"/>
        </w:rPr>
      </w:pPr>
      <w:r>
        <w:rPr>
          <w:b/>
          <w:lang w:val="en-GB"/>
        </w:rPr>
        <w:br w:type="page"/>
      </w:r>
    </w:p>
    <w:p w14:paraId="1B477473" w14:textId="77777777" w:rsidR="003A3BCD" w:rsidRDefault="003A3BCD" w:rsidP="00C71239">
      <w:pPr>
        <w:jc w:val="center"/>
        <w:rPr>
          <w:b/>
          <w:lang w:val="en-GB"/>
        </w:rPr>
      </w:pPr>
    </w:p>
    <w:p w14:paraId="1F4B1833" w14:textId="77777777" w:rsidR="003A3BCD" w:rsidRDefault="003A3BCD" w:rsidP="00C71239">
      <w:pPr>
        <w:jc w:val="center"/>
        <w:rPr>
          <w:b/>
          <w:lang w:val="en-GB"/>
        </w:rPr>
      </w:pPr>
    </w:p>
    <w:p w14:paraId="1EEC2DC1" w14:textId="77777777" w:rsidR="003A3BCD" w:rsidRDefault="003A3BCD" w:rsidP="00C71239">
      <w:pPr>
        <w:jc w:val="center"/>
        <w:rPr>
          <w:b/>
          <w:lang w:val="en-GB"/>
        </w:rPr>
      </w:pPr>
    </w:p>
    <w:p w14:paraId="65A3F4B1" w14:textId="77777777" w:rsidR="003A3BCD" w:rsidRDefault="003A3BCD" w:rsidP="00C71239">
      <w:pPr>
        <w:jc w:val="center"/>
        <w:rPr>
          <w:b/>
          <w:lang w:val="en-GB"/>
        </w:rPr>
      </w:pPr>
    </w:p>
    <w:p w14:paraId="24B89C05" w14:textId="7B3EEDB4" w:rsidR="008C393A" w:rsidRDefault="008C393A">
      <w:pPr>
        <w:rPr>
          <w:b/>
          <w:lang w:val="en-GB"/>
        </w:rPr>
      </w:pPr>
    </w:p>
    <w:p w14:paraId="3EF70585" w14:textId="2EF91573" w:rsidR="00A950A4" w:rsidRDefault="00A950A4" w:rsidP="00C71239">
      <w:pPr>
        <w:jc w:val="center"/>
        <w:rPr>
          <w:b/>
          <w:lang w:val="en-GB"/>
        </w:rPr>
      </w:pPr>
      <w:r w:rsidRPr="00C60FB4">
        <w:rPr>
          <w:b/>
          <w:lang w:val="en-GB"/>
        </w:rPr>
        <w:t>Table 3: Sample Statistics</w:t>
      </w:r>
    </w:p>
    <w:p w14:paraId="5C6F2F4A" w14:textId="2F48918A" w:rsidR="00A2742F" w:rsidRDefault="00A2742F" w:rsidP="00ED4BD0">
      <w:pPr>
        <w:rPr>
          <w:highlight w:val="green"/>
          <w:lang w:val="en-GB"/>
        </w:rPr>
      </w:pPr>
    </w:p>
    <w:tbl>
      <w:tblPr>
        <w:tblW w:w="5000" w:type="pct"/>
        <w:tblLook w:val="04A0" w:firstRow="1" w:lastRow="0" w:firstColumn="1" w:lastColumn="0" w:noHBand="0" w:noVBand="1"/>
      </w:tblPr>
      <w:tblGrid>
        <w:gridCol w:w="3369"/>
        <w:gridCol w:w="1497"/>
        <w:gridCol w:w="1498"/>
        <w:gridCol w:w="1498"/>
        <w:gridCol w:w="1498"/>
      </w:tblGrid>
      <w:tr w:rsidR="00000990" w:rsidRPr="006E2394" w14:paraId="3C1DC8F1" w14:textId="77777777" w:rsidTr="009256EF">
        <w:trPr>
          <w:trHeight w:val="300"/>
        </w:trPr>
        <w:tc>
          <w:tcPr>
            <w:tcW w:w="1800" w:type="pct"/>
            <w:tcBorders>
              <w:top w:val="single" w:sz="4" w:space="0" w:color="auto"/>
              <w:left w:val="nil"/>
              <w:bottom w:val="single" w:sz="4" w:space="0" w:color="auto"/>
              <w:right w:val="nil"/>
            </w:tcBorders>
            <w:shd w:val="clear" w:color="auto" w:fill="auto"/>
            <w:noWrap/>
            <w:vAlign w:val="center"/>
            <w:hideMark/>
          </w:tcPr>
          <w:p w14:paraId="27B1DC9C" w14:textId="77777777" w:rsidR="00000990" w:rsidRPr="006E2394" w:rsidRDefault="00000990">
            <w:pPr>
              <w:rPr>
                <w:color w:val="000000"/>
                <w:sz w:val="20"/>
                <w:szCs w:val="20"/>
                <w:lang w:val="en-GB" w:eastAsia="en-GB"/>
              </w:rPr>
            </w:pPr>
            <w:r w:rsidRPr="006E2394">
              <w:rPr>
                <w:color w:val="000000"/>
                <w:sz w:val="20"/>
                <w:szCs w:val="20"/>
              </w:rPr>
              <w:t xml:space="preserve">    Variable </w:t>
            </w:r>
          </w:p>
        </w:tc>
        <w:tc>
          <w:tcPr>
            <w:tcW w:w="800" w:type="pct"/>
            <w:tcBorders>
              <w:top w:val="single" w:sz="4" w:space="0" w:color="auto"/>
              <w:left w:val="nil"/>
              <w:bottom w:val="single" w:sz="4" w:space="0" w:color="auto"/>
              <w:right w:val="nil"/>
            </w:tcBorders>
            <w:shd w:val="clear" w:color="auto" w:fill="auto"/>
            <w:noWrap/>
            <w:vAlign w:val="center"/>
            <w:hideMark/>
          </w:tcPr>
          <w:p w14:paraId="6D690B62" w14:textId="77777777" w:rsidR="00000990" w:rsidRPr="006E2394" w:rsidRDefault="00000990">
            <w:pPr>
              <w:jc w:val="center"/>
              <w:rPr>
                <w:color w:val="000000"/>
                <w:sz w:val="20"/>
                <w:szCs w:val="20"/>
              </w:rPr>
            </w:pPr>
            <w:r w:rsidRPr="006E2394">
              <w:rPr>
                <w:color w:val="000000"/>
                <w:sz w:val="20"/>
                <w:szCs w:val="20"/>
              </w:rPr>
              <w:t>Mean</w:t>
            </w:r>
          </w:p>
        </w:tc>
        <w:tc>
          <w:tcPr>
            <w:tcW w:w="800" w:type="pct"/>
            <w:tcBorders>
              <w:top w:val="single" w:sz="4" w:space="0" w:color="auto"/>
              <w:left w:val="nil"/>
              <w:bottom w:val="single" w:sz="4" w:space="0" w:color="auto"/>
              <w:right w:val="nil"/>
            </w:tcBorders>
            <w:shd w:val="clear" w:color="auto" w:fill="auto"/>
            <w:noWrap/>
            <w:vAlign w:val="center"/>
            <w:hideMark/>
          </w:tcPr>
          <w:p w14:paraId="71E6B013" w14:textId="77777777" w:rsidR="00000990" w:rsidRPr="006E2394" w:rsidRDefault="00000990">
            <w:pPr>
              <w:jc w:val="center"/>
              <w:rPr>
                <w:color w:val="000000"/>
                <w:sz w:val="20"/>
                <w:szCs w:val="20"/>
              </w:rPr>
            </w:pPr>
            <w:r w:rsidRPr="006E2394">
              <w:rPr>
                <w:color w:val="000000"/>
                <w:sz w:val="20"/>
                <w:szCs w:val="20"/>
              </w:rPr>
              <w:t>Std. Dev.</w:t>
            </w:r>
          </w:p>
        </w:tc>
        <w:tc>
          <w:tcPr>
            <w:tcW w:w="800" w:type="pct"/>
            <w:tcBorders>
              <w:top w:val="single" w:sz="4" w:space="0" w:color="auto"/>
              <w:left w:val="nil"/>
              <w:bottom w:val="single" w:sz="4" w:space="0" w:color="auto"/>
              <w:right w:val="nil"/>
            </w:tcBorders>
            <w:shd w:val="clear" w:color="auto" w:fill="auto"/>
            <w:noWrap/>
            <w:vAlign w:val="center"/>
            <w:hideMark/>
          </w:tcPr>
          <w:p w14:paraId="39FDC44F" w14:textId="77777777" w:rsidR="00000990" w:rsidRPr="006E2394" w:rsidRDefault="00000990">
            <w:pPr>
              <w:jc w:val="center"/>
              <w:rPr>
                <w:color w:val="000000"/>
                <w:sz w:val="20"/>
                <w:szCs w:val="20"/>
              </w:rPr>
            </w:pPr>
            <w:r w:rsidRPr="006E2394">
              <w:rPr>
                <w:color w:val="000000"/>
                <w:sz w:val="20"/>
                <w:szCs w:val="20"/>
              </w:rPr>
              <w:t>Min</w:t>
            </w:r>
          </w:p>
        </w:tc>
        <w:tc>
          <w:tcPr>
            <w:tcW w:w="800" w:type="pct"/>
            <w:tcBorders>
              <w:top w:val="single" w:sz="4" w:space="0" w:color="auto"/>
              <w:left w:val="nil"/>
              <w:bottom w:val="single" w:sz="4" w:space="0" w:color="auto"/>
              <w:right w:val="nil"/>
            </w:tcBorders>
            <w:shd w:val="clear" w:color="auto" w:fill="auto"/>
            <w:noWrap/>
            <w:vAlign w:val="center"/>
            <w:hideMark/>
          </w:tcPr>
          <w:p w14:paraId="5760EAD5" w14:textId="77777777" w:rsidR="00000990" w:rsidRPr="006E2394" w:rsidRDefault="00000990">
            <w:pPr>
              <w:jc w:val="center"/>
              <w:rPr>
                <w:color w:val="000000"/>
                <w:sz w:val="20"/>
                <w:szCs w:val="20"/>
              </w:rPr>
            </w:pPr>
            <w:r w:rsidRPr="006E2394">
              <w:rPr>
                <w:color w:val="000000"/>
                <w:sz w:val="20"/>
                <w:szCs w:val="20"/>
              </w:rPr>
              <w:t>Max</w:t>
            </w:r>
          </w:p>
        </w:tc>
      </w:tr>
      <w:tr w:rsidR="00000990" w:rsidRPr="006E2394" w14:paraId="2865D354" w14:textId="77777777" w:rsidTr="009256EF">
        <w:trPr>
          <w:trHeight w:val="300"/>
        </w:trPr>
        <w:tc>
          <w:tcPr>
            <w:tcW w:w="5000" w:type="pct"/>
            <w:gridSpan w:val="5"/>
            <w:tcBorders>
              <w:top w:val="single" w:sz="4" w:space="0" w:color="auto"/>
              <w:left w:val="nil"/>
              <w:bottom w:val="single" w:sz="4" w:space="0" w:color="auto"/>
              <w:right w:val="nil"/>
            </w:tcBorders>
            <w:shd w:val="clear" w:color="auto" w:fill="auto"/>
            <w:noWrap/>
            <w:vAlign w:val="center"/>
            <w:hideMark/>
          </w:tcPr>
          <w:p w14:paraId="5DB29E0A" w14:textId="77777777" w:rsidR="00000990" w:rsidRPr="006E2394" w:rsidRDefault="00000990">
            <w:pPr>
              <w:jc w:val="center"/>
              <w:rPr>
                <w:color w:val="000000"/>
                <w:sz w:val="20"/>
                <w:szCs w:val="20"/>
              </w:rPr>
            </w:pPr>
            <w:r w:rsidRPr="006E2394">
              <w:rPr>
                <w:color w:val="000000"/>
                <w:sz w:val="20"/>
                <w:szCs w:val="20"/>
              </w:rPr>
              <w:t>Sample with all firms. N=1,644,226</w:t>
            </w:r>
          </w:p>
        </w:tc>
      </w:tr>
      <w:tr w:rsidR="00000990" w:rsidRPr="006E2394" w14:paraId="17ACF412" w14:textId="77777777" w:rsidTr="009256EF">
        <w:trPr>
          <w:trHeight w:val="300"/>
        </w:trPr>
        <w:tc>
          <w:tcPr>
            <w:tcW w:w="1800" w:type="pct"/>
            <w:tcBorders>
              <w:top w:val="nil"/>
              <w:left w:val="nil"/>
              <w:bottom w:val="nil"/>
              <w:right w:val="nil"/>
            </w:tcBorders>
            <w:shd w:val="clear" w:color="auto" w:fill="auto"/>
            <w:noWrap/>
            <w:vAlign w:val="center"/>
            <w:hideMark/>
          </w:tcPr>
          <w:p w14:paraId="6569145B" w14:textId="767ED85A" w:rsidR="00000990" w:rsidRPr="006E2394" w:rsidRDefault="00D6052A">
            <w:pPr>
              <w:rPr>
                <w:color w:val="000000"/>
                <w:sz w:val="20"/>
                <w:szCs w:val="20"/>
              </w:rPr>
            </w:pPr>
            <w:r>
              <w:rPr>
                <w:rFonts w:cs="Calibri"/>
                <w:color w:val="000000"/>
                <w:sz w:val="20"/>
                <w:szCs w:val="20"/>
              </w:rPr>
              <w:t>IPR</w:t>
            </w:r>
            <w:r w:rsidR="00B23537">
              <w:rPr>
                <w:rFonts w:cs="Calibri"/>
                <w:color w:val="000000"/>
                <w:sz w:val="20"/>
                <w:szCs w:val="20"/>
              </w:rPr>
              <w:t xml:space="preserve"> Protection</w:t>
            </w:r>
          </w:p>
        </w:tc>
        <w:tc>
          <w:tcPr>
            <w:tcW w:w="800" w:type="pct"/>
            <w:tcBorders>
              <w:top w:val="nil"/>
              <w:left w:val="nil"/>
              <w:bottom w:val="nil"/>
              <w:right w:val="nil"/>
            </w:tcBorders>
            <w:shd w:val="clear" w:color="auto" w:fill="auto"/>
            <w:noWrap/>
            <w:vAlign w:val="bottom"/>
            <w:hideMark/>
          </w:tcPr>
          <w:p w14:paraId="0B3ED4E8" w14:textId="77777777" w:rsidR="00000990" w:rsidRPr="006E2394" w:rsidRDefault="00000990">
            <w:pPr>
              <w:jc w:val="right"/>
              <w:rPr>
                <w:color w:val="000000"/>
                <w:sz w:val="20"/>
                <w:szCs w:val="20"/>
              </w:rPr>
            </w:pPr>
            <w:r w:rsidRPr="006E2394">
              <w:rPr>
                <w:color w:val="000000"/>
                <w:sz w:val="20"/>
                <w:szCs w:val="20"/>
              </w:rPr>
              <w:t>77.774</w:t>
            </w:r>
          </w:p>
        </w:tc>
        <w:tc>
          <w:tcPr>
            <w:tcW w:w="800" w:type="pct"/>
            <w:tcBorders>
              <w:top w:val="nil"/>
              <w:left w:val="nil"/>
              <w:bottom w:val="nil"/>
              <w:right w:val="nil"/>
            </w:tcBorders>
            <w:shd w:val="clear" w:color="auto" w:fill="auto"/>
            <w:noWrap/>
            <w:vAlign w:val="bottom"/>
            <w:hideMark/>
          </w:tcPr>
          <w:p w14:paraId="047A86B3" w14:textId="77777777" w:rsidR="00000990" w:rsidRPr="006E2394" w:rsidRDefault="00000990">
            <w:pPr>
              <w:jc w:val="right"/>
              <w:rPr>
                <w:color w:val="000000"/>
                <w:sz w:val="20"/>
                <w:szCs w:val="20"/>
              </w:rPr>
            </w:pPr>
            <w:r w:rsidRPr="006E2394">
              <w:rPr>
                <w:color w:val="000000"/>
                <w:sz w:val="20"/>
                <w:szCs w:val="20"/>
              </w:rPr>
              <w:t>16.117</w:t>
            </w:r>
          </w:p>
        </w:tc>
        <w:tc>
          <w:tcPr>
            <w:tcW w:w="800" w:type="pct"/>
            <w:tcBorders>
              <w:top w:val="nil"/>
              <w:left w:val="nil"/>
              <w:bottom w:val="nil"/>
              <w:right w:val="nil"/>
            </w:tcBorders>
            <w:shd w:val="clear" w:color="auto" w:fill="auto"/>
            <w:noWrap/>
            <w:vAlign w:val="bottom"/>
            <w:hideMark/>
          </w:tcPr>
          <w:p w14:paraId="6B8E4044" w14:textId="77777777" w:rsidR="00000990" w:rsidRPr="006E2394" w:rsidRDefault="00000990">
            <w:pPr>
              <w:jc w:val="right"/>
              <w:rPr>
                <w:color w:val="000000"/>
                <w:sz w:val="20"/>
                <w:szCs w:val="20"/>
              </w:rPr>
            </w:pPr>
            <w:r w:rsidRPr="006E2394">
              <w:rPr>
                <w:color w:val="000000"/>
                <w:sz w:val="20"/>
                <w:szCs w:val="20"/>
              </w:rPr>
              <w:t>50.000</w:t>
            </w:r>
          </w:p>
        </w:tc>
        <w:tc>
          <w:tcPr>
            <w:tcW w:w="800" w:type="pct"/>
            <w:tcBorders>
              <w:top w:val="nil"/>
              <w:left w:val="nil"/>
              <w:bottom w:val="nil"/>
              <w:right w:val="nil"/>
            </w:tcBorders>
            <w:shd w:val="clear" w:color="auto" w:fill="auto"/>
            <w:noWrap/>
            <w:vAlign w:val="bottom"/>
            <w:hideMark/>
          </w:tcPr>
          <w:p w14:paraId="4B44563B" w14:textId="77777777" w:rsidR="00000990" w:rsidRPr="006E2394" w:rsidRDefault="00000990">
            <w:pPr>
              <w:jc w:val="right"/>
              <w:rPr>
                <w:color w:val="000000"/>
                <w:sz w:val="20"/>
                <w:szCs w:val="20"/>
              </w:rPr>
            </w:pPr>
            <w:r w:rsidRPr="006E2394">
              <w:rPr>
                <w:color w:val="000000"/>
                <w:sz w:val="20"/>
                <w:szCs w:val="20"/>
              </w:rPr>
              <w:t>90.000</w:t>
            </w:r>
          </w:p>
        </w:tc>
      </w:tr>
      <w:tr w:rsidR="00000990" w:rsidRPr="006E2394" w14:paraId="5AAD4FF7" w14:textId="77777777" w:rsidTr="009256EF">
        <w:trPr>
          <w:trHeight w:val="300"/>
        </w:trPr>
        <w:tc>
          <w:tcPr>
            <w:tcW w:w="1800" w:type="pct"/>
            <w:tcBorders>
              <w:top w:val="nil"/>
              <w:left w:val="nil"/>
              <w:bottom w:val="nil"/>
              <w:right w:val="nil"/>
            </w:tcBorders>
            <w:shd w:val="clear" w:color="auto" w:fill="auto"/>
            <w:noWrap/>
            <w:vAlign w:val="center"/>
            <w:hideMark/>
          </w:tcPr>
          <w:p w14:paraId="611C19D3" w14:textId="459E3760" w:rsidR="00000990" w:rsidRPr="006E2394" w:rsidRDefault="00B23537">
            <w:pPr>
              <w:rPr>
                <w:color w:val="000000"/>
                <w:sz w:val="20"/>
                <w:szCs w:val="20"/>
              </w:rPr>
            </w:pPr>
            <w:r>
              <w:rPr>
                <w:rFonts w:cs="Calibri"/>
                <w:color w:val="000000"/>
                <w:sz w:val="20"/>
                <w:szCs w:val="20"/>
              </w:rPr>
              <w:t>Distance</w:t>
            </w:r>
          </w:p>
        </w:tc>
        <w:tc>
          <w:tcPr>
            <w:tcW w:w="800" w:type="pct"/>
            <w:tcBorders>
              <w:top w:val="nil"/>
              <w:left w:val="nil"/>
              <w:bottom w:val="nil"/>
              <w:right w:val="nil"/>
            </w:tcBorders>
            <w:shd w:val="clear" w:color="auto" w:fill="auto"/>
            <w:noWrap/>
            <w:vAlign w:val="bottom"/>
            <w:hideMark/>
          </w:tcPr>
          <w:p w14:paraId="0E1791D7" w14:textId="77777777" w:rsidR="00000990" w:rsidRPr="006E2394" w:rsidRDefault="00000990">
            <w:pPr>
              <w:jc w:val="right"/>
              <w:rPr>
                <w:color w:val="000000"/>
                <w:sz w:val="20"/>
                <w:szCs w:val="20"/>
              </w:rPr>
            </w:pPr>
            <w:r w:rsidRPr="006E2394">
              <w:rPr>
                <w:color w:val="000000"/>
                <w:sz w:val="20"/>
                <w:szCs w:val="20"/>
              </w:rPr>
              <w:t>7.896</w:t>
            </w:r>
          </w:p>
        </w:tc>
        <w:tc>
          <w:tcPr>
            <w:tcW w:w="800" w:type="pct"/>
            <w:tcBorders>
              <w:top w:val="nil"/>
              <w:left w:val="nil"/>
              <w:bottom w:val="nil"/>
              <w:right w:val="nil"/>
            </w:tcBorders>
            <w:shd w:val="clear" w:color="auto" w:fill="auto"/>
            <w:noWrap/>
            <w:vAlign w:val="bottom"/>
            <w:hideMark/>
          </w:tcPr>
          <w:p w14:paraId="3942A4F2" w14:textId="77777777" w:rsidR="00000990" w:rsidRPr="006E2394" w:rsidRDefault="00000990">
            <w:pPr>
              <w:jc w:val="right"/>
              <w:rPr>
                <w:color w:val="000000"/>
                <w:sz w:val="20"/>
                <w:szCs w:val="20"/>
              </w:rPr>
            </w:pPr>
            <w:r w:rsidRPr="006E2394">
              <w:rPr>
                <w:color w:val="000000"/>
                <w:sz w:val="20"/>
                <w:szCs w:val="20"/>
              </w:rPr>
              <w:t>1.091</w:t>
            </w:r>
          </w:p>
        </w:tc>
        <w:tc>
          <w:tcPr>
            <w:tcW w:w="800" w:type="pct"/>
            <w:tcBorders>
              <w:top w:val="nil"/>
              <w:left w:val="nil"/>
              <w:bottom w:val="nil"/>
              <w:right w:val="nil"/>
            </w:tcBorders>
            <w:shd w:val="clear" w:color="auto" w:fill="auto"/>
            <w:noWrap/>
            <w:vAlign w:val="bottom"/>
            <w:hideMark/>
          </w:tcPr>
          <w:p w14:paraId="4CBEA876" w14:textId="77777777" w:rsidR="00000990" w:rsidRPr="006E2394" w:rsidRDefault="00000990">
            <w:pPr>
              <w:jc w:val="right"/>
              <w:rPr>
                <w:color w:val="000000"/>
                <w:sz w:val="20"/>
                <w:szCs w:val="20"/>
              </w:rPr>
            </w:pPr>
            <w:r w:rsidRPr="006E2394">
              <w:rPr>
                <w:color w:val="000000"/>
                <w:sz w:val="20"/>
                <w:szCs w:val="20"/>
              </w:rPr>
              <w:t>5.570</w:t>
            </w:r>
          </w:p>
        </w:tc>
        <w:tc>
          <w:tcPr>
            <w:tcW w:w="800" w:type="pct"/>
            <w:tcBorders>
              <w:top w:val="nil"/>
              <w:left w:val="nil"/>
              <w:bottom w:val="nil"/>
              <w:right w:val="nil"/>
            </w:tcBorders>
            <w:shd w:val="clear" w:color="auto" w:fill="auto"/>
            <w:noWrap/>
            <w:vAlign w:val="bottom"/>
            <w:hideMark/>
          </w:tcPr>
          <w:p w14:paraId="49519AD2" w14:textId="77777777" w:rsidR="00000990" w:rsidRPr="006E2394" w:rsidRDefault="00000990">
            <w:pPr>
              <w:jc w:val="right"/>
              <w:rPr>
                <w:color w:val="000000"/>
                <w:sz w:val="20"/>
                <w:szCs w:val="20"/>
              </w:rPr>
            </w:pPr>
            <w:r w:rsidRPr="006E2394">
              <w:rPr>
                <w:color w:val="000000"/>
                <w:sz w:val="20"/>
                <w:szCs w:val="20"/>
              </w:rPr>
              <w:t>9.883</w:t>
            </w:r>
          </w:p>
        </w:tc>
      </w:tr>
      <w:tr w:rsidR="00000990" w:rsidRPr="006E2394" w14:paraId="5299EBA7" w14:textId="77777777" w:rsidTr="009256EF">
        <w:trPr>
          <w:trHeight w:val="300"/>
        </w:trPr>
        <w:tc>
          <w:tcPr>
            <w:tcW w:w="1800" w:type="pct"/>
            <w:tcBorders>
              <w:top w:val="nil"/>
              <w:left w:val="nil"/>
              <w:bottom w:val="nil"/>
              <w:right w:val="nil"/>
            </w:tcBorders>
            <w:shd w:val="clear" w:color="auto" w:fill="auto"/>
            <w:noWrap/>
            <w:vAlign w:val="center"/>
            <w:hideMark/>
          </w:tcPr>
          <w:p w14:paraId="45E1A33A" w14:textId="3C1D36D4" w:rsidR="00000990" w:rsidRPr="006E2394" w:rsidRDefault="00000990">
            <w:pPr>
              <w:rPr>
                <w:color w:val="000000"/>
                <w:sz w:val="20"/>
                <w:szCs w:val="20"/>
              </w:rPr>
            </w:pPr>
            <w:r w:rsidRPr="006E2394">
              <w:rPr>
                <w:rFonts w:cs="Calibri"/>
                <w:color w:val="000000"/>
                <w:sz w:val="20"/>
                <w:szCs w:val="20"/>
              </w:rPr>
              <w:t>Foreign-born population</w:t>
            </w:r>
          </w:p>
        </w:tc>
        <w:tc>
          <w:tcPr>
            <w:tcW w:w="800" w:type="pct"/>
            <w:tcBorders>
              <w:top w:val="nil"/>
              <w:left w:val="nil"/>
              <w:bottom w:val="nil"/>
              <w:right w:val="nil"/>
            </w:tcBorders>
            <w:shd w:val="clear" w:color="auto" w:fill="auto"/>
            <w:noWrap/>
            <w:vAlign w:val="bottom"/>
            <w:hideMark/>
          </w:tcPr>
          <w:p w14:paraId="7C3FC281" w14:textId="77777777" w:rsidR="00000990" w:rsidRPr="006E2394" w:rsidRDefault="00000990">
            <w:pPr>
              <w:jc w:val="right"/>
              <w:rPr>
                <w:color w:val="000000"/>
                <w:sz w:val="20"/>
                <w:szCs w:val="20"/>
              </w:rPr>
            </w:pPr>
            <w:r w:rsidRPr="006E2394">
              <w:rPr>
                <w:color w:val="000000"/>
                <w:sz w:val="20"/>
                <w:szCs w:val="20"/>
              </w:rPr>
              <w:t>0.459</w:t>
            </w:r>
          </w:p>
        </w:tc>
        <w:tc>
          <w:tcPr>
            <w:tcW w:w="800" w:type="pct"/>
            <w:tcBorders>
              <w:top w:val="nil"/>
              <w:left w:val="nil"/>
              <w:bottom w:val="nil"/>
              <w:right w:val="nil"/>
            </w:tcBorders>
            <w:shd w:val="clear" w:color="auto" w:fill="auto"/>
            <w:noWrap/>
            <w:vAlign w:val="bottom"/>
            <w:hideMark/>
          </w:tcPr>
          <w:p w14:paraId="3515D848" w14:textId="77777777" w:rsidR="00000990" w:rsidRPr="006E2394" w:rsidRDefault="00000990">
            <w:pPr>
              <w:jc w:val="right"/>
              <w:rPr>
                <w:color w:val="000000"/>
                <w:sz w:val="20"/>
                <w:szCs w:val="20"/>
              </w:rPr>
            </w:pPr>
            <w:r w:rsidRPr="006E2394">
              <w:rPr>
                <w:color w:val="000000"/>
                <w:sz w:val="20"/>
                <w:szCs w:val="20"/>
              </w:rPr>
              <w:t>1.176</w:t>
            </w:r>
          </w:p>
        </w:tc>
        <w:tc>
          <w:tcPr>
            <w:tcW w:w="800" w:type="pct"/>
            <w:tcBorders>
              <w:top w:val="nil"/>
              <w:left w:val="nil"/>
              <w:bottom w:val="nil"/>
              <w:right w:val="nil"/>
            </w:tcBorders>
            <w:shd w:val="clear" w:color="auto" w:fill="auto"/>
            <w:noWrap/>
            <w:vAlign w:val="bottom"/>
            <w:hideMark/>
          </w:tcPr>
          <w:p w14:paraId="22172118" w14:textId="77777777" w:rsidR="00000990" w:rsidRPr="006E2394" w:rsidRDefault="00000990">
            <w:pPr>
              <w:jc w:val="right"/>
              <w:rPr>
                <w:color w:val="000000"/>
                <w:sz w:val="20"/>
                <w:szCs w:val="20"/>
              </w:rPr>
            </w:pPr>
            <w:r w:rsidRPr="006E2394">
              <w:rPr>
                <w:color w:val="000000"/>
                <w:sz w:val="20"/>
                <w:szCs w:val="20"/>
              </w:rPr>
              <w:t>0.000</w:t>
            </w:r>
          </w:p>
        </w:tc>
        <w:tc>
          <w:tcPr>
            <w:tcW w:w="800" w:type="pct"/>
            <w:tcBorders>
              <w:top w:val="nil"/>
              <w:left w:val="nil"/>
              <w:bottom w:val="nil"/>
              <w:right w:val="nil"/>
            </w:tcBorders>
            <w:shd w:val="clear" w:color="auto" w:fill="auto"/>
            <w:noWrap/>
            <w:vAlign w:val="bottom"/>
            <w:hideMark/>
          </w:tcPr>
          <w:p w14:paraId="6C5D4E83" w14:textId="77777777" w:rsidR="00000990" w:rsidRPr="006E2394" w:rsidRDefault="00000990">
            <w:pPr>
              <w:jc w:val="right"/>
              <w:rPr>
                <w:color w:val="000000"/>
                <w:sz w:val="20"/>
                <w:szCs w:val="20"/>
              </w:rPr>
            </w:pPr>
            <w:r w:rsidRPr="006E2394">
              <w:rPr>
                <w:color w:val="000000"/>
                <w:sz w:val="20"/>
                <w:szCs w:val="20"/>
              </w:rPr>
              <w:t>9.800</w:t>
            </w:r>
          </w:p>
        </w:tc>
      </w:tr>
      <w:tr w:rsidR="00000990" w:rsidRPr="006E2394" w14:paraId="2A333ED9" w14:textId="77777777" w:rsidTr="009256EF">
        <w:trPr>
          <w:trHeight w:val="300"/>
        </w:trPr>
        <w:tc>
          <w:tcPr>
            <w:tcW w:w="1800" w:type="pct"/>
            <w:tcBorders>
              <w:top w:val="nil"/>
              <w:left w:val="nil"/>
              <w:bottom w:val="nil"/>
              <w:right w:val="nil"/>
            </w:tcBorders>
            <w:shd w:val="clear" w:color="auto" w:fill="auto"/>
            <w:noWrap/>
            <w:vAlign w:val="center"/>
            <w:hideMark/>
          </w:tcPr>
          <w:p w14:paraId="75F24D71" w14:textId="25265768" w:rsidR="00000990" w:rsidRPr="006E2394" w:rsidRDefault="00B23537" w:rsidP="00B23537">
            <w:pPr>
              <w:rPr>
                <w:color w:val="000000"/>
                <w:sz w:val="20"/>
                <w:szCs w:val="20"/>
              </w:rPr>
            </w:pPr>
            <w:r>
              <w:rPr>
                <w:rFonts w:cs="Calibri"/>
                <w:color w:val="000000"/>
                <w:sz w:val="20"/>
                <w:szCs w:val="20"/>
              </w:rPr>
              <w:t>Population</w:t>
            </w:r>
          </w:p>
        </w:tc>
        <w:tc>
          <w:tcPr>
            <w:tcW w:w="800" w:type="pct"/>
            <w:tcBorders>
              <w:top w:val="nil"/>
              <w:left w:val="nil"/>
              <w:bottom w:val="nil"/>
              <w:right w:val="nil"/>
            </w:tcBorders>
            <w:shd w:val="clear" w:color="auto" w:fill="auto"/>
            <w:noWrap/>
            <w:vAlign w:val="bottom"/>
            <w:hideMark/>
          </w:tcPr>
          <w:p w14:paraId="6B91D7D7" w14:textId="77777777" w:rsidR="00000990" w:rsidRPr="006E2394" w:rsidRDefault="00000990">
            <w:pPr>
              <w:jc w:val="right"/>
              <w:rPr>
                <w:color w:val="000000"/>
                <w:sz w:val="20"/>
                <w:szCs w:val="20"/>
              </w:rPr>
            </w:pPr>
            <w:r w:rsidRPr="006E2394">
              <w:rPr>
                <w:color w:val="000000"/>
                <w:sz w:val="20"/>
                <w:szCs w:val="20"/>
              </w:rPr>
              <w:t>16.062</w:t>
            </w:r>
          </w:p>
        </w:tc>
        <w:tc>
          <w:tcPr>
            <w:tcW w:w="800" w:type="pct"/>
            <w:tcBorders>
              <w:top w:val="nil"/>
              <w:left w:val="nil"/>
              <w:bottom w:val="nil"/>
              <w:right w:val="nil"/>
            </w:tcBorders>
            <w:shd w:val="clear" w:color="auto" w:fill="auto"/>
            <w:noWrap/>
            <w:vAlign w:val="bottom"/>
            <w:hideMark/>
          </w:tcPr>
          <w:p w14:paraId="5512539B" w14:textId="77777777" w:rsidR="00000990" w:rsidRPr="006E2394" w:rsidRDefault="00000990">
            <w:pPr>
              <w:jc w:val="right"/>
              <w:rPr>
                <w:color w:val="000000"/>
                <w:sz w:val="20"/>
                <w:szCs w:val="20"/>
              </w:rPr>
            </w:pPr>
            <w:r w:rsidRPr="006E2394">
              <w:rPr>
                <w:color w:val="000000"/>
                <w:sz w:val="20"/>
                <w:szCs w:val="20"/>
              </w:rPr>
              <w:t>1.476</w:t>
            </w:r>
          </w:p>
        </w:tc>
        <w:tc>
          <w:tcPr>
            <w:tcW w:w="800" w:type="pct"/>
            <w:tcBorders>
              <w:top w:val="nil"/>
              <w:left w:val="nil"/>
              <w:bottom w:val="nil"/>
              <w:right w:val="nil"/>
            </w:tcBorders>
            <w:shd w:val="clear" w:color="auto" w:fill="auto"/>
            <w:noWrap/>
            <w:vAlign w:val="bottom"/>
            <w:hideMark/>
          </w:tcPr>
          <w:p w14:paraId="3B1E4EEE" w14:textId="77777777" w:rsidR="00000990" w:rsidRPr="006E2394" w:rsidRDefault="00000990">
            <w:pPr>
              <w:jc w:val="right"/>
              <w:rPr>
                <w:color w:val="000000"/>
                <w:sz w:val="20"/>
                <w:szCs w:val="20"/>
              </w:rPr>
            </w:pPr>
            <w:r w:rsidRPr="006E2394">
              <w:rPr>
                <w:color w:val="000000"/>
                <w:sz w:val="20"/>
                <w:szCs w:val="20"/>
              </w:rPr>
              <w:t>12.649</w:t>
            </w:r>
          </w:p>
        </w:tc>
        <w:tc>
          <w:tcPr>
            <w:tcW w:w="800" w:type="pct"/>
            <w:tcBorders>
              <w:top w:val="nil"/>
              <w:left w:val="nil"/>
              <w:bottom w:val="nil"/>
              <w:right w:val="nil"/>
            </w:tcBorders>
            <w:shd w:val="clear" w:color="auto" w:fill="auto"/>
            <w:noWrap/>
            <w:vAlign w:val="bottom"/>
            <w:hideMark/>
          </w:tcPr>
          <w:p w14:paraId="14C6D056" w14:textId="77777777" w:rsidR="00000990" w:rsidRPr="006E2394" w:rsidRDefault="00000990">
            <w:pPr>
              <w:jc w:val="right"/>
              <w:rPr>
                <w:color w:val="000000"/>
                <w:sz w:val="20"/>
                <w:szCs w:val="20"/>
              </w:rPr>
            </w:pPr>
            <w:r w:rsidRPr="006E2394">
              <w:rPr>
                <w:color w:val="000000"/>
                <w:sz w:val="20"/>
                <w:szCs w:val="20"/>
              </w:rPr>
              <w:t>19.523</w:t>
            </w:r>
          </w:p>
        </w:tc>
      </w:tr>
      <w:tr w:rsidR="00000990" w:rsidRPr="006E2394" w14:paraId="4485D5E1" w14:textId="77777777" w:rsidTr="009256EF">
        <w:trPr>
          <w:trHeight w:val="300"/>
        </w:trPr>
        <w:tc>
          <w:tcPr>
            <w:tcW w:w="1800" w:type="pct"/>
            <w:tcBorders>
              <w:top w:val="nil"/>
              <w:left w:val="nil"/>
              <w:bottom w:val="nil"/>
              <w:right w:val="nil"/>
            </w:tcBorders>
            <w:shd w:val="clear" w:color="auto" w:fill="auto"/>
            <w:noWrap/>
            <w:vAlign w:val="center"/>
            <w:hideMark/>
          </w:tcPr>
          <w:p w14:paraId="0AFEC8E0" w14:textId="77777777" w:rsidR="00000990" w:rsidRPr="006E2394" w:rsidRDefault="00000990">
            <w:pPr>
              <w:rPr>
                <w:color w:val="000000"/>
                <w:sz w:val="20"/>
                <w:szCs w:val="20"/>
              </w:rPr>
            </w:pPr>
            <w:r w:rsidRPr="006E2394">
              <w:rPr>
                <w:rFonts w:cs="Calibri"/>
                <w:color w:val="000000"/>
                <w:sz w:val="20"/>
                <w:szCs w:val="20"/>
              </w:rPr>
              <w:t xml:space="preserve">GDP Growth </w:t>
            </w:r>
          </w:p>
        </w:tc>
        <w:tc>
          <w:tcPr>
            <w:tcW w:w="800" w:type="pct"/>
            <w:tcBorders>
              <w:top w:val="nil"/>
              <w:left w:val="nil"/>
              <w:bottom w:val="nil"/>
              <w:right w:val="nil"/>
            </w:tcBorders>
            <w:shd w:val="clear" w:color="auto" w:fill="auto"/>
            <w:noWrap/>
            <w:vAlign w:val="bottom"/>
            <w:hideMark/>
          </w:tcPr>
          <w:p w14:paraId="6B6CFC22" w14:textId="77777777" w:rsidR="00000990" w:rsidRPr="006E2394" w:rsidRDefault="00000990">
            <w:pPr>
              <w:jc w:val="right"/>
              <w:rPr>
                <w:color w:val="000000"/>
                <w:sz w:val="20"/>
                <w:szCs w:val="20"/>
              </w:rPr>
            </w:pPr>
            <w:r w:rsidRPr="006E2394">
              <w:rPr>
                <w:color w:val="000000"/>
                <w:sz w:val="20"/>
                <w:szCs w:val="20"/>
              </w:rPr>
              <w:t>0.558</w:t>
            </w:r>
          </w:p>
        </w:tc>
        <w:tc>
          <w:tcPr>
            <w:tcW w:w="800" w:type="pct"/>
            <w:tcBorders>
              <w:top w:val="nil"/>
              <w:left w:val="nil"/>
              <w:bottom w:val="nil"/>
              <w:right w:val="nil"/>
            </w:tcBorders>
            <w:shd w:val="clear" w:color="auto" w:fill="auto"/>
            <w:noWrap/>
            <w:vAlign w:val="bottom"/>
            <w:hideMark/>
          </w:tcPr>
          <w:p w14:paraId="4F119E7C" w14:textId="77777777" w:rsidR="00000990" w:rsidRPr="006E2394" w:rsidRDefault="00000990">
            <w:pPr>
              <w:jc w:val="right"/>
              <w:rPr>
                <w:color w:val="000000"/>
                <w:sz w:val="20"/>
                <w:szCs w:val="20"/>
              </w:rPr>
            </w:pPr>
            <w:r w:rsidRPr="006E2394">
              <w:rPr>
                <w:color w:val="000000"/>
                <w:sz w:val="20"/>
                <w:szCs w:val="20"/>
              </w:rPr>
              <w:t>1.587</w:t>
            </w:r>
          </w:p>
        </w:tc>
        <w:tc>
          <w:tcPr>
            <w:tcW w:w="800" w:type="pct"/>
            <w:tcBorders>
              <w:top w:val="nil"/>
              <w:left w:val="nil"/>
              <w:bottom w:val="nil"/>
              <w:right w:val="nil"/>
            </w:tcBorders>
            <w:shd w:val="clear" w:color="auto" w:fill="auto"/>
            <w:noWrap/>
            <w:vAlign w:val="bottom"/>
            <w:hideMark/>
          </w:tcPr>
          <w:p w14:paraId="71F9D7E1" w14:textId="77777777" w:rsidR="00000990" w:rsidRPr="006E2394" w:rsidRDefault="00000990">
            <w:pPr>
              <w:jc w:val="right"/>
              <w:rPr>
                <w:color w:val="000000"/>
                <w:sz w:val="20"/>
                <w:szCs w:val="20"/>
              </w:rPr>
            </w:pPr>
            <w:r w:rsidRPr="006E2394">
              <w:rPr>
                <w:color w:val="000000"/>
                <w:sz w:val="20"/>
                <w:szCs w:val="20"/>
              </w:rPr>
              <w:t>-2.942</w:t>
            </w:r>
          </w:p>
        </w:tc>
        <w:tc>
          <w:tcPr>
            <w:tcW w:w="800" w:type="pct"/>
            <w:tcBorders>
              <w:top w:val="nil"/>
              <w:left w:val="nil"/>
              <w:bottom w:val="nil"/>
              <w:right w:val="nil"/>
            </w:tcBorders>
            <w:shd w:val="clear" w:color="auto" w:fill="auto"/>
            <w:noWrap/>
            <w:vAlign w:val="bottom"/>
            <w:hideMark/>
          </w:tcPr>
          <w:p w14:paraId="18DBD4F7" w14:textId="77777777" w:rsidR="00000990" w:rsidRPr="006E2394" w:rsidRDefault="00000990">
            <w:pPr>
              <w:jc w:val="right"/>
              <w:rPr>
                <w:color w:val="000000"/>
                <w:sz w:val="20"/>
                <w:szCs w:val="20"/>
              </w:rPr>
            </w:pPr>
            <w:r w:rsidRPr="006E2394">
              <w:rPr>
                <w:color w:val="000000"/>
                <w:sz w:val="20"/>
                <w:szCs w:val="20"/>
              </w:rPr>
              <w:t>4.364</w:t>
            </w:r>
          </w:p>
        </w:tc>
      </w:tr>
      <w:tr w:rsidR="009256EF" w:rsidRPr="006E2394" w14:paraId="2717BB52" w14:textId="77777777" w:rsidTr="009256EF">
        <w:trPr>
          <w:trHeight w:val="300"/>
        </w:trPr>
        <w:tc>
          <w:tcPr>
            <w:tcW w:w="1800" w:type="pct"/>
            <w:tcBorders>
              <w:top w:val="nil"/>
              <w:left w:val="nil"/>
              <w:bottom w:val="nil"/>
              <w:right w:val="nil"/>
            </w:tcBorders>
            <w:shd w:val="clear" w:color="auto" w:fill="auto"/>
            <w:noWrap/>
            <w:vAlign w:val="center"/>
            <w:hideMark/>
          </w:tcPr>
          <w:p w14:paraId="75E15335" w14:textId="77777777" w:rsidR="009256EF" w:rsidRPr="006E2394" w:rsidRDefault="009256EF" w:rsidP="00515E1E">
            <w:pPr>
              <w:rPr>
                <w:color w:val="000000"/>
                <w:sz w:val="20"/>
                <w:szCs w:val="20"/>
              </w:rPr>
            </w:pPr>
            <w:r w:rsidRPr="006E2394">
              <w:rPr>
                <w:rFonts w:cs="Calibri"/>
                <w:color w:val="000000"/>
                <w:sz w:val="20"/>
                <w:szCs w:val="20"/>
              </w:rPr>
              <w:t>GDP per capita</w:t>
            </w:r>
          </w:p>
        </w:tc>
        <w:tc>
          <w:tcPr>
            <w:tcW w:w="800" w:type="pct"/>
            <w:tcBorders>
              <w:top w:val="nil"/>
              <w:left w:val="nil"/>
              <w:bottom w:val="nil"/>
              <w:right w:val="nil"/>
            </w:tcBorders>
            <w:shd w:val="clear" w:color="auto" w:fill="auto"/>
            <w:noWrap/>
            <w:vAlign w:val="bottom"/>
            <w:hideMark/>
          </w:tcPr>
          <w:p w14:paraId="6041FE9B" w14:textId="77777777" w:rsidR="009256EF" w:rsidRPr="006E2394" w:rsidRDefault="009256EF" w:rsidP="00515E1E">
            <w:pPr>
              <w:jc w:val="right"/>
              <w:rPr>
                <w:color w:val="000000"/>
                <w:sz w:val="20"/>
                <w:szCs w:val="20"/>
              </w:rPr>
            </w:pPr>
            <w:r w:rsidRPr="006E2394">
              <w:rPr>
                <w:color w:val="000000"/>
                <w:sz w:val="20"/>
                <w:szCs w:val="20"/>
              </w:rPr>
              <w:t>36.231</w:t>
            </w:r>
          </w:p>
        </w:tc>
        <w:tc>
          <w:tcPr>
            <w:tcW w:w="800" w:type="pct"/>
            <w:tcBorders>
              <w:top w:val="nil"/>
              <w:left w:val="nil"/>
              <w:bottom w:val="nil"/>
              <w:right w:val="nil"/>
            </w:tcBorders>
            <w:shd w:val="clear" w:color="auto" w:fill="auto"/>
            <w:noWrap/>
            <w:vAlign w:val="bottom"/>
            <w:hideMark/>
          </w:tcPr>
          <w:p w14:paraId="5ED15EF1" w14:textId="77777777" w:rsidR="009256EF" w:rsidRPr="006E2394" w:rsidRDefault="009256EF" w:rsidP="00515E1E">
            <w:pPr>
              <w:jc w:val="right"/>
              <w:rPr>
                <w:color w:val="000000"/>
                <w:sz w:val="20"/>
                <w:szCs w:val="20"/>
              </w:rPr>
            </w:pPr>
            <w:r w:rsidRPr="006E2394">
              <w:rPr>
                <w:color w:val="000000"/>
                <w:sz w:val="20"/>
                <w:szCs w:val="20"/>
              </w:rPr>
              <w:t>18.885</w:t>
            </w:r>
          </w:p>
        </w:tc>
        <w:tc>
          <w:tcPr>
            <w:tcW w:w="800" w:type="pct"/>
            <w:tcBorders>
              <w:top w:val="nil"/>
              <w:left w:val="nil"/>
              <w:bottom w:val="nil"/>
              <w:right w:val="nil"/>
            </w:tcBorders>
            <w:shd w:val="clear" w:color="auto" w:fill="auto"/>
            <w:noWrap/>
            <w:vAlign w:val="bottom"/>
            <w:hideMark/>
          </w:tcPr>
          <w:p w14:paraId="21342D34" w14:textId="77777777" w:rsidR="009256EF" w:rsidRPr="006E2394" w:rsidRDefault="009256EF" w:rsidP="00515E1E">
            <w:pPr>
              <w:jc w:val="right"/>
              <w:rPr>
                <w:color w:val="000000"/>
                <w:sz w:val="20"/>
                <w:szCs w:val="20"/>
              </w:rPr>
            </w:pPr>
            <w:r w:rsidRPr="006E2394">
              <w:rPr>
                <w:color w:val="000000"/>
                <w:sz w:val="20"/>
                <w:szCs w:val="20"/>
              </w:rPr>
              <w:t>9.091</w:t>
            </w:r>
          </w:p>
        </w:tc>
        <w:tc>
          <w:tcPr>
            <w:tcW w:w="800" w:type="pct"/>
            <w:tcBorders>
              <w:top w:val="nil"/>
              <w:left w:val="nil"/>
              <w:bottom w:val="nil"/>
              <w:right w:val="nil"/>
            </w:tcBorders>
            <w:shd w:val="clear" w:color="auto" w:fill="auto"/>
            <w:noWrap/>
            <w:vAlign w:val="bottom"/>
            <w:hideMark/>
          </w:tcPr>
          <w:p w14:paraId="69B6DBB6" w14:textId="77777777" w:rsidR="009256EF" w:rsidRPr="006E2394" w:rsidRDefault="009256EF" w:rsidP="00515E1E">
            <w:pPr>
              <w:jc w:val="right"/>
              <w:rPr>
                <w:color w:val="000000"/>
                <w:sz w:val="20"/>
                <w:szCs w:val="20"/>
              </w:rPr>
            </w:pPr>
            <w:r w:rsidRPr="006E2394">
              <w:rPr>
                <w:color w:val="000000"/>
                <w:sz w:val="20"/>
                <w:szCs w:val="20"/>
              </w:rPr>
              <w:t>87.773</w:t>
            </w:r>
          </w:p>
        </w:tc>
      </w:tr>
      <w:tr w:rsidR="00D6052A" w:rsidRPr="006E2394" w14:paraId="72DC33BB" w14:textId="77777777" w:rsidTr="0061384E">
        <w:trPr>
          <w:trHeight w:val="300"/>
        </w:trPr>
        <w:tc>
          <w:tcPr>
            <w:tcW w:w="1800" w:type="pct"/>
            <w:tcBorders>
              <w:top w:val="nil"/>
              <w:left w:val="nil"/>
              <w:right w:val="nil"/>
            </w:tcBorders>
            <w:shd w:val="clear" w:color="auto" w:fill="auto"/>
            <w:noWrap/>
            <w:vAlign w:val="center"/>
            <w:hideMark/>
          </w:tcPr>
          <w:p w14:paraId="7747245D" w14:textId="1C604599" w:rsidR="00000990" w:rsidRPr="006E2394" w:rsidRDefault="00B23537" w:rsidP="005B6F1D">
            <w:pPr>
              <w:rPr>
                <w:color w:val="000000"/>
                <w:sz w:val="20"/>
                <w:szCs w:val="20"/>
              </w:rPr>
            </w:pPr>
            <w:r>
              <w:rPr>
                <w:rFonts w:cs="Calibri"/>
                <w:color w:val="000000"/>
                <w:sz w:val="20"/>
                <w:szCs w:val="20"/>
              </w:rPr>
              <w:t>Agglomeration</w:t>
            </w:r>
          </w:p>
        </w:tc>
        <w:tc>
          <w:tcPr>
            <w:tcW w:w="800" w:type="pct"/>
            <w:tcBorders>
              <w:top w:val="nil"/>
              <w:left w:val="nil"/>
              <w:right w:val="nil"/>
            </w:tcBorders>
            <w:shd w:val="clear" w:color="auto" w:fill="auto"/>
            <w:noWrap/>
            <w:vAlign w:val="bottom"/>
            <w:hideMark/>
          </w:tcPr>
          <w:p w14:paraId="7F4AE8A3" w14:textId="77777777" w:rsidR="00000990" w:rsidRPr="006E2394" w:rsidRDefault="00000990">
            <w:pPr>
              <w:jc w:val="right"/>
              <w:rPr>
                <w:color w:val="000000"/>
                <w:sz w:val="20"/>
                <w:szCs w:val="20"/>
              </w:rPr>
            </w:pPr>
            <w:r w:rsidRPr="006E2394">
              <w:rPr>
                <w:color w:val="000000"/>
                <w:sz w:val="20"/>
                <w:szCs w:val="20"/>
              </w:rPr>
              <w:t>6.664</w:t>
            </w:r>
          </w:p>
        </w:tc>
        <w:tc>
          <w:tcPr>
            <w:tcW w:w="800" w:type="pct"/>
            <w:tcBorders>
              <w:top w:val="nil"/>
              <w:left w:val="nil"/>
              <w:right w:val="nil"/>
            </w:tcBorders>
            <w:shd w:val="clear" w:color="auto" w:fill="auto"/>
            <w:noWrap/>
            <w:vAlign w:val="bottom"/>
            <w:hideMark/>
          </w:tcPr>
          <w:p w14:paraId="77CBA1EF" w14:textId="77777777" w:rsidR="00000990" w:rsidRPr="006E2394" w:rsidRDefault="00000990">
            <w:pPr>
              <w:jc w:val="right"/>
              <w:rPr>
                <w:color w:val="000000"/>
                <w:sz w:val="20"/>
                <w:szCs w:val="20"/>
              </w:rPr>
            </w:pPr>
            <w:r w:rsidRPr="006E2394">
              <w:rPr>
                <w:color w:val="000000"/>
                <w:sz w:val="20"/>
                <w:szCs w:val="20"/>
              </w:rPr>
              <w:t>5.148</w:t>
            </w:r>
          </w:p>
        </w:tc>
        <w:tc>
          <w:tcPr>
            <w:tcW w:w="800" w:type="pct"/>
            <w:tcBorders>
              <w:top w:val="nil"/>
              <w:left w:val="nil"/>
              <w:right w:val="nil"/>
            </w:tcBorders>
            <w:shd w:val="clear" w:color="auto" w:fill="auto"/>
            <w:noWrap/>
            <w:vAlign w:val="bottom"/>
            <w:hideMark/>
          </w:tcPr>
          <w:p w14:paraId="5A103D3E" w14:textId="77777777" w:rsidR="00000990" w:rsidRPr="006E2394" w:rsidRDefault="00000990">
            <w:pPr>
              <w:jc w:val="right"/>
              <w:rPr>
                <w:color w:val="000000"/>
                <w:sz w:val="20"/>
                <w:szCs w:val="20"/>
              </w:rPr>
            </w:pPr>
            <w:r w:rsidRPr="006E2394">
              <w:rPr>
                <w:color w:val="000000"/>
                <w:sz w:val="20"/>
                <w:szCs w:val="20"/>
              </w:rPr>
              <w:t>-12.979</w:t>
            </w:r>
          </w:p>
        </w:tc>
        <w:tc>
          <w:tcPr>
            <w:tcW w:w="800" w:type="pct"/>
            <w:tcBorders>
              <w:top w:val="nil"/>
              <w:left w:val="nil"/>
              <w:right w:val="nil"/>
            </w:tcBorders>
            <w:shd w:val="clear" w:color="auto" w:fill="auto"/>
            <w:noWrap/>
            <w:vAlign w:val="bottom"/>
            <w:hideMark/>
          </w:tcPr>
          <w:p w14:paraId="3C0A5142" w14:textId="77777777" w:rsidR="00000990" w:rsidRPr="006E2394" w:rsidRDefault="00000990">
            <w:pPr>
              <w:jc w:val="right"/>
              <w:rPr>
                <w:color w:val="000000"/>
                <w:sz w:val="20"/>
                <w:szCs w:val="20"/>
              </w:rPr>
            </w:pPr>
            <w:r w:rsidRPr="006E2394">
              <w:rPr>
                <w:color w:val="000000"/>
                <w:sz w:val="20"/>
                <w:szCs w:val="20"/>
              </w:rPr>
              <w:t>13.160</w:t>
            </w:r>
          </w:p>
        </w:tc>
      </w:tr>
      <w:tr w:rsidR="009256EF" w:rsidRPr="006E2394" w14:paraId="718A5F1D" w14:textId="77777777" w:rsidTr="0061384E">
        <w:trPr>
          <w:trHeight w:val="300"/>
        </w:trPr>
        <w:tc>
          <w:tcPr>
            <w:tcW w:w="1800" w:type="pct"/>
            <w:tcBorders>
              <w:top w:val="nil"/>
              <w:left w:val="nil"/>
              <w:right w:val="nil"/>
            </w:tcBorders>
            <w:shd w:val="clear" w:color="auto" w:fill="auto"/>
            <w:noWrap/>
            <w:vAlign w:val="center"/>
            <w:hideMark/>
          </w:tcPr>
          <w:p w14:paraId="4DF7B895" w14:textId="77777777" w:rsidR="009256EF" w:rsidRPr="006E2394" w:rsidRDefault="009256EF" w:rsidP="00515E1E">
            <w:pPr>
              <w:rPr>
                <w:color w:val="000000"/>
                <w:sz w:val="20"/>
                <w:szCs w:val="20"/>
              </w:rPr>
            </w:pPr>
            <w:r w:rsidRPr="006E2394">
              <w:rPr>
                <w:rFonts w:cs="Calibri"/>
                <w:color w:val="000000"/>
                <w:sz w:val="20"/>
                <w:szCs w:val="20"/>
              </w:rPr>
              <w:t>Trade</w:t>
            </w:r>
            <w:r>
              <w:rPr>
                <w:rFonts w:cs="Calibri"/>
                <w:color w:val="000000"/>
                <w:sz w:val="20"/>
                <w:szCs w:val="20"/>
              </w:rPr>
              <w:t xml:space="preserve"> openness</w:t>
            </w:r>
          </w:p>
        </w:tc>
        <w:tc>
          <w:tcPr>
            <w:tcW w:w="800" w:type="pct"/>
            <w:tcBorders>
              <w:top w:val="nil"/>
              <w:left w:val="nil"/>
              <w:right w:val="nil"/>
            </w:tcBorders>
            <w:shd w:val="clear" w:color="auto" w:fill="auto"/>
            <w:noWrap/>
            <w:vAlign w:val="bottom"/>
            <w:hideMark/>
          </w:tcPr>
          <w:p w14:paraId="3370F88F" w14:textId="77777777" w:rsidR="009256EF" w:rsidRPr="006E2394" w:rsidRDefault="009256EF" w:rsidP="00515E1E">
            <w:pPr>
              <w:jc w:val="right"/>
              <w:rPr>
                <w:color w:val="000000"/>
                <w:sz w:val="20"/>
                <w:szCs w:val="20"/>
              </w:rPr>
            </w:pPr>
            <w:r w:rsidRPr="006E2394">
              <w:rPr>
                <w:color w:val="000000"/>
                <w:sz w:val="20"/>
                <w:szCs w:val="20"/>
              </w:rPr>
              <w:t>102.144</w:t>
            </w:r>
          </w:p>
        </w:tc>
        <w:tc>
          <w:tcPr>
            <w:tcW w:w="800" w:type="pct"/>
            <w:tcBorders>
              <w:top w:val="nil"/>
              <w:left w:val="nil"/>
              <w:right w:val="nil"/>
            </w:tcBorders>
            <w:shd w:val="clear" w:color="auto" w:fill="auto"/>
            <w:noWrap/>
            <w:vAlign w:val="bottom"/>
            <w:hideMark/>
          </w:tcPr>
          <w:p w14:paraId="0FFC43EB" w14:textId="77777777" w:rsidR="009256EF" w:rsidRPr="006E2394" w:rsidRDefault="009256EF" w:rsidP="00515E1E">
            <w:pPr>
              <w:jc w:val="right"/>
              <w:rPr>
                <w:color w:val="000000"/>
                <w:sz w:val="20"/>
                <w:szCs w:val="20"/>
              </w:rPr>
            </w:pPr>
            <w:r w:rsidRPr="006E2394">
              <w:rPr>
                <w:color w:val="000000"/>
                <w:sz w:val="20"/>
                <w:szCs w:val="20"/>
              </w:rPr>
              <w:t>58.672</w:t>
            </w:r>
          </w:p>
        </w:tc>
        <w:tc>
          <w:tcPr>
            <w:tcW w:w="800" w:type="pct"/>
            <w:tcBorders>
              <w:top w:val="nil"/>
              <w:left w:val="nil"/>
              <w:right w:val="nil"/>
            </w:tcBorders>
            <w:shd w:val="clear" w:color="auto" w:fill="auto"/>
            <w:noWrap/>
            <w:vAlign w:val="bottom"/>
            <w:hideMark/>
          </w:tcPr>
          <w:p w14:paraId="5BC64A2A" w14:textId="77777777" w:rsidR="009256EF" w:rsidRPr="006E2394" w:rsidRDefault="009256EF" w:rsidP="00515E1E">
            <w:pPr>
              <w:jc w:val="right"/>
              <w:rPr>
                <w:color w:val="000000"/>
                <w:sz w:val="20"/>
                <w:szCs w:val="20"/>
              </w:rPr>
            </w:pPr>
            <w:r w:rsidRPr="006E2394">
              <w:rPr>
                <w:color w:val="000000"/>
                <w:sz w:val="20"/>
                <w:szCs w:val="20"/>
              </w:rPr>
              <w:t>27.959</w:t>
            </w:r>
          </w:p>
        </w:tc>
        <w:tc>
          <w:tcPr>
            <w:tcW w:w="800" w:type="pct"/>
            <w:tcBorders>
              <w:top w:val="nil"/>
              <w:left w:val="nil"/>
              <w:right w:val="nil"/>
            </w:tcBorders>
            <w:shd w:val="clear" w:color="auto" w:fill="auto"/>
            <w:noWrap/>
            <w:vAlign w:val="bottom"/>
            <w:hideMark/>
          </w:tcPr>
          <w:p w14:paraId="61180526" w14:textId="77777777" w:rsidR="009256EF" w:rsidRPr="006E2394" w:rsidRDefault="009256EF" w:rsidP="00515E1E">
            <w:pPr>
              <w:jc w:val="right"/>
              <w:rPr>
                <w:color w:val="000000"/>
                <w:sz w:val="20"/>
                <w:szCs w:val="20"/>
              </w:rPr>
            </w:pPr>
            <w:r w:rsidRPr="006E2394">
              <w:rPr>
                <w:color w:val="000000"/>
                <w:sz w:val="20"/>
                <w:szCs w:val="20"/>
              </w:rPr>
              <w:t>336.251</w:t>
            </w:r>
          </w:p>
        </w:tc>
      </w:tr>
      <w:tr w:rsidR="009256EF" w:rsidRPr="006E2394" w14:paraId="65B0D203" w14:textId="77777777" w:rsidTr="0061384E">
        <w:trPr>
          <w:trHeight w:val="300"/>
        </w:trPr>
        <w:tc>
          <w:tcPr>
            <w:tcW w:w="1800" w:type="pct"/>
            <w:tcBorders>
              <w:left w:val="nil"/>
              <w:right w:val="nil"/>
            </w:tcBorders>
            <w:shd w:val="clear" w:color="auto" w:fill="auto"/>
            <w:noWrap/>
            <w:vAlign w:val="center"/>
            <w:hideMark/>
          </w:tcPr>
          <w:p w14:paraId="396C699D" w14:textId="77777777" w:rsidR="009256EF" w:rsidRPr="006E2394" w:rsidRDefault="009256EF" w:rsidP="00515E1E">
            <w:pPr>
              <w:rPr>
                <w:color w:val="000000"/>
                <w:sz w:val="20"/>
                <w:szCs w:val="20"/>
              </w:rPr>
            </w:pPr>
            <w:r w:rsidRPr="006E2394">
              <w:rPr>
                <w:rFonts w:cs="Calibri"/>
                <w:color w:val="000000"/>
                <w:sz w:val="20"/>
                <w:szCs w:val="20"/>
              </w:rPr>
              <w:t>Manufacturing</w:t>
            </w:r>
          </w:p>
        </w:tc>
        <w:tc>
          <w:tcPr>
            <w:tcW w:w="800" w:type="pct"/>
            <w:tcBorders>
              <w:left w:val="nil"/>
              <w:right w:val="nil"/>
            </w:tcBorders>
            <w:shd w:val="clear" w:color="auto" w:fill="auto"/>
            <w:noWrap/>
            <w:vAlign w:val="bottom"/>
            <w:hideMark/>
          </w:tcPr>
          <w:p w14:paraId="0F1C73E5" w14:textId="77777777" w:rsidR="009256EF" w:rsidRPr="006E2394" w:rsidRDefault="009256EF" w:rsidP="00515E1E">
            <w:pPr>
              <w:jc w:val="right"/>
              <w:rPr>
                <w:color w:val="000000"/>
                <w:sz w:val="20"/>
                <w:szCs w:val="20"/>
              </w:rPr>
            </w:pPr>
            <w:r w:rsidRPr="006E2394">
              <w:rPr>
                <w:color w:val="000000"/>
                <w:sz w:val="20"/>
                <w:szCs w:val="20"/>
              </w:rPr>
              <w:t>16.378</w:t>
            </w:r>
          </w:p>
        </w:tc>
        <w:tc>
          <w:tcPr>
            <w:tcW w:w="800" w:type="pct"/>
            <w:tcBorders>
              <w:left w:val="nil"/>
              <w:right w:val="nil"/>
            </w:tcBorders>
            <w:shd w:val="clear" w:color="auto" w:fill="auto"/>
            <w:noWrap/>
            <w:vAlign w:val="bottom"/>
            <w:hideMark/>
          </w:tcPr>
          <w:p w14:paraId="5196D316" w14:textId="77777777" w:rsidR="009256EF" w:rsidRPr="006E2394" w:rsidRDefault="009256EF" w:rsidP="00515E1E">
            <w:pPr>
              <w:jc w:val="right"/>
              <w:rPr>
                <w:color w:val="000000"/>
                <w:sz w:val="20"/>
                <w:szCs w:val="20"/>
              </w:rPr>
            </w:pPr>
            <w:r w:rsidRPr="006E2394">
              <w:rPr>
                <w:color w:val="000000"/>
                <w:sz w:val="20"/>
                <w:szCs w:val="20"/>
              </w:rPr>
              <w:t>5.213</w:t>
            </w:r>
          </w:p>
        </w:tc>
        <w:tc>
          <w:tcPr>
            <w:tcW w:w="800" w:type="pct"/>
            <w:tcBorders>
              <w:left w:val="nil"/>
              <w:right w:val="nil"/>
            </w:tcBorders>
            <w:shd w:val="clear" w:color="auto" w:fill="auto"/>
            <w:noWrap/>
            <w:vAlign w:val="bottom"/>
            <w:hideMark/>
          </w:tcPr>
          <w:p w14:paraId="222CC3FE" w14:textId="77777777" w:rsidR="009256EF" w:rsidRPr="006E2394" w:rsidRDefault="009256EF" w:rsidP="00515E1E">
            <w:pPr>
              <w:jc w:val="right"/>
              <w:rPr>
                <w:color w:val="000000"/>
                <w:sz w:val="20"/>
                <w:szCs w:val="20"/>
              </w:rPr>
            </w:pPr>
            <w:r w:rsidRPr="006E2394">
              <w:rPr>
                <w:color w:val="000000"/>
                <w:sz w:val="20"/>
                <w:szCs w:val="20"/>
              </w:rPr>
              <w:t>9.113</w:t>
            </w:r>
          </w:p>
        </w:tc>
        <w:tc>
          <w:tcPr>
            <w:tcW w:w="800" w:type="pct"/>
            <w:tcBorders>
              <w:left w:val="nil"/>
              <w:right w:val="nil"/>
            </w:tcBorders>
            <w:shd w:val="clear" w:color="auto" w:fill="auto"/>
            <w:noWrap/>
            <w:vAlign w:val="bottom"/>
            <w:hideMark/>
          </w:tcPr>
          <w:p w14:paraId="2A67A850" w14:textId="77777777" w:rsidR="009256EF" w:rsidRPr="006E2394" w:rsidRDefault="009256EF" w:rsidP="00515E1E">
            <w:pPr>
              <w:jc w:val="right"/>
              <w:rPr>
                <w:color w:val="000000"/>
                <w:sz w:val="20"/>
                <w:szCs w:val="20"/>
              </w:rPr>
            </w:pPr>
            <w:r w:rsidRPr="006E2394">
              <w:rPr>
                <w:color w:val="000000"/>
                <w:sz w:val="20"/>
                <w:szCs w:val="20"/>
              </w:rPr>
              <w:t>25.961</w:t>
            </w:r>
          </w:p>
        </w:tc>
      </w:tr>
      <w:tr w:rsidR="009256EF" w:rsidRPr="006E2394" w14:paraId="4F65B965" w14:textId="77777777" w:rsidTr="0061384E">
        <w:trPr>
          <w:trHeight w:val="300"/>
        </w:trPr>
        <w:tc>
          <w:tcPr>
            <w:tcW w:w="1800" w:type="pct"/>
            <w:tcBorders>
              <w:top w:val="nil"/>
              <w:left w:val="nil"/>
              <w:bottom w:val="single" w:sz="4" w:space="0" w:color="auto"/>
              <w:right w:val="nil"/>
            </w:tcBorders>
            <w:shd w:val="clear" w:color="auto" w:fill="auto"/>
            <w:noWrap/>
            <w:vAlign w:val="center"/>
            <w:hideMark/>
          </w:tcPr>
          <w:p w14:paraId="4796ADF1" w14:textId="77777777" w:rsidR="009256EF" w:rsidRPr="006E2394" w:rsidRDefault="009256EF" w:rsidP="00515E1E">
            <w:pPr>
              <w:rPr>
                <w:color w:val="000000"/>
                <w:sz w:val="20"/>
                <w:szCs w:val="20"/>
              </w:rPr>
            </w:pPr>
            <w:r w:rsidRPr="006E2394">
              <w:rPr>
                <w:rFonts w:cs="Calibri"/>
                <w:color w:val="000000"/>
                <w:sz w:val="20"/>
                <w:szCs w:val="20"/>
              </w:rPr>
              <w:t>Common language</w:t>
            </w:r>
          </w:p>
        </w:tc>
        <w:tc>
          <w:tcPr>
            <w:tcW w:w="800" w:type="pct"/>
            <w:tcBorders>
              <w:top w:val="nil"/>
              <w:left w:val="nil"/>
              <w:bottom w:val="single" w:sz="4" w:space="0" w:color="auto"/>
              <w:right w:val="nil"/>
            </w:tcBorders>
            <w:shd w:val="clear" w:color="auto" w:fill="auto"/>
            <w:noWrap/>
            <w:vAlign w:val="bottom"/>
            <w:hideMark/>
          </w:tcPr>
          <w:p w14:paraId="7A9BBEB5" w14:textId="77777777" w:rsidR="009256EF" w:rsidRPr="006E2394" w:rsidRDefault="009256EF" w:rsidP="00515E1E">
            <w:pPr>
              <w:jc w:val="right"/>
              <w:rPr>
                <w:color w:val="000000"/>
                <w:sz w:val="20"/>
                <w:szCs w:val="20"/>
              </w:rPr>
            </w:pPr>
            <w:r w:rsidRPr="006E2394">
              <w:rPr>
                <w:color w:val="000000"/>
                <w:sz w:val="20"/>
                <w:szCs w:val="20"/>
              </w:rPr>
              <w:t>0.122</w:t>
            </w:r>
          </w:p>
        </w:tc>
        <w:tc>
          <w:tcPr>
            <w:tcW w:w="800" w:type="pct"/>
            <w:tcBorders>
              <w:top w:val="nil"/>
              <w:left w:val="nil"/>
              <w:bottom w:val="single" w:sz="4" w:space="0" w:color="auto"/>
              <w:right w:val="nil"/>
            </w:tcBorders>
            <w:shd w:val="clear" w:color="auto" w:fill="auto"/>
            <w:noWrap/>
            <w:vAlign w:val="bottom"/>
            <w:hideMark/>
          </w:tcPr>
          <w:p w14:paraId="43F01386" w14:textId="77777777" w:rsidR="009256EF" w:rsidRPr="006E2394" w:rsidRDefault="009256EF" w:rsidP="00515E1E">
            <w:pPr>
              <w:jc w:val="right"/>
              <w:rPr>
                <w:color w:val="000000"/>
                <w:sz w:val="20"/>
                <w:szCs w:val="20"/>
              </w:rPr>
            </w:pPr>
            <w:r w:rsidRPr="006E2394">
              <w:rPr>
                <w:color w:val="000000"/>
                <w:sz w:val="20"/>
                <w:szCs w:val="20"/>
              </w:rPr>
              <w:t>0.328</w:t>
            </w:r>
          </w:p>
        </w:tc>
        <w:tc>
          <w:tcPr>
            <w:tcW w:w="800" w:type="pct"/>
            <w:tcBorders>
              <w:top w:val="nil"/>
              <w:left w:val="nil"/>
              <w:bottom w:val="single" w:sz="4" w:space="0" w:color="auto"/>
              <w:right w:val="nil"/>
            </w:tcBorders>
            <w:shd w:val="clear" w:color="auto" w:fill="auto"/>
            <w:noWrap/>
            <w:vAlign w:val="bottom"/>
            <w:hideMark/>
          </w:tcPr>
          <w:p w14:paraId="6C29D990" w14:textId="77777777" w:rsidR="009256EF" w:rsidRPr="006E2394" w:rsidRDefault="009256EF" w:rsidP="00515E1E">
            <w:pPr>
              <w:jc w:val="right"/>
              <w:rPr>
                <w:color w:val="000000"/>
                <w:sz w:val="20"/>
                <w:szCs w:val="20"/>
              </w:rPr>
            </w:pPr>
            <w:r w:rsidRPr="006E2394">
              <w:rPr>
                <w:color w:val="000000"/>
                <w:sz w:val="20"/>
                <w:szCs w:val="20"/>
              </w:rPr>
              <w:t>0.000</w:t>
            </w:r>
          </w:p>
        </w:tc>
        <w:tc>
          <w:tcPr>
            <w:tcW w:w="800" w:type="pct"/>
            <w:tcBorders>
              <w:top w:val="nil"/>
              <w:left w:val="nil"/>
              <w:bottom w:val="single" w:sz="4" w:space="0" w:color="auto"/>
              <w:right w:val="nil"/>
            </w:tcBorders>
            <w:shd w:val="clear" w:color="auto" w:fill="auto"/>
            <w:noWrap/>
            <w:vAlign w:val="bottom"/>
            <w:hideMark/>
          </w:tcPr>
          <w:p w14:paraId="1C8C5A02" w14:textId="77777777" w:rsidR="009256EF" w:rsidRPr="006E2394" w:rsidRDefault="009256EF" w:rsidP="00515E1E">
            <w:pPr>
              <w:jc w:val="right"/>
              <w:rPr>
                <w:color w:val="000000"/>
                <w:sz w:val="20"/>
                <w:szCs w:val="20"/>
              </w:rPr>
            </w:pPr>
            <w:r w:rsidRPr="006E2394">
              <w:rPr>
                <w:color w:val="000000"/>
                <w:sz w:val="20"/>
                <w:szCs w:val="20"/>
              </w:rPr>
              <w:t>1.000</w:t>
            </w:r>
          </w:p>
        </w:tc>
      </w:tr>
    </w:tbl>
    <w:p w14:paraId="486884EA" w14:textId="77777777" w:rsidR="00296ED7" w:rsidRPr="00536C42" w:rsidRDefault="00296ED7" w:rsidP="00A950A4">
      <w:pPr>
        <w:rPr>
          <w:highlight w:val="green"/>
          <w:lang w:val="en-GB"/>
        </w:rPr>
      </w:pPr>
    </w:p>
    <w:p w14:paraId="41EBD984" w14:textId="3D8350AB" w:rsidR="00D52495" w:rsidRDefault="00D52495" w:rsidP="00A83424">
      <w:pPr>
        <w:rPr>
          <w:b/>
          <w:lang w:val="en-GB"/>
        </w:rPr>
      </w:pPr>
    </w:p>
    <w:p w14:paraId="71BA8EAE" w14:textId="4256C0AB" w:rsidR="00D52495" w:rsidRDefault="00D52495" w:rsidP="00A83424">
      <w:pPr>
        <w:rPr>
          <w:b/>
          <w:lang w:val="en-GB"/>
        </w:rPr>
      </w:pPr>
    </w:p>
    <w:p w14:paraId="6489C560" w14:textId="60F54602" w:rsidR="00D52495" w:rsidRPr="00536C42" w:rsidRDefault="00D52495" w:rsidP="00A83424">
      <w:pPr>
        <w:rPr>
          <w:highlight w:val="green"/>
          <w:lang w:val="en-GB"/>
        </w:rPr>
      </w:pPr>
    </w:p>
    <w:p w14:paraId="69667BC9" w14:textId="77777777" w:rsidR="00F00AF5" w:rsidRDefault="00F00AF5" w:rsidP="00F00AF5">
      <w:pPr>
        <w:rPr>
          <w:b/>
          <w:lang w:val="en-GB"/>
        </w:rPr>
        <w:sectPr w:rsidR="00F00AF5" w:rsidSect="006E2394">
          <w:footerReference w:type="default" r:id="rId16"/>
          <w:pgSz w:w="12240" w:h="15840"/>
          <w:pgMar w:top="1440" w:right="1440" w:bottom="1440" w:left="1440" w:header="709" w:footer="709" w:gutter="0"/>
          <w:cols w:space="708"/>
          <w:docGrid w:linePitch="360"/>
        </w:sectPr>
      </w:pPr>
    </w:p>
    <w:p w14:paraId="32502DF1" w14:textId="20EADC1E" w:rsidR="00F3314F" w:rsidRDefault="00AD7770" w:rsidP="00AB7AE4">
      <w:pPr>
        <w:rPr>
          <w:b/>
          <w:lang w:val="en-GB"/>
        </w:rPr>
      </w:pPr>
      <w:r w:rsidRPr="00C60FB4">
        <w:rPr>
          <w:b/>
          <w:lang w:val="en-GB"/>
        </w:rPr>
        <w:lastRenderedPageBreak/>
        <w:t>Table</w:t>
      </w:r>
      <w:r w:rsidR="00A950A4" w:rsidRPr="00C60FB4">
        <w:rPr>
          <w:b/>
          <w:lang w:val="en-GB"/>
        </w:rPr>
        <w:t xml:space="preserve"> 4</w:t>
      </w:r>
      <w:r w:rsidRPr="00C60FB4">
        <w:rPr>
          <w:b/>
          <w:lang w:val="en-GB"/>
        </w:rPr>
        <w:t>: Correlation Matrix</w:t>
      </w:r>
      <w:r w:rsidR="00A2742F" w:rsidRPr="00C60FB4">
        <w:rPr>
          <w:b/>
          <w:lang w:val="en-GB"/>
        </w:rPr>
        <w:t>.</w:t>
      </w:r>
      <w:r w:rsidR="00000990">
        <w:rPr>
          <w:b/>
          <w:lang w:val="en-GB"/>
        </w:rPr>
        <w:t xml:space="preserve"> Sample with all firms</w:t>
      </w:r>
    </w:p>
    <w:p w14:paraId="6E6884DD" w14:textId="77777777" w:rsidR="002D3B04" w:rsidRDefault="002D3B04" w:rsidP="00AB7AE4">
      <w:pPr>
        <w:rPr>
          <w:b/>
          <w:lang w:val="en-GB"/>
        </w:rPr>
      </w:pPr>
    </w:p>
    <w:tbl>
      <w:tblPr>
        <w:tblW w:w="11725" w:type="dxa"/>
        <w:tblInd w:w="-601" w:type="dxa"/>
        <w:tblLook w:val="04A0" w:firstRow="1" w:lastRow="0" w:firstColumn="1" w:lastColumn="0" w:noHBand="0" w:noVBand="1"/>
      </w:tblPr>
      <w:tblGrid>
        <w:gridCol w:w="434"/>
        <w:gridCol w:w="2543"/>
        <w:gridCol w:w="1219"/>
        <w:gridCol w:w="800"/>
        <w:gridCol w:w="1023"/>
        <w:gridCol w:w="819"/>
        <w:gridCol w:w="710"/>
        <w:gridCol w:w="884"/>
        <w:gridCol w:w="960"/>
        <w:gridCol w:w="707"/>
        <w:gridCol w:w="960"/>
        <w:gridCol w:w="666"/>
      </w:tblGrid>
      <w:tr w:rsidR="006F6F89" w:rsidRPr="00000990" w14:paraId="15D987CB" w14:textId="77777777" w:rsidTr="006E2394">
        <w:trPr>
          <w:trHeight w:val="315"/>
        </w:trPr>
        <w:tc>
          <w:tcPr>
            <w:tcW w:w="434" w:type="dxa"/>
            <w:tcBorders>
              <w:top w:val="single" w:sz="4" w:space="0" w:color="auto"/>
              <w:bottom w:val="single" w:sz="4" w:space="0" w:color="auto"/>
            </w:tcBorders>
            <w:shd w:val="clear" w:color="auto" w:fill="auto"/>
            <w:vAlign w:val="center"/>
          </w:tcPr>
          <w:p w14:paraId="6BEBA4F3" w14:textId="77777777" w:rsidR="006F6F89" w:rsidRPr="00000990" w:rsidRDefault="006F6F89" w:rsidP="006E2394">
            <w:pPr>
              <w:rPr>
                <w:color w:val="000000"/>
                <w:sz w:val="20"/>
                <w:szCs w:val="20"/>
              </w:rPr>
            </w:pPr>
          </w:p>
        </w:tc>
        <w:tc>
          <w:tcPr>
            <w:tcW w:w="2543" w:type="dxa"/>
            <w:tcBorders>
              <w:top w:val="single" w:sz="4" w:space="0" w:color="auto"/>
              <w:bottom w:val="single" w:sz="4" w:space="0" w:color="auto"/>
            </w:tcBorders>
            <w:shd w:val="clear" w:color="auto" w:fill="auto"/>
            <w:vAlign w:val="center"/>
            <w:hideMark/>
          </w:tcPr>
          <w:p w14:paraId="30E4ADE5" w14:textId="33B624A0" w:rsidR="006F6F89" w:rsidRPr="00000990" w:rsidRDefault="006F6F89" w:rsidP="006E2394">
            <w:pPr>
              <w:rPr>
                <w:color w:val="000000"/>
                <w:sz w:val="20"/>
                <w:szCs w:val="20"/>
              </w:rPr>
            </w:pPr>
            <w:r w:rsidRPr="003F7894">
              <w:rPr>
                <w:color w:val="000000"/>
                <w:sz w:val="20"/>
                <w:szCs w:val="20"/>
              </w:rPr>
              <w:t>(obs=1,641,079)</w:t>
            </w:r>
          </w:p>
        </w:tc>
        <w:tc>
          <w:tcPr>
            <w:tcW w:w="1219" w:type="dxa"/>
            <w:tcBorders>
              <w:top w:val="single" w:sz="4" w:space="0" w:color="auto"/>
              <w:bottom w:val="single" w:sz="4" w:space="0" w:color="auto"/>
            </w:tcBorders>
            <w:shd w:val="clear" w:color="auto" w:fill="auto"/>
            <w:noWrap/>
            <w:vAlign w:val="bottom"/>
            <w:hideMark/>
          </w:tcPr>
          <w:p w14:paraId="4FEFE83B" w14:textId="7BC37A4C" w:rsidR="006F6F89" w:rsidRPr="00000990" w:rsidRDefault="006F6F89" w:rsidP="00000990">
            <w:pPr>
              <w:jc w:val="center"/>
              <w:rPr>
                <w:color w:val="000000"/>
                <w:sz w:val="20"/>
                <w:szCs w:val="20"/>
              </w:rPr>
            </w:pPr>
            <w:r>
              <w:rPr>
                <w:color w:val="000000"/>
                <w:sz w:val="20"/>
                <w:szCs w:val="20"/>
              </w:rPr>
              <w:t>1</w:t>
            </w:r>
          </w:p>
        </w:tc>
        <w:tc>
          <w:tcPr>
            <w:tcW w:w="800" w:type="dxa"/>
            <w:tcBorders>
              <w:top w:val="single" w:sz="4" w:space="0" w:color="auto"/>
              <w:bottom w:val="single" w:sz="4" w:space="0" w:color="auto"/>
            </w:tcBorders>
            <w:shd w:val="clear" w:color="auto" w:fill="auto"/>
            <w:noWrap/>
            <w:vAlign w:val="bottom"/>
            <w:hideMark/>
          </w:tcPr>
          <w:p w14:paraId="41AD088F" w14:textId="4A92B5D8" w:rsidR="006F6F89" w:rsidRPr="00000990" w:rsidRDefault="006F6F89" w:rsidP="00000990">
            <w:pPr>
              <w:jc w:val="center"/>
              <w:rPr>
                <w:color w:val="000000"/>
                <w:sz w:val="20"/>
                <w:szCs w:val="20"/>
              </w:rPr>
            </w:pPr>
            <w:r>
              <w:rPr>
                <w:color w:val="000000"/>
                <w:sz w:val="20"/>
                <w:szCs w:val="20"/>
              </w:rPr>
              <w:t>2</w:t>
            </w:r>
          </w:p>
        </w:tc>
        <w:tc>
          <w:tcPr>
            <w:tcW w:w="1023" w:type="dxa"/>
            <w:tcBorders>
              <w:top w:val="single" w:sz="4" w:space="0" w:color="auto"/>
              <w:bottom w:val="single" w:sz="4" w:space="0" w:color="auto"/>
            </w:tcBorders>
            <w:shd w:val="clear" w:color="auto" w:fill="auto"/>
            <w:noWrap/>
            <w:vAlign w:val="bottom"/>
            <w:hideMark/>
          </w:tcPr>
          <w:p w14:paraId="262E29B9" w14:textId="79570585" w:rsidR="006F6F89" w:rsidRPr="00000990" w:rsidRDefault="006F6F89" w:rsidP="00000990">
            <w:pPr>
              <w:jc w:val="center"/>
              <w:rPr>
                <w:color w:val="000000"/>
                <w:sz w:val="20"/>
                <w:szCs w:val="20"/>
              </w:rPr>
            </w:pPr>
            <w:r>
              <w:rPr>
                <w:color w:val="000000"/>
                <w:sz w:val="20"/>
                <w:szCs w:val="20"/>
              </w:rPr>
              <w:t>3</w:t>
            </w:r>
          </w:p>
        </w:tc>
        <w:tc>
          <w:tcPr>
            <w:tcW w:w="819" w:type="dxa"/>
            <w:tcBorders>
              <w:top w:val="single" w:sz="4" w:space="0" w:color="auto"/>
              <w:bottom w:val="single" w:sz="4" w:space="0" w:color="auto"/>
            </w:tcBorders>
            <w:shd w:val="clear" w:color="auto" w:fill="auto"/>
            <w:noWrap/>
            <w:vAlign w:val="bottom"/>
            <w:hideMark/>
          </w:tcPr>
          <w:p w14:paraId="54035487" w14:textId="1A7BA84B" w:rsidR="006F6F89" w:rsidRPr="00000990" w:rsidRDefault="006F6F89" w:rsidP="00000990">
            <w:pPr>
              <w:jc w:val="center"/>
              <w:rPr>
                <w:color w:val="000000"/>
                <w:sz w:val="20"/>
                <w:szCs w:val="20"/>
              </w:rPr>
            </w:pPr>
            <w:r>
              <w:rPr>
                <w:color w:val="000000"/>
                <w:sz w:val="20"/>
                <w:szCs w:val="20"/>
              </w:rPr>
              <w:t>4</w:t>
            </w:r>
          </w:p>
        </w:tc>
        <w:tc>
          <w:tcPr>
            <w:tcW w:w="710" w:type="dxa"/>
            <w:tcBorders>
              <w:top w:val="single" w:sz="4" w:space="0" w:color="auto"/>
              <w:bottom w:val="single" w:sz="4" w:space="0" w:color="auto"/>
            </w:tcBorders>
            <w:shd w:val="clear" w:color="auto" w:fill="auto"/>
            <w:noWrap/>
            <w:vAlign w:val="bottom"/>
            <w:hideMark/>
          </w:tcPr>
          <w:p w14:paraId="1ECEB356" w14:textId="14F40B28" w:rsidR="006F6F89" w:rsidRPr="00000990" w:rsidRDefault="006F6F89" w:rsidP="00000990">
            <w:pPr>
              <w:jc w:val="center"/>
              <w:rPr>
                <w:color w:val="000000"/>
                <w:sz w:val="20"/>
                <w:szCs w:val="20"/>
              </w:rPr>
            </w:pPr>
            <w:r>
              <w:rPr>
                <w:color w:val="000000"/>
                <w:sz w:val="20"/>
                <w:szCs w:val="20"/>
              </w:rPr>
              <w:t>5</w:t>
            </w:r>
          </w:p>
        </w:tc>
        <w:tc>
          <w:tcPr>
            <w:tcW w:w="884" w:type="dxa"/>
            <w:tcBorders>
              <w:top w:val="single" w:sz="4" w:space="0" w:color="auto"/>
              <w:bottom w:val="single" w:sz="4" w:space="0" w:color="auto"/>
            </w:tcBorders>
            <w:shd w:val="clear" w:color="auto" w:fill="auto"/>
            <w:noWrap/>
            <w:vAlign w:val="bottom"/>
            <w:hideMark/>
          </w:tcPr>
          <w:p w14:paraId="7AC29A1E" w14:textId="715CC310" w:rsidR="006F6F89" w:rsidRPr="00000990" w:rsidRDefault="006F6F89" w:rsidP="00000990">
            <w:pPr>
              <w:jc w:val="center"/>
              <w:rPr>
                <w:color w:val="000000"/>
                <w:sz w:val="20"/>
                <w:szCs w:val="20"/>
              </w:rPr>
            </w:pPr>
            <w:r>
              <w:rPr>
                <w:color w:val="000000"/>
                <w:sz w:val="20"/>
                <w:szCs w:val="20"/>
              </w:rPr>
              <w:t>6</w:t>
            </w:r>
          </w:p>
        </w:tc>
        <w:tc>
          <w:tcPr>
            <w:tcW w:w="960" w:type="dxa"/>
            <w:tcBorders>
              <w:top w:val="single" w:sz="4" w:space="0" w:color="auto"/>
              <w:bottom w:val="single" w:sz="4" w:space="0" w:color="auto"/>
            </w:tcBorders>
            <w:shd w:val="clear" w:color="auto" w:fill="auto"/>
            <w:noWrap/>
            <w:vAlign w:val="bottom"/>
            <w:hideMark/>
          </w:tcPr>
          <w:p w14:paraId="7E275F96" w14:textId="36B13A12" w:rsidR="006F6F89" w:rsidRPr="00000990" w:rsidRDefault="006F6F89" w:rsidP="00000990">
            <w:pPr>
              <w:jc w:val="center"/>
              <w:rPr>
                <w:color w:val="000000"/>
                <w:sz w:val="20"/>
                <w:szCs w:val="20"/>
              </w:rPr>
            </w:pPr>
            <w:r>
              <w:rPr>
                <w:color w:val="000000"/>
                <w:sz w:val="20"/>
                <w:szCs w:val="20"/>
              </w:rPr>
              <w:t>7</w:t>
            </w:r>
          </w:p>
        </w:tc>
        <w:tc>
          <w:tcPr>
            <w:tcW w:w="707" w:type="dxa"/>
            <w:tcBorders>
              <w:top w:val="single" w:sz="4" w:space="0" w:color="auto"/>
              <w:bottom w:val="single" w:sz="4" w:space="0" w:color="auto"/>
            </w:tcBorders>
            <w:shd w:val="clear" w:color="auto" w:fill="auto"/>
            <w:noWrap/>
            <w:vAlign w:val="bottom"/>
            <w:hideMark/>
          </w:tcPr>
          <w:p w14:paraId="478B0676" w14:textId="480D9529" w:rsidR="006F6F89" w:rsidRPr="00000990" w:rsidRDefault="006F6F89" w:rsidP="00000990">
            <w:pPr>
              <w:jc w:val="center"/>
              <w:rPr>
                <w:color w:val="000000"/>
                <w:sz w:val="20"/>
                <w:szCs w:val="20"/>
              </w:rPr>
            </w:pPr>
            <w:r>
              <w:rPr>
                <w:color w:val="000000"/>
                <w:sz w:val="20"/>
                <w:szCs w:val="20"/>
              </w:rPr>
              <w:t>8</w:t>
            </w:r>
          </w:p>
        </w:tc>
        <w:tc>
          <w:tcPr>
            <w:tcW w:w="960" w:type="dxa"/>
            <w:tcBorders>
              <w:top w:val="single" w:sz="4" w:space="0" w:color="auto"/>
              <w:bottom w:val="single" w:sz="4" w:space="0" w:color="auto"/>
            </w:tcBorders>
            <w:shd w:val="clear" w:color="auto" w:fill="auto"/>
            <w:noWrap/>
            <w:vAlign w:val="bottom"/>
            <w:hideMark/>
          </w:tcPr>
          <w:p w14:paraId="3B83B835" w14:textId="09FDA37C" w:rsidR="006F6F89" w:rsidRPr="00000990" w:rsidRDefault="006F6F89" w:rsidP="00000990">
            <w:pPr>
              <w:jc w:val="center"/>
              <w:rPr>
                <w:color w:val="000000"/>
                <w:sz w:val="20"/>
                <w:szCs w:val="20"/>
              </w:rPr>
            </w:pPr>
            <w:r>
              <w:rPr>
                <w:color w:val="000000"/>
                <w:sz w:val="20"/>
                <w:szCs w:val="20"/>
              </w:rPr>
              <w:t>9</w:t>
            </w:r>
          </w:p>
        </w:tc>
        <w:tc>
          <w:tcPr>
            <w:tcW w:w="666" w:type="dxa"/>
            <w:tcBorders>
              <w:top w:val="single" w:sz="4" w:space="0" w:color="auto"/>
              <w:bottom w:val="single" w:sz="4" w:space="0" w:color="auto"/>
            </w:tcBorders>
            <w:shd w:val="clear" w:color="auto" w:fill="auto"/>
            <w:noWrap/>
            <w:vAlign w:val="bottom"/>
            <w:hideMark/>
          </w:tcPr>
          <w:p w14:paraId="473E8CD7" w14:textId="6275928D" w:rsidR="006F6F89" w:rsidRPr="00000990" w:rsidRDefault="006F6F89" w:rsidP="00000990">
            <w:pPr>
              <w:jc w:val="center"/>
              <w:rPr>
                <w:color w:val="000000"/>
                <w:sz w:val="20"/>
                <w:szCs w:val="20"/>
              </w:rPr>
            </w:pPr>
            <w:r>
              <w:rPr>
                <w:color w:val="000000"/>
                <w:sz w:val="20"/>
                <w:szCs w:val="20"/>
              </w:rPr>
              <w:t>10</w:t>
            </w:r>
          </w:p>
        </w:tc>
      </w:tr>
      <w:tr w:rsidR="006F6F89" w:rsidRPr="00000990" w14:paraId="5F0BC2FB" w14:textId="77777777" w:rsidTr="006E2394">
        <w:trPr>
          <w:trHeight w:val="315"/>
        </w:trPr>
        <w:tc>
          <w:tcPr>
            <w:tcW w:w="434" w:type="dxa"/>
            <w:tcBorders>
              <w:top w:val="single" w:sz="4" w:space="0" w:color="auto"/>
            </w:tcBorders>
            <w:shd w:val="clear" w:color="auto" w:fill="auto"/>
            <w:vAlign w:val="center"/>
          </w:tcPr>
          <w:p w14:paraId="629903DF" w14:textId="65EF9361" w:rsidR="006F6F89" w:rsidRPr="00000990" w:rsidRDefault="006F6F89" w:rsidP="006E2394">
            <w:pPr>
              <w:rPr>
                <w:color w:val="000000"/>
                <w:sz w:val="20"/>
                <w:szCs w:val="20"/>
              </w:rPr>
            </w:pPr>
            <w:r w:rsidRPr="00000990">
              <w:rPr>
                <w:color w:val="000000"/>
                <w:sz w:val="20"/>
                <w:szCs w:val="20"/>
              </w:rPr>
              <w:t>1</w:t>
            </w:r>
          </w:p>
        </w:tc>
        <w:tc>
          <w:tcPr>
            <w:tcW w:w="2543" w:type="dxa"/>
            <w:tcBorders>
              <w:top w:val="single" w:sz="4" w:space="0" w:color="auto"/>
            </w:tcBorders>
            <w:shd w:val="clear" w:color="auto" w:fill="auto"/>
            <w:vAlign w:val="center"/>
            <w:hideMark/>
          </w:tcPr>
          <w:p w14:paraId="57B9674B" w14:textId="73F8E134" w:rsidR="006F6F89" w:rsidRPr="00000990" w:rsidRDefault="00D6052A" w:rsidP="006E2394">
            <w:pPr>
              <w:rPr>
                <w:color w:val="000000"/>
                <w:sz w:val="20"/>
                <w:szCs w:val="20"/>
              </w:rPr>
            </w:pPr>
            <w:r>
              <w:rPr>
                <w:color w:val="000000"/>
                <w:sz w:val="20"/>
                <w:szCs w:val="20"/>
              </w:rPr>
              <w:t>IPR protection</w:t>
            </w:r>
          </w:p>
        </w:tc>
        <w:tc>
          <w:tcPr>
            <w:tcW w:w="1219" w:type="dxa"/>
            <w:tcBorders>
              <w:top w:val="single" w:sz="4" w:space="0" w:color="auto"/>
            </w:tcBorders>
            <w:shd w:val="clear" w:color="auto" w:fill="auto"/>
            <w:noWrap/>
            <w:vAlign w:val="center"/>
          </w:tcPr>
          <w:p w14:paraId="7EBC86F4" w14:textId="0D613E8F" w:rsidR="006F6F89" w:rsidRPr="00000990" w:rsidRDefault="006F6F89" w:rsidP="005B6F1D">
            <w:pPr>
              <w:jc w:val="center"/>
              <w:rPr>
                <w:color w:val="000000"/>
                <w:sz w:val="20"/>
                <w:szCs w:val="20"/>
              </w:rPr>
            </w:pPr>
            <w:r>
              <w:rPr>
                <w:color w:val="000000"/>
                <w:sz w:val="20"/>
                <w:szCs w:val="20"/>
              </w:rPr>
              <w:t>1.000</w:t>
            </w:r>
          </w:p>
        </w:tc>
        <w:tc>
          <w:tcPr>
            <w:tcW w:w="800" w:type="dxa"/>
            <w:tcBorders>
              <w:top w:val="single" w:sz="4" w:space="0" w:color="auto"/>
            </w:tcBorders>
            <w:shd w:val="clear" w:color="auto" w:fill="auto"/>
            <w:noWrap/>
            <w:vAlign w:val="bottom"/>
          </w:tcPr>
          <w:p w14:paraId="21922F43" w14:textId="66A9AA45" w:rsidR="006F6F89" w:rsidRPr="00000990" w:rsidRDefault="006F6F89" w:rsidP="005B6F1D">
            <w:pPr>
              <w:jc w:val="center"/>
              <w:rPr>
                <w:color w:val="000000"/>
                <w:sz w:val="20"/>
                <w:szCs w:val="20"/>
              </w:rPr>
            </w:pPr>
            <w:r>
              <w:rPr>
                <w:color w:val="000000"/>
                <w:sz w:val="20"/>
                <w:szCs w:val="20"/>
              </w:rPr>
              <w:t> </w:t>
            </w:r>
          </w:p>
        </w:tc>
        <w:tc>
          <w:tcPr>
            <w:tcW w:w="1023" w:type="dxa"/>
            <w:tcBorders>
              <w:top w:val="single" w:sz="4" w:space="0" w:color="auto"/>
            </w:tcBorders>
            <w:shd w:val="clear" w:color="auto" w:fill="auto"/>
            <w:noWrap/>
            <w:vAlign w:val="bottom"/>
          </w:tcPr>
          <w:p w14:paraId="002BD11F" w14:textId="15F60D5C" w:rsidR="006F6F89" w:rsidRPr="00000990" w:rsidRDefault="006F6F89" w:rsidP="005B6F1D">
            <w:pPr>
              <w:jc w:val="center"/>
              <w:rPr>
                <w:color w:val="000000"/>
                <w:sz w:val="20"/>
                <w:szCs w:val="20"/>
              </w:rPr>
            </w:pPr>
            <w:r>
              <w:rPr>
                <w:color w:val="000000"/>
                <w:sz w:val="20"/>
                <w:szCs w:val="20"/>
              </w:rPr>
              <w:t> </w:t>
            </w:r>
          </w:p>
        </w:tc>
        <w:tc>
          <w:tcPr>
            <w:tcW w:w="819" w:type="dxa"/>
            <w:tcBorders>
              <w:top w:val="single" w:sz="4" w:space="0" w:color="auto"/>
            </w:tcBorders>
            <w:shd w:val="clear" w:color="auto" w:fill="auto"/>
            <w:noWrap/>
            <w:vAlign w:val="bottom"/>
          </w:tcPr>
          <w:p w14:paraId="2C023315" w14:textId="1B6B324E" w:rsidR="006F6F89" w:rsidRPr="00000990" w:rsidRDefault="006F6F89" w:rsidP="005B6F1D">
            <w:pPr>
              <w:jc w:val="center"/>
              <w:rPr>
                <w:color w:val="000000"/>
                <w:sz w:val="20"/>
                <w:szCs w:val="20"/>
              </w:rPr>
            </w:pPr>
            <w:r>
              <w:rPr>
                <w:color w:val="000000"/>
                <w:sz w:val="20"/>
                <w:szCs w:val="20"/>
              </w:rPr>
              <w:t> </w:t>
            </w:r>
          </w:p>
        </w:tc>
        <w:tc>
          <w:tcPr>
            <w:tcW w:w="710" w:type="dxa"/>
            <w:tcBorders>
              <w:top w:val="single" w:sz="4" w:space="0" w:color="auto"/>
            </w:tcBorders>
            <w:shd w:val="clear" w:color="auto" w:fill="auto"/>
            <w:noWrap/>
            <w:vAlign w:val="bottom"/>
          </w:tcPr>
          <w:p w14:paraId="6B6E7589" w14:textId="7A75906E" w:rsidR="006F6F89" w:rsidRPr="00000990" w:rsidRDefault="006F6F89" w:rsidP="005B6F1D">
            <w:pPr>
              <w:jc w:val="center"/>
              <w:rPr>
                <w:color w:val="000000"/>
                <w:sz w:val="20"/>
                <w:szCs w:val="20"/>
              </w:rPr>
            </w:pPr>
            <w:r>
              <w:rPr>
                <w:color w:val="000000"/>
                <w:sz w:val="20"/>
                <w:szCs w:val="20"/>
              </w:rPr>
              <w:t> </w:t>
            </w:r>
          </w:p>
        </w:tc>
        <w:tc>
          <w:tcPr>
            <w:tcW w:w="884" w:type="dxa"/>
            <w:tcBorders>
              <w:top w:val="single" w:sz="4" w:space="0" w:color="auto"/>
            </w:tcBorders>
            <w:shd w:val="clear" w:color="auto" w:fill="auto"/>
            <w:noWrap/>
            <w:vAlign w:val="bottom"/>
          </w:tcPr>
          <w:p w14:paraId="079FE6E2" w14:textId="0B32D1B6" w:rsidR="006F6F89" w:rsidRPr="00000990" w:rsidRDefault="006F6F89" w:rsidP="005B6F1D">
            <w:pPr>
              <w:jc w:val="center"/>
              <w:rPr>
                <w:color w:val="000000"/>
                <w:sz w:val="20"/>
                <w:szCs w:val="20"/>
              </w:rPr>
            </w:pPr>
            <w:r>
              <w:rPr>
                <w:color w:val="000000"/>
                <w:sz w:val="20"/>
                <w:szCs w:val="20"/>
              </w:rPr>
              <w:t> </w:t>
            </w:r>
          </w:p>
        </w:tc>
        <w:tc>
          <w:tcPr>
            <w:tcW w:w="960" w:type="dxa"/>
            <w:tcBorders>
              <w:top w:val="single" w:sz="4" w:space="0" w:color="auto"/>
            </w:tcBorders>
            <w:shd w:val="clear" w:color="auto" w:fill="auto"/>
            <w:noWrap/>
            <w:vAlign w:val="bottom"/>
          </w:tcPr>
          <w:p w14:paraId="08BC3921" w14:textId="272557A2" w:rsidR="006F6F89" w:rsidRPr="00000990" w:rsidRDefault="006F6F89" w:rsidP="005B6F1D">
            <w:pPr>
              <w:jc w:val="center"/>
              <w:rPr>
                <w:color w:val="000000"/>
                <w:sz w:val="20"/>
                <w:szCs w:val="20"/>
              </w:rPr>
            </w:pPr>
            <w:r>
              <w:rPr>
                <w:color w:val="000000"/>
                <w:sz w:val="20"/>
                <w:szCs w:val="20"/>
              </w:rPr>
              <w:t> </w:t>
            </w:r>
          </w:p>
        </w:tc>
        <w:tc>
          <w:tcPr>
            <w:tcW w:w="707" w:type="dxa"/>
            <w:tcBorders>
              <w:top w:val="single" w:sz="4" w:space="0" w:color="auto"/>
            </w:tcBorders>
            <w:shd w:val="clear" w:color="auto" w:fill="auto"/>
            <w:noWrap/>
            <w:vAlign w:val="bottom"/>
          </w:tcPr>
          <w:p w14:paraId="37E86435" w14:textId="5E9FA150" w:rsidR="006F6F89" w:rsidRPr="00000990" w:rsidRDefault="006F6F89" w:rsidP="005B6F1D">
            <w:pPr>
              <w:jc w:val="center"/>
              <w:rPr>
                <w:color w:val="000000"/>
                <w:sz w:val="20"/>
                <w:szCs w:val="20"/>
              </w:rPr>
            </w:pPr>
            <w:r>
              <w:rPr>
                <w:color w:val="000000"/>
                <w:sz w:val="20"/>
                <w:szCs w:val="20"/>
              </w:rPr>
              <w:t> </w:t>
            </w:r>
          </w:p>
        </w:tc>
        <w:tc>
          <w:tcPr>
            <w:tcW w:w="960" w:type="dxa"/>
            <w:tcBorders>
              <w:top w:val="single" w:sz="4" w:space="0" w:color="auto"/>
            </w:tcBorders>
            <w:shd w:val="clear" w:color="auto" w:fill="auto"/>
            <w:noWrap/>
            <w:vAlign w:val="bottom"/>
          </w:tcPr>
          <w:p w14:paraId="69590816" w14:textId="2CFC747F" w:rsidR="006F6F89" w:rsidRPr="00000990" w:rsidRDefault="006F6F89" w:rsidP="005B6F1D">
            <w:pPr>
              <w:jc w:val="center"/>
              <w:rPr>
                <w:color w:val="000000"/>
                <w:sz w:val="20"/>
                <w:szCs w:val="20"/>
              </w:rPr>
            </w:pPr>
            <w:r>
              <w:rPr>
                <w:color w:val="000000"/>
                <w:sz w:val="20"/>
                <w:szCs w:val="20"/>
              </w:rPr>
              <w:t> </w:t>
            </w:r>
          </w:p>
        </w:tc>
        <w:tc>
          <w:tcPr>
            <w:tcW w:w="666" w:type="dxa"/>
            <w:tcBorders>
              <w:top w:val="single" w:sz="4" w:space="0" w:color="auto"/>
            </w:tcBorders>
            <w:shd w:val="clear" w:color="auto" w:fill="auto"/>
            <w:noWrap/>
            <w:vAlign w:val="bottom"/>
          </w:tcPr>
          <w:p w14:paraId="17983519" w14:textId="6C0DFE55" w:rsidR="006F6F89" w:rsidRPr="00000990" w:rsidRDefault="006F6F89" w:rsidP="005B6F1D">
            <w:pPr>
              <w:jc w:val="center"/>
              <w:rPr>
                <w:color w:val="000000"/>
                <w:sz w:val="20"/>
                <w:szCs w:val="20"/>
              </w:rPr>
            </w:pPr>
            <w:r>
              <w:rPr>
                <w:color w:val="000000"/>
                <w:sz w:val="20"/>
                <w:szCs w:val="20"/>
              </w:rPr>
              <w:t> </w:t>
            </w:r>
          </w:p>
        </w:tc>
      </w:tr>
      <w:tr w:rsidR="006F6F89" w:rsidRPr="00000990" w14:paraId="4394168A" w14:textId="77777777" w:rsidTr="006E2394">
        <w:trPr>
          <w:trHeight w:val="300"/>
        </w:trPr>
        <w:tc>
          <w:tcPr>
            <w:tcW w:w="434" w:type="dxa"/>
            <w:shd w:val="clear" w:color="auto" w:fill="auto"/>
            <w:vAlign w:val="center"/>
          </w:tcPr>
          <w:p w14:paraId="7AA1C702" w14:textId="32F5E9A4" w:rsidR="006F6F89" w:rsidRPr="00000990" w:rsidRDefault="006F6F89" w:rsidP="006E2394">
            <w:pPr>
              <w:rPr>
                <w:color w:val="000000"/>
                <w:sz w:val="20"/>
                <w:szCs w:val="20"/>
              </w:rPr>
            </w:pPr>
            <w:r w:rsidRPr="00000990">
              <w:rPr>
                <w:color w:val="000000"/>
                <w:sz w:val="20"/>
                <w:szCs w:val="20"/>
              </w:rPr>
              <w:t>2</w:t>
            </w:r>
          </w:p>
        </w:tc>
        <w:tc>
          <w:tcPr>
            <w:tcW w:w="2543" w:type="dxa"/>
            <w:shd w:val="clear" w:color="auto" w:fill="auto"/>
            <w:vAlign w:val="center"/>
            <w:hideMark/>
          </w:tcPr>
          <w:p w14:paraId="6143FE95" w14:textId="2DE484B9" w:rsidR="006F6F89" w:rsidRPr="00000990" w:rsidRDefault="00D6052A" w:rsidP="006E2394">
            <w:pPr>
              <w:rPr>
                <w:color w:val="000000"/>
                <w:sz w:val="20"/>
                <w:szCs w:val="20"/>
              </w:rPr>
            </w:pPr>
            <w:r>
              <w:rPr>
                <w:color w:val="000000"/>
                <w:sz w:val="20"/>
                <w:szCs w:val="20"/>
              </w:rPr>
              <w:t>Distance</w:t>
            </w:r>
          </w:p>
        </w:tc>
        <w:tc>
          <w:tcPr>
            <w:tcW w:w="1219" w:type="dxa"/>
            <w:shd w:val="clear" w:color="auto" w:fill="auto"/>
            <w:noWrap/>
            <w:vAlign w:val="center"/>
          </w:tcPr>
          <w:p w14:paraId="088A8D72" w14:textId="6FE2E6AE" w:rsidR="006F6F89" w:rsidRPr="00000990" w:rsidRDefault="006F6F89" w:rsidP="005B6F1D">
            <w:pPr>
              <w:jc w:val="center"/>
              <w:rPr>
                <w:color w:val="000000"/>
                <w:sz w:val="20"/>
                <w:szCs w:val="20"/>
              </w:rPr>
            </w:pPr>
            <w:r>
              <w:rPr>
                <w:color w:val="000000"/>
                <w:sz w:val="20"/>
                <w:szCs w:val="20"/>
              </w:rPr>
              <w:t>0.097</w:t>
            </w:r>
          </w:p>
        </w:tc>
        <w:tc>
          <w:tcPr>
            <w:tcW w:w="800" w:type="dxa"/>
            <w:shd w:val="clear" w:color="auto" w:fill="auto"/>
            <w:noWrap/>
            <w:vAlign w:val="center"/>
          </w:tcPr>
          <w:p w14:paraId="466116CB" w14:textId="6EB89F50" w:rsidR="006F6F89" w:rsidRPr="00000990" w:rsidRDefault="006F6F89" w:rsidP="005B6F1D">
            <w:pPr>
              <w:jc w:val="center"/>
              <w:rPr>
                <w:color w:val="000000"/>
                <w:sz w:val="20"/>
                <w:szCs w:val="20"/>
              </w:rPr>
            </w:pPr>
            <w:r>
              <w:rPr>
                <w:color w:val="000000"/>
                <w:sz w:val="20"/>
                <w:szCs w:val="20"/>
              </w:rPr>
              <w:t>1.000</w:t>
            </w:r>
          </w:p>
        </w:tc>
        <w:tc>
          <w:tcPr>
            <w:tcW w:w="1023" w:type="dxa"/>
            <w:shd w:val="clear" w:color="auto" w:fill="auto"/>
            <w:noWrap/>
            <w:vAlign w:val="bottom"/>
          </w:tcPr>
          <w:p w14:paraId="15B4556C" w14:textId="77777777" w:rsidR="006F6F89" w:rsidRPr="00000990" w:rsidRDefault="006F6F89" w:rsidP="005B6F1D">
            <w:pPr>
              <w:jc w:val="center"/>
              <w:rPr>
                <w:color w:val="000000"/>
                <w:sz w:val="20"/>
                <w:szCs w:val="20"/>
              </w:rPr>
            </w:pPr>
          </w:p>
        </w:tc>
        <w:tc>
          <w:tcPr>
            <w:tcW w:w="819" w:type="dxa"/>
            <w:shd w:val="clear" w:color="auto" w:fill="auto"/>
            <w:noWrap/>
            <w:vAlign w:val="bottom"/>
          </w:tcPr>
          <w:p w14:paraId="423DC462" w14:textId="77777777" w:rsidR="006F6F89" w:rsidRPr="00000990" w:rsidRDefault="006F6F89" w:rsidP="005B6F1D">
            <w:pPr>
              <w:jc w:val="center"/>
              <w:rPr>
                <w:color w:val="000000"/>
                <w:sz w:val="20"/>
                <w:szCs w:val="20"/>
              </w:rPr>
            </w:pPr>
          </w:p>
        </w:tc>
        <w:tc>
          <w:tcPr>
            <w:tcW w:w="710" w:type="dxa"/>
            <w:shd w:val="clear" w:color="auto" w:fill="auto"/>
            <w:noWrap/>
            <w:vAlign w:val="bottom"/>
          </w:tcPr>
          <w:p w14:paraId="56A3CDA0" w14:textId="77777777" w:rsidR="006F6F89" w:rsidRPr="00000990" w:rsidRDefault="006F6F89" w:rsidP="005B6F1D">
            <w:pPr>
              <w:jc w:val="center"/>
              <w:rPr>
                <w:color w:val="000000"/>
                <w:sz w:val="20"/>
                <w:szCs w:val="20"/>
              </w:rPr>
            </w:pPr>
          </w:p>
        </w:tc>
        <w:tc>
          <w:tcPr>
            <w:tcW w:w="884" w:type="dxa"/>
            <w:shd w:val="clear" w:color="auto" w:fill="auto"/>
            <w:noWrap/>
            <w:vAlign w:val="bottom"/>
          </w:tcPr>
          <w:p w14:paraId="65144DC9"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2BE6E29B" w14:textId="77777777" w:rsidR="006F6F89" w:rsidRPr="00000990" w:rsidRDefault="006F6F89" w:rsidP="005B6F1D">
            <w:pPr>
              <w:jc w:val="center"/>
              <w:rPr>
                <w:color w:val="000000"/>
                <w:sz w:val="20"/>
                <w:szCs w:val="20"/>
              </w:rPr>
            </w:pPr>
          </w:p>
        </w:tc>
        <w:tc>
          <w:tcPr>
            <w:tcW w:w="707" w:type="dxa"/>
            <w:shd w:val="clear" w:color="auto" w:fill="auto"/>
            <w:noWrap/>
            <w:vAlign w:val="bottom"/>
          </w:tcPr>
          <w:p w14:paraId="539026A7"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5C27C668" w14:textId="77777777" w:rsidR="006F6F89" w:rsidRPr="00000990" w:rsidRDefault="006F6F89" w:rsidP="005B6F1D">
            <w:pPr>
              <w:jc w:val="center"/>
              <w:rPr>
                <w:color w:val="000000"/>
                <w:sz w:val="20"/>
                <w:szCs w:val="20"/>
              </w:rPr>
            </w:pPr>
          </w:p>
        </w:tc>
        <w:tc>
          <w:tcPr>
            <w:tcW w:w="666" w:type="dxa"/>
            <w:shd w:val="clear" w:color="auto" w:fill="auto"/>
            <w:noWrap/>
            <w:vAlign w:val="bottom"/>
          </w:tcPr>
          <w:p w14:paraId="7CF379A4" w14:textId="77777777" w:rsidR="006F6F89" w:rsidRPr="00000990" w:rsidRDefault="006F6F89" w:rsidP="005B6F1D">
            <w:pPr>
              <w:jc w:val="center"/>
              <w:rPr>
                <w:color w:val="000000"/>
                <w:sz w:val="20"/>
                <w:szCs w:val="20"/>
              </w:rPr>
            </w:pPr>
          </w:p>
        </w:tc>
      </w:tr>
      <w:tr w:rsidR="006F6F89" w:rsidRPr="00000990" w14:paraId="5784DCAB" w14:textId="77777777" w:rsidTr="006E2394">
        <w:trPr>
          <w:trHeight w:val="300"/>
        </w:trPr>
        <w:tc>
          <w:tcPr>
            <w:tcW w:w="434" w:type="dxa"/>
            <w:shd w:val="clear" w:color="auto" w:fill="auto"/>
            <w:vAlign w:val="center"/>
          </w:tcPr>
          <w:p w14:paraId="16A2A0CD" w14:textId="1F111471" w:rsidR="006F6F89" w:rsidRPr="00000990" w:rsidRDefault="006F6F89" w:rsidP="006E2394">
            <w:pPr>
              <w:rPr>
                <w:color w:val="000000"/>
                <w:sz w:val="20"/>
                <w:szCs w:val="20"/>
              </w:rPr>
            </w:pPr>
            <w:r w:rsidRPr="00000990">
              <w:rPr>
                <w:color w:val="000000"/>
                <w:sz w:val="20"/>
                <w:szCs w:val="20"/>
              </w:rPr>
              <w:t>3</w:t>
            </w:r>
          </w:p>
        </w:tc>
        <w:tc>
          <w:tcPr>
            <w:tcW w:w="2543" w:type="dxa"/>
            <w:shd w:val="clear" w:color="auto" w:fill="auto"/>
            <w:vAlign w:val="center"/>
            <w:hideMark/>
          </w:tcPr>
          <w:p w14:paraId="23318DB1" w14:textId="59E15EB9" w:rsidR="006F6F89" w:rsidRPr="00000990" w:rsidRDefault="006F6F89" w:rsidP="006E2394">
            <w:pPr>
              <w:rPr>
                <w:color w:val="000000"/>
                <w:sz w:val="20"/>
                <w:szCs w:val="20"/>
              </w:rPr>
            </w:pPr>
            <w:r w:rsidRPr="00000990">
              <w:rPr>
                <w:color w:val="000000"/>
                <w:sz w:val="20"/>
                <w:szCs w:val="20"/>
              </w:rPr>
              <w:t>Foreign-born population</w:t>
            </w:r>
          </w:p>
        </w:tc>
        <w:tc>
          <w:tcPr>
            <w:tcW w:w="1219" w:type="dxa"/>
            <w:shd w:val="clear" w:color="auto" w:fill="auto"/>
            <w:noWrap/>
            <w:vAlign w:val="center"/>
          </w:tcPr>
          <w:p w14:paraId="3F1585CF" w14:textId="3BC4B4E0" w:rsidR="006F6F89" w:rsidRPr="00000990" w:rsidRDefault="006F6F89" w:rsidP="005B6F1D">
            <w:pPr>
              <w:jc w:val="center"/>
              <w:rPr>
                <w:color w:val="000000"/>
                <w:sz w:val="20"/>
                <w:szCs w:val="20"/>
              </w:rPr>
            </w:pPr>
            <w:r>
              <w:rPr>
                <w:color w:val="000000"/>
                <w:sz w:val="20"/>
                <w:szCs w:val="20"/>
              </w:rPr>
              <w:t>0.099</w:t>
            </w:r>
          </w:p>
        </w:tc>
        <w:tc>
          <w:tcPr>
            <w:tcW w:w="800" w:type="dxa"/>
            <w:shd w:val="clear" w:color="auto" w:fill="auto"/>
            <w:noWrap/>
            <w:vAlign w:val="center"/>
          </w:tcPr>
          <w:p w14:paraId="37BB2D1E" w14:textId="045BD61D" w:rsidR="006F6F89" w:rsidRPr="00000990" w:rsidRDefault="006F6F89" w:rsidP="005B6F1D">
            <w:pPr>
              <w:jc w:val="center"/>
              <w:rPr>
                <w:color w:val="000000"/>
                <w:sz w:val="20"/>
                <w:szCs w:val="20"/>
              </w:rPr>
            </w:pPr>
            <w:r>
              <w:rPr>
                <w:color w:val="000000"/>
                <w:sz w:val="20"/>
                <w:szCs w:val="20"/>
              </w:rPr>
              <w:t>-0.133</w:t>
            </w:r>
          </w:p>
        </w:tc>
        <w:tc>
          <w:tcPr>
            <w:tcW w:w="1023" w:type="dxa"/>
            <w:shd w:val="clear" w:color="auto" w:fill="auto"/>
            <w:noWrap/>
            <w:vAlign w:val="center"/>
          </w:tcPr>
          <w:p w14:paraId="22BEA65A" w14:textId="5231B6C1" w:rsidR="006F6F89" w:rsidRPr="00000990" w:rsidRDefault="006F6F89" w:rsidP="005B6F1D">
            <w:pPr>
              <w:jc w:val="center"/>
              <w:rPr>
                <w:color w:val="000000"/>
                <w:sz w:val="20"/>
                <w:szCs w:val="20"/>
              </w:rPr>
            </w:pPr>
            <w:r>
              <w:rPr>
                <w:color w:val="000000"/>
                <w:sz w:val="20"/>
                <w:szCs w:val="20"/>
              </w:rPr>
              <w:t>1.000</w:t>
            </w:r>
          </w:p>
        </w:tc>
        <w:tc>
          <w:tcPr>
            <w:tcW w:w="819" w:type="dxa"/>
            <w:shd w:val="clear" w:color="auto" w:fill="auto"/>
            <w:noWrap/>
            <w:vAlign w:val="bottom"/>
          </w:tcPr>
          <w:p w14:paraId="070084FE" w14:textId="77777777" w:rsidR="006F6F89" w:rsidRPr="00000990" w:rsidRDefault="006F6F89" w:rsidP="005B6F1D">
            <w:pPr>
              <w:jc w:val="center"/>
              <w:rPr>
                <w:color w:val="000000"/>
                <w:sz w:val="20"/>
                <w:szCs w:val="20"/>
              </w:rPr>
            </w:pPr>
          </w:p>
        </w:tc>
        <w:tc>
          <w:tcPr>
            <w:tcW w:w="710" w:type="dxa"/>
            <w:shd w:val="clear" w:color="auto" w:fill="auto"/>
            <w:noWrap/>
            <w:vAlign w:val="bottom"/>
          </w:tcPr>
          <w:p w14:paraId="39FAC3E3" w14:textId="77777777" w:rsidR="006F6F89" w:rsidRPr="00000990" w:rsidRDefault="006F6F89" w:rsidP="005B6F1D">
            <w:pPr>
              <w:jc w:val="center"/>
              <w:rPr>
                <w:color w:val="000000"/>
                <w:sz w:val="20"/>
                <w:szCs w:val="20"/>
              </w:rPr>
            </w:pPr>
          </w:p>
        </w:tc>
        <w:tc>
          <w:tcPr>
            <w:tcW w:w="884" w:type="dxa"/>
            <w:shd w:val="clear" w:color="auto" w:fill="auto"/>
            <w:noWrap/>
            <w:vAlign w:val="bottom"/>
          </w:tcPr>
          <w:p w14:paraId="6439BD78"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612B9332" w14:textId="77777777" w:rsidR="006F6F89" w:rsidRPr="00000990" w:rsidRDefault="006F6F89" w:rsidP="005B6F1D">
            <w:pPr>
              <w:jc w:val="center"/>
              <w:rPr>
                <w:color w:val="000000"/>
                <w:sz w:val="20"/>
                <w:szCs w:val="20"/>
              </w:rPr>
            </w:pPr>
          </w:p>
        </w:tc>
        <w:tc>
          <w:tcPr>
            <w:tcW w:w="707" w:type="dxa"/>
            <w:shd w:val="clear" w:color="auto" w:fill="auto"/>
            <w:noWrap/>
            <w:vAlign w:val="bottom"/>
          </w:tcPr>
          <w:p w14:paraId="5FBADC39"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1E9F689A" w14:textId="77777777" w:rsidR="006F6F89" w:rsidRPr="00000990" w:rsidRDefault="006F6F89" w:rsidP="005B6F1D">
            <w:pPr>
              <w:jc w:val="center"/>
              <w:rPr>
                <w:color w:val="000000"/>
                <w:sz w:val="20"/>
                <w:szCs w:val="20"/>
              </w:rPr>
            </w:pPr>
          </w:p>
        </w:tc>
        <w:tc>
          <w:tcPr>
            <w:tcW w:w="666" w:type="dxa"/>
            <w:shd w:val="clear" w:color="auto" w:fill="auto"/>
            <w:noWrap/>
            <w:vAlign w:val="bottom"/>
          </w:tcPr>
          <w:p w14:paraId="647C9304" w14:textId="77777777" w:rsidR="006F6F89" w:rsidRPr="00000990" w:rsidRDefault="006F6F89" w:rsidP="005B6F1D">
            <w:pPr>
              <w:jc w:val="center"/>
              <w:rPr>
                <w:color w:val="000000"/>
                <w:sz w:val="20"/>
                <w:szCs w:val="20"/>
              </w:rPr>
            </w:pPr>
          </w:p>
        </w:tc>
      </w:tr>
      <w:tr w:rsidR="006F6F89" w:rsidRPr="00000990" w14:paraId="4318DA4C" w14:textId="77777777" w:rsidTr="006E2394">
        <w:trPr>
          <w:trHeight w:val="300"/>
        </w:trPr>
        <w:tc>
          <w:tcPr>
            <w:tcW w:w="434" w:type="dxa"/>
            <w:shd w:val="clear" w:color="auto" w:fill="auto"/>
            <w:vAlign w:val="center"/>
          </w:tcPr>
          <w:p w14:paraId="20B465F2" w14:textId="6D4A010C" w:rsidR="006F6F89" w:rsidRPr="00000990" w:rsidRDefault="006F6F89" w:rsidP="006E2394">
            <w:pPr>
              <w:rPr>
                <w:color w:val="000000"/>
                <w:sz w:val="20"/>
                <w:szCs w:val="20"/>
              </w:rPr>
            </w:pPr>
            <w:r w:rsidRPr="00000990">
              <w:rPr>
                <w:color w:val="000000"/>
                <w:sz w:val="20"/>
                <w:szCs w:val="20"/>
              </w:rPr>
              <w:t>4</w:t>
            </w:r>
          </w:p>
        </w:tc>
        <w:tc>
          <w:tcPr>
            <w:tcW w:w="2543" w:type="dxa"/>
            <w:shd w:val="clear" w:color="auto" w:fill="auto"/>
            <w:vAlign w:val="center"/>
            <w:hideMark/>
          </w:tcPr>
          <w:p w14:paraId="1F127DCA" w14:textId="35FBD718" w:rsidR="006F6F89" w:rsidRPr="00000990" w:rsidRDefault="00D6052A" w:rsidP="006E2394">
            <w:pPr>
              <w:rPr>
                <w:color w:val="000000"/>
                <w:sz w:val="20"/>
                <w:szCs w:val="20"/>
              </w:rPr>
            </w:pPr>
            <w:r>
              <w:rPr>
                <w:color w:val="000000"/>
                <w:sz w:val="20"/>
                <w:szCs w:val="20"/>
              </w:rPr>
              <w:t>Population</w:t>
            </w:r>
          </w:p>
        </w:tc>
        <w:tc>
          <w:tcPr>
            <w:tcW w:w="1219" w:type="dxa"/>
            <w:shd w:val="clear" w:color="auto" w:fill="auto"/>
            <w:noWrap/>
            <w:vAlign w:val="center"/>
          </w:tcPr>
          <w:p w14:paraId="237076EA" w14:textId="583CE7FF" w:rsidR="006F6F89" w:rsidRPr="00000990" w:rsidRDefault="006F6F89" w:rsidP="005B6F1D">
            <w:pPr>
              <w:jc w:val="center"/>
              <w:rPr>
                <w:color w:val="000000"/>
                <w:sz w:val="20"/>
                <w:szCs w:val="20"/>
              </w:rPr>
            </w:pPr>
            <w:r>
              <w:rPr>
                <w:color w:val="000000"/>
                <w:sz w:val="20"/>
                <w:szCs w:val="20"/>
              </w:rPr>
              <w:t>-0.107</w:t>
            </w:r>
          </w:p>
        </w:tc>
        <w:tc>
          <w:tcPr>
            <w:tcW w:w="800" w:type="dxa"/>
            <w:shd w:val="clear" w:color="auto" w:fill="auto"/>
            <w:noWrap/>
            <w:vAlign w:val="center"/>
          </w:tcPr>
          <w:p w14:paraId="2C8EC241" w14:textId="339D1254" w:rsidR="006F6F89" w:rsidRPr="00000990" w:rsidRDefault="006F6F89" w:rsidP="005B6F1D">
            <w:pPr>
              <w:jc w:val="center"/>
              <w:rPr>
                <w:color w:val="000000"/>
                <w:sz w:val="20"/>
                <w:szCs w:val="20"/>
              </w:rPr>
            </w:pPr>
            <w:r>
              <w:rPr>
                <w:color w:val="000000"/>
                <w:sz w:val="20"/>
                <w:szCs w:val="20"/>
              </w:rPr>
              <w:t>0.093</w:t>
            </w:r>
          </w:p>
        </w:tc>
        <w:tc>
          <w:tcPr>
            <w:tcW w:w="1023" w:type="dxa"/>
            <w:shd w:val="clear" w:color="auto" w:fill="auto"/>
            <w:noWrap/>
            <w:vAlign w:val="center"/>
          </w:tcPr>
          <w:p w14:paraId="7BBF09E2" w14:textId="2BD5018D" w:rsidR="006F6F89" w:rsidRPr="00000990" w:rsidRDefault="006F6F89" w:rsidP="005B6F1D">
            <w:pPr>
              <w:jc w:val="center"/>
              <w:rPr>
                <w:color w:val="000000"/>
                <w:sz w:val="20"/>
                <w:szCs w:val="20"/>
              </w:rPr>
            </w:pPr>
            <w:r>
              <w:rPr>
                <w:color w:val="000000"/>
                <w:sz w:val="20"/>
                <w:szCs w:val="20"/>
              </w:rPr>
              <w:t>-0.124</w:t>
            </w:r>
          </w:p>
        </w:tc>
        <w:tc>
          <w:tcPr>
            <w:tcW w:w="819" w:type="dxa"/>
            <w:shd w:val="clear" w:color="auto" w:fill="auto"/>
            <w:noWrap/>
            <w:vAlign w:val="center"/>
          </w:tcPr>
          <w:p w14:paraId="6AEB0DDF" w14:textId="25A93A51" w:rsidR="006F6F89" w:rsidRPr="00000990" w:rsidRDefault="006F6F89" w:rsidP="005B6F1D">
            <w:pPr>
              <w:jc w:val="center"/>
              <w:rPr>
                <w:color w:val="000000"/>
                <w:sz w:val="20"/>
                <w:szCs w:val="20"/>
              </w:rPr>
            </w:pPr>
            <w:r>
              <w:rPr>
                <w:color w:val="000000"/>
                <w:sz w:val="20"/>
                <w:szCs w:val="20"/>
              </w:rPr>
              <w:t>1.000</w:t>
            </w:r>
          </w:p>
        </w:tc>
        <w:tc>
          <w:tcPr>
            <w:tcW w:w="710" w:type="dxa"/>
            <w:shd w:val="clear" w:color="auto" w:fill="auto"/>
            <w:noWrap/>
            <w:vAlign w:val="bottom"/>
          </w:tcPr>
          <w:p w14:paraId="56801E12" w14:textId="77777777" w:rsidR="006F6F89" w:rsidRPr="00000990" w:rsidRDefault="006F6F89" w:rsidP="005B6F1D">
            <w:pPr>
              <w:jc w:val="center"/>
              <w:rPr>
                <w:color w:val="000000"/>
                <w:sz w:val="20"/>
                <w:szCs w:val="20"/>
              </w:rPr>
            </w:pPr>
          </w:p>
        </w:tc>
        <w:tc>
          <w:tcPr>
            <w:tcW w:w="884" w:type="dxa"/>
            <w:shd w:val="clear" w:color="auto" w:fill="auto"/>
            <w:noWrap/>
            <w:vAlign w:val="bottom"/>
          </w:tcPr>
          <w:p w14:paraId="0C0E6E56"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7022A1F0" w14:textId="77777777" w:rsidR="006F6F89" w:rsidRPr="00000990" w:rsidRDefault="006F6F89" w:rsidP="005B6F1D">
            <w:pPr>
              <w:jc w:val="center"/>
              <w:rPr>
                <w:color w:val="000000"/>
                <w:sz w:val="20"/>
                <w:szCs w:val="20"/>
              </w:rPr>
            </w:pPr>
          </w:p>
        </w:tc>
        <w:tc>
          <w:tcPr>
            <w:tcW w:w="707" w:type="dxa"/>
            <w:shd w:val="clear" w:color="auto" w:fill="auto"/>
            <w:noWrap/>
            <w:vAlign w:val="bottom"/>
          </w:tcPr>
          <w:p w14:paraId="7BAB548B"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76D748F6" w14:textId="77777777" w:rsidR="006F6F89" w:rsidRPr="00000990" w:rsidRDefault="006F6F89" w:rsidP="005B6F1D">
            <w:pPr>
              <w:jc w:val="center"/>
              <w:rPr>
                <w:color w:val="000000"/>
                <w:sz w:val="20"/>
                <w:szCs w:val="20"/>
              </w:rPr>
            </w:pPr>
          </w:p>
        </w:tc>
        <w:tc>
          <w:tcPr>
            <w:tcW w:w="666" w:type="dxa"/>
            <w:shd w:val="clear" w:color="auto" w:fill="auto"/>
            <w:noWrap/>
            <w:vAlign w:val="bottom"/>
          </w:tcPr>
          <w:p w14:paraId="3C16F7EF" w14:textId="77777777" w:rsidR="006F6F89" w:rsidRPr="00000990" w:rsidRDefault="006F6F89" w:rsidP="005B6F1D">
            <w:pPr>
              <w:jc w:val="center"/>
              <w:rPr>
                <w:color w:val="000000"/>
                <w:sz w:val="20"/>
                <w:szCs w:val="20"/>
              </w:rPr>
            </w:pPr>
          </w:p>
        </w:tc>
      </w:tr>
      <w:tr w:rsidR="006F6F89" w:rsidRPr="00000990" w14:paraId="50783581" w14:textId="77777777" w:rsidTr="006E2394">
        <w:trPr>
          <w:trHeight w:val="300"/>
        </w:trPr>
        <w:tc>
          <w:tcPr>
            <w:tcW w:w="434" w:type="dxa"/>
            <w:shd w:val="clear" w:color="auto" w:fill="auto"/>
            <w:vAlign w:val="center"/>
          </w:tcPr>
          <w:p w14:paraId="78760DFB" w14:textId="4B172CEF" w:rsidR="006F6F89" w:rsidRPr="00000990" w:rsidRDefault="006F6F89" w:rsidP="006E2394">
            <w:pPr>
              <w:rPr>
                <w:color w:val="000000"/>
                <w:sz w:val="20"/>
                <w:szCs w:val="20"/>
              </w:rPr>
            </w:pPr>
            <w:r w:rsidRPr="00000990">
              <w:rPr>
                <w:color w:val="000000"/>
                <w:sz w:val="20"/>
                <w:szCs w:val="20"/>
              </w:rPr>
              <w:t>5</w:t>
            </w:r>
          </w:p>
        </w:tc>
        <w:tc>
          <w:tcPr>
            <w:tcW w:w="2543" w:type="dxa"/>
            <w:shd w:val="clear" w:color="auto" w:fill="auto"/>
            <w:vAlign w:val="center"/>
            <w:hideMark/>
          </w:tcPr>
          <w:p w14:paraId="2B7B8089" w14:textId="43B7AD09" w:rsidR="006F6F89" w:rsidRPr="00000990" w:rsidRDefault="006F6F89" w:rsidP="006E2394">
            <w:pPr>
              <w:rPr>
                <w:color w:val="000000"/>
                <w:sz w:val="20"/>
                <w:szCs w:val="20"/>
              </w:rPr>
            </w:pPr>
            <w:r w:rsidRPr="00000990">
              <w:rPr>
                <w:color w:val="000000"/>
                <w:sz w:val="20"/>
                <w:szCs w:val="20"/>
              </w:rPr>
              <w:t xml:space="preserve">GDP Growth </w:t>
            </w:r>
          </w:p>
        </w:tc>
        <w:tc>
          <w:tcPr>
            <w:tcW w:w="1219" w:type="dxa"/>
            <w:shd w:val="clear" w:color="auto" w:fill="auto"/>
            <w:noWrap/>
            <w:vAlign w:val="center"/>
          </w:tcPr>
          <w:p w14:paraId="3BFEC2F7" w14:textId="682F02D3" w:rsidR="006F6F89" w:rsidRPr="00000990" w:rsidRDefault="006F6F89" w:rsidP="005B6F1D">
            <w:pPr>
              <w:jc w:val="center"/>
              <w:rPr>
                <w:color w:val="000000"/>
                <w:sz w:val="20"/>
                <w:szCs w:val="20"/>
              </w:rPr>
            </w:pPr>
            <w:r>
              <w:rPr>
                <w:color w:val="000000"/>
                <w:sz w:val="20"/>
                <w:szCs w:val="20"/>
              </w:rPr>
              <w:t>-0.025</w:t>
            </w:r>
          </w:p>
        </w:tc>
        <w:tc>
          <w:tcPr>
            <w:tcW w:w="800" w:type="dxa"/>
            <w:shd w:val="clear" w:color="auto" w:fill="auto"/>
            <w:noWrap/>
            <w:vAlign w:val="center"/>
          </w:tcPr>
          <w:p w14:paraId="378A443D" w14:textId="6E8C4AD7" w:rsidR="006F6F89" w:rsidRPr="00000990" w:rsidRDefault="006F6F89" w:rsidP="005B6F1D">
            <w:pPr>
              <w:jc w:val="center"/>
              <w:rPr>
                <w:color w:val="000000"/>
                <w:sz w:val="20"/>
                <w:szCs w:val="20"/>
              </w:rPr>
            </w:pPr>
            <w:r>
              <w:rPr>
                <w:color w:val="000000"/>
                <w:sz w:val="20"/>
                <w:szCs w:val="20"/>
              </w:rPr>
              <w:t>0.045</w:t>
            </w:r>
          </w:p>
        </w:tc>
        <w:tc>
          <w:tcPr>
            <w:tcW w:w="1023" w:type="dxa"/>
            <w:shd w:val="clear" w:color="auto" w:fill="auto"/>
            <w:noWrap/>
            <w:vAlign w:val="center"/>
          </w:tcPr>
          <w:p w14:paraId="4E68AF14" w14:textId="1720136B" w:rsidR="006F6F89" w:rsidRPr="00000990" w:rsidRDefault="006F6F89" w:rsidP="005B6F1D">
            <w:pPr>
              <w:jc w:val="center"/>
              <w:rPr>
                <w:color w:val="000000"/>
                <w:sz w:val="20"/>
                <w:szCs w:val="20"/>
              </w:rPr>
            </w:pPr>
            <w:r>
              <w:rPr>
                <w:color w:val="000000"/>
                <w:sz w:val="20"/>
                <w:szCs w:val="20"/>
              </w:rPr>
              <w:t>-0.060</w:t>
            </w:r>
          </w:p>
        </w:tc>
        <w:tc>
          <w:tcPr>
            <w:tcW w:w="819" w:type="dxa"/>
            <w:shd w:val="clear" w:color="auto" w:fill="auto"/>
            <w:noWrap/>
            <w:vAlign w:val="center"/>
          </w:tcPr>
          <w:p w14:paraId="211160B8" w14:textId="4495A658" w:rsidR="006F6F89" w:rsidRPr="00000990" w:rsidRDefault="006F6F89" w:rsidP="005B6F1D">
            <w:pPr>
              <w:jc w:val="center"/>
              <w:rPr>
                <w:color w:val="000000"/>
                <w:sz w:val="20"/>
                <w:szCs w:val="20"/>
              </w:rPr>
            </w:pPr>
            <w:r>
              <w:rPr>
                <w:color w:val="000000"/>
                <w:sz w:val="20"/>
                <w:szCs w:val="20"/>
              </w:rPr>
              <w:t>0.111</w:t>
            </w:r>
          </w:p>
        </w:tc>
        <w:tc>
          <w:tcPr>
            <w:tcW w:w="710" w:type="dxa"/>
            <w:shd w:val="clear" w:color="auto" w:fill="auto"/>
            <w:noWrap/>
            <w:vAlign w:val="center"/>
          </w:tcPr>
          <w:p w14:paraId="32B82D24" w14:textId="3C1B59D5" w:rsidR="006F6F89" w:rsidRPr="00000990" w:rsidRDefault="006F6F89" w:rsidP="005B6F1D">
            <w:pPr>
              <w:jc w:val="center"/>
              <w:rPr>
                <w:color w:val="000000"/>
                <w:sz w:val="20"/>
                <w:szCs w:val="20"/>
              </w:rPr>
            </w:pPr>
            <w:r>
              <w:rPr>
                <w:color w:val="000000"/>
                <w:sz w:val="20"/>
                <w:szCs w:val="20"/>
              </w:rPr>
              <w:t>1.000</w:t>
            </w:r>
          </w:p>
        </w:tc>
        <w:tc>
          <w:tcPr>
            <w:tcW w:w="884" w:type="dxa"/>
            <w:shd w:val="clear" w:color="auto" w:fill="auto"/>
            <w:noWrap/>
            <w:vAlign w:val="bottom"/>
          </w:tcPr>
          <w:p w14:paraId="5EA87DB1"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4B6C8DA7" w14:textId="77777777" w:rsidR="006F6F89" w:rsidRPr="00000990" w:rsidRDefault="006F6F89" w:rsidP="005B6F1D">
            <w:pPr>
              <w:jc w:val="center"/>
              <w:rPr>
                <w:color w:val="000000"/>
                <w:sz w:val="20"/>
                <w:szCs w:val="20"/>
              </w:rPr>
            </w:pPr>
          </w:p>
        </w:tc>
        <w:tc>
          <w:tcPr>
            <w:tcW w:w="707" w:type="dxa"/>
            <w:shd w:val="clear" w:color="auto" w:fill="auto"/>
            <w:noWrap/>
            <w:vAlign w:val="bottom"/>
          </w:tcPr>
          <w:p w14:paraId="1E83243A"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28117ADF" w14:textId="77777777" w:rsidR="006F6F89" w:rsidRPr="00000990" w:rsidRDefault="006F6F89" w:rsidP="005B6F1D">
            <w:pPr>
              <w:jc w:val="center"/>
              <w:rPr>
                <w:color w:val="000000"/>
                <w:sz w:val="20"/>
                <w:szCs w:val="20"/>
              </w:rPr>
            </w:pPr>
          </w:p>
        </w:tc>
        <w:tc>
          <w:tcPr>
            <w:tcW w:w="666" w:type="dxa"/>
            <w:shd w:val="clear" w:color="auto" w:fill="auto"/>
            <w:noWrap/>
            <w:vAlign w:val="bottom"/>
          </w:tcPr>
          <w:p w14:paraId="41A38086" w14:textId="77777777" w:rsidR="006F6F89" w:rsidRPr="00000990" w:rsidRDefault="006F6F89" w:rsidP="005B6F1D">
            <w:pPr>
              <w:jc w:val="center"/>
              <w:rPr>
                <w:color w:val="000000"/>
                <w:sz w:val="20"/>
                <w:szCs w:val="20"/>
              </w:rPr>
            </w:pPr>
          </w:p>
        </w:tc>
      </w:tr>
      <w:tr w:rsidR="006F6F89" w:rsidRPr="00000990" w14:paraId="18031569" w14:textId="77777777" w:rsidTr="006E2394">
        <w:trPr>
          <w:trHeight w:val="300"/>
        </w:trPr>
        <w:tc>
          <w:tcPr>
            <w:tcW w:w="434" w:type="dxa"/>
            <w:shd w:val="clear" w:color="auto" w:fill="auto"/>
            <w:vAlign w:val="center"/>
          </w:tcPr>
          <w:p w14:paraId="6B391233" w14:textId="5323A52A" w:rsidR="006F6F89" w:rsidRPr="00000990" w:rsidRDefault="006F6F89" w:rsidP="006E2394">
            <w:pPr>
              <w:rPr>
                <w:color w:val="000000"/>
                <w:sz w:val="20"/>
                <w:szCs w:val="20"/>
              </w:rPr>
            </w:pPr>
            <w:r w:rsidRPr="00000990">
              <w:rPr>
                <w:color w:val="000000"/>
                <w:sz w:val="20"/>
                <w:szCs w:val="20"/>
              </w:rPr>
              <w:t>6</w:t>
            </w:r>
          </w:p>
        </w:tc>
        <w:tc>
          <w:tcPr>
            <w:tcW w:w="2543" w:type="dxa"/>
            <w:shd w:val="clear" w:color="auto" w:fill="auto"/>
            <w:vAlign w:val="center"/>
            <w:hideMark/>
          </w:tcPr>
          <w:p w14:paraId="2EA98835" w14:textId="64033C9C" w:rsidR="006F6F89" w:rsidRPr="00000990" w:rsidRDefault="006F6F89" w:rsidP="006E2394">
            <w:pPr>
              <w:rPr>
                <w:color w:val="000000"/>
                <w:sz w:val="20"/>
                <w:szCs w:val="20"/>
              </w:rPr>
            </w:pPr>
            <w:r w:rsidRPr="00000990">
              <w:rPr>
                <w:color w:val="000000"/>
                <w:sz w:val="20"/>
                <w:szCs w:val="20"/>
              </w:rPr>
              <w:t>Common language</w:t>
            </w:r>
          </w:p>
        </w:tc>
        <w:tc>
          <w:tcPr>
            <w:tcW w:w="1219" w:type="dxa"/>
            <w:shd w:val="clear" w:color="auto" w:fill="auto"/>
            <w:noWrap/>
            <w:vAlign w:val="center"/>
          </w:tcPr>
          <w:p w14:paraId="38DB13C6" w14:textId="00520E62" w:rsidR="006F6F89" w:rsidRPr="00000990" w:rsidRDefault="006F6F89" w:rsidP="005B6F1D">
            <w:pPr>
              <w:jc w:val="center"/>
              <w:rPr>
                <w:color w:val="000000"/>
                <w:sz w:val="20"/>
                <w:szCs w:val="20"/>
              </w:rPr>
            </w:pPr>
            <w:r>
              <w:rPr>
                <w:color w:val="000000"/>
                <w:sz w:val="20"/>
                <w:szCs w:val="20"/>
              </w:rPr>
              <w:t>0.259</w:t>
            </w:r>
          </w:p>
        </w:tc>
        <w:tc>
          <w:tcPr>
            <w:tcW w:w="800" w:type="dxa"/>
            <w:shd w:val="clear" w:color="auto" w:fill="auto"/>
            <w:noWrap/>
            <w:vAlign w:val="center"/>
          </w:tcPr>
          <w:p w14:paraId="47926773" w14:textId="66FE7C72" w:rsidR="006F6F89" w:rsidRPr="00000990" w:rsidRDefault="006F6F89" w:rsidP="005B6F1D">
            <w:pPr>
              <w:jc w:val="center"/>
              <w:rPr>
                <w:color w:val="000000"/>
                <w:sz w:val="20"/>
                <w:szCs w:val="20"/>
              </w:rPr>
            </w:pPr>
            <w:r>
              <w:rPr>
                <w:color w:val="000000"/>
                <w:sz w:val="20"/>
                <w:szCs w:val="20"/>
              </w:rPr>
              <w:t>0.009</w:t>
            </w:r>
          </w:p>
        </w:tc>
        <w:tc>
          <w:tcPr>
            <w:tcW w:w="1023" w:type="dxa"/>
            <w:shd w:val="clear" w:color="auto" w:fill="auto"/>
            <w:noWrap/>
            <w:vAlign w:val="center"/>
          </w:tcPr>
          <w:p w14:paraId="56977C6B" w14:textId="4BF9201E" w:rsidR="006F6F89" w:rsidRPr="00000990" w:rsidRDefault="006F6F89" w:rsidP="005B6F1D">
            <w:pPr>
              <w:jc w:val="center"/>
              <w:rPr>
                <w:color w:val="000000"/>
                <w:sz w:val="20"/>
                <w:szCs w:val="20"/>
              </w:rPr>
            </w:pPr>
            <w:r>
              <w:rPr>
                <w:color w:val="000000"/>
                <w:sz w:val="20"/>
                <w:szCs w:val="20"/>
              </w:rPr>
              <w:t>0.438</w:t>
            </w:r>
          </w:p>
        </w:tc>
        <w:tc>
          <w:tcPr>
            <w:tcW w:w="819" w:type="dxa"/>
            <w:shd w:val="clear" w:color="auto" w:fill="auto"/>
            <w:noWrap/>
            <w:vAlign w:val="center"/>
          </w:tcPr>
          <w:p w14:paraId="0C8D0651" w14:textId="2F520D0B" w:rsidR="006F6F89" w:rsidRPr="00000990" w:rsidRDefault="006F6F89" w:rsidP="005B6F1D">
            <w:pPr>
              <w:jc w:val="center"/>
              <w:rPr>
                <w:color w:val="000000"/>
                <w:sz w:val="20"/>
                <w:szCs w:val="20"/>
              </w:rPr>
            </w:pPr>
            <w:r>
              <w:rPr>
                <w:color w:val="000000"/>
                <w:sz w:val="20"/>
                <w:szCs w:val="20"/>
              </w:rPr>
              <w:t>0.046</w:t>
            </w:r>
          </w:p>
        </w:tc>
        <w:tc>
          <w:tcPr>
            <w:tcW w:w="710" w:type="dxa"/>
            <w:shd w:val="clear" w:color="auto" w:fill="auto"/>
            <w:noWrap/>
            <w:vAlign w:val="center"/>
          </w:tcPr>
          <w:p w14:paraId="1938050E" w14:textId="79CB3948" w:rsidR="006F6F89" w:rsidRPr="00000990" w:rsidRDefault="006F6F89" w:rsidP="005B6F1D">
            <w:pPr>
              <w:jc w:val="center"/>
              <w:rPr>
                <w:color w:val="000000"/>
                <w:sz w:val="20"/>
                <w:szCs w:val="20"/>
              </w:rPr>
            </w:pPr>
            <w:r>
              <w:rPr>
                <w:color w:val="000000"/>
                <w:sz w:val="20"/>
                <w:szCs w:val="20"/>
              </w:rPr>
              <w:t>0.108</w:t>
            </w:r>
          </w:p>
        </w:tc>
        <w:tc>
          <w:tcPr>
            <w:tcW w:w="884" w:type="dxa"/>
            <w:shd w:val="clear" w:color="auto" w:fill="auto"/>
            <w:noWrap/>
            <w:vAlign w:val="center"/>
          </w:tcPr>
          <w:p w14:paraId="1526A356" w14:textId="04617AA4" w:rsidR="006F6F89" w:rsidRPr="00000990" w:rsidRDefault="006F6F89" w:rsidP="005B6F1D">
            <w:pPr>
              <w:jc w:val="center"/>
              <w:rPr>
                <w:color w:val="000000"/>
                <w:sz w:val="20"/>
                <w:szCs w:val="20"/>
              </w:rPr>
            </w:pPr>
            <w:r>
              <w:rPr>
                <w:color w:val="000000"/>
                <w:sz w:val="20"/>
                <w:szCs w:val="20"/>
              </w:rPr>
              <w:t>1.000</w:t>
            </w:r>
          </w:p>
        </w:tc>
        <w:tc>
          <w:tcPr>
            <w:tcW w:w="960" w:type="dxa"/>
            <w:shd w:val="clear" w:color="auto" w:fill="auto"/>
            <w:noWrap/>
            <w:vAlign w:val="bottom"/>
          </w:tcPr>
          <w:p w14:paraId="7D176C84" w14:textId="77777777" w:rsidR="006F6F89" w:rsidRPr="00000990" w:rsidRDefault="006F6F89" w:rsidP="005B6F1D">
            <w:pPr>
              <w:jc w:val="center"/>
              <w:rPr>
                <w:color w:val="000000"/>
                <w:sz w:val="20"/>
                <w:szCs w:val="20"/>
              </w:rPr>
            </w:pPr>
          </w:p>
        </w:tc>
        <w:tc>
          <w:tcPr>
            <w:tcW w:w="707" w:type="dxa"/>
            <w:shd w:val="clear" w:color="auto" w:fill="auto"/>
            <w:noWrap/>
            <w:vAlign w:val="bottom"/>
          </w:tcPr>
          <w:p w14:paraId="06AAEF08"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66A0A8BF" w14:textId="77777777" w:rsidR="006F6F89" w:rsidRPr="00000990" w:rsidRDefault="006F6F89" w:rsidP="005B6F1D">
            <w:pPr>
              <w:jc w:val="center"/>
              <w:rPr>
                <w:color w:val="000000"/>
                <w:sz w:val="20"/>
                <w:szCs w:val="20"/>
              </w:rPr>
            </w:pPr>
          </w:p>
        </w:tc>
        <w:tc>
          <w:tcPr>
            <w:tcW w:w="666" w:type="dxa"/>
            <w:shd w:val="clear" w:color="auto" w:fill="auto"/>
            <w:noWrap/>
            <w:vAlign w:val="bottom"/>
          </w:tcPr>
          <w:p w14:paraId="3C7692FC" w14:textId="77777777" w:rsidR="006F6F89" w:rsidRPr="00000990" w:rsidRDefault="006F6F89" w:rsidP="005B6F1D">
            <w:pPr>
              <w:jc w:val="center"/>
              <w:rPr>
                <w:color w:val="000000"/>
                <w:sz w:val="20"/>
                <w:szCs w:val="20"/>
              </w:rPr>
            </w:pPr>
          </w:p>
        </w:tc>
      </w:tr>
      <w:tr w:rsidR="006F6F89" w:rsidRPr="00000990" w14:paraId="5686C7A5" w14:textId="77777777" w:rsidTr="006E2394">
        <w:trPr>
          <w:trHeight w:val="300"/>
        </w:trPr>
        <w:tc>
          <w:tcPr>
            <w:tcW w:w="434" w:type="dxa"/>
            <w:shd w:val="clear" w:color="auto" w:fill="auto"/>
            <w:vAlign w:val="center"/>
          </w:tcPr>
          <w:p w14:paraId="5BF165FE" w14:textId="53842880" w:rsidR="006F6F89" w:rsidRPr="00000990" w:rsidRDefault="006F6F89" w:rsidP="006E2394">
            <w:pPr>
              <w:rPr>
                <w:color w:val="000000"/>
                <w:sz w:val="20"/>
                <w:szCs w:val="20"/>
              </w:rPr>
            </w:pPr>
            <w:r>
              <w:rPr>
                <w:color w:val="000000"/>
                <w:sz w:val="20"/>
                <w:szCs w:val="20"/>
              </w:rPr>
              <w:t>7</w:t>
            </w:r>
          </w:p>
        </w:tc>
        <w:tc>
          <w:tcPr>
            <w:tcW w:w="2543" w:type="dxa"/>
            <w:shd w:val="clear" w:color="auto" w:fill="auto"/>
            <w:vAlign w:val="center"/>
            <w:hideMark/>
          </w:tcPr>
          <w:p w14:paraId="301ECD19" w14:textId="7FE05387" w:rsidR="006F6F89" w:rsidRPr="00000990" w:rsidRDefault="006F6F89" w:rsidP="006E2394">
            <w:pPr>
              <w:rPr>
                <w:color w:val="000000"/>
                <w:sz w:val="20"/>
                <w:szCs w:val="20"/>
              </w:rPr>
            </w:pPr>
            <w:r w:rsidRPr="00000990">
              <w:rPr>
                <w:color w:val="000000"/>
                <w:sz w:val="20"/>
                <w:szCs w:val="20"/>
              </w:rPr>
              <w:t>GDP per capita</w:t>
            </w:r>
          </w:p>
        </w:tc>
        <w:tc>
          <w:tcPr>
            <w:tcW w:w="1219" w:type="dxa"/>
            <w:shd w:val="clear" w:color="auto" w:fill="auto"/>
            <w:noWrap/>
            <w:vAlign w:val="center"/>
          </w:tcPr>
          <w:p w14:paraId="28AEFC58" w14:textId="6591C78A" w:rsidR="006F6F89" w:rsidRPr="00000990" w:rsidRDefault="006F6F89" w:rsidP="005B6F1D">
            <w:pPr>
              <w:jc w:val="center"/>
              <w:rPr>
                <w:color w:val="000000"/>
                <w:sz w:val="20"/>
                <w:szCs w:val="20"/>
              </w:rPr>
            </w:pPr>
            <w:r>
              <w:rPr>
                <w:color w:val="000000"/>
                <w:sz w:val="20"/>
                <w:szCs w:val="20"/>
              </w:rPr>
              <w:t>0.651</w:t>
            </w:r>
          </w:p>
        </w:tc>
        <w:tc>
          <w:tcPr>
            <w:tcW w:w="800" w:type="dxa"/>
            <w:shd w:val="clear" w:color="auto" w:fill="auto"/>
            <w:noWrap/>
            <w:vAlign w:val="center"/>
          </w:tcPr>
          <w:p w14:paraId="5C1381A7" w14:textId="24A0D54C" w:rsidR="006F6F89" w:rsidRPr="00000990" w:rsidRDefault="006F6F89" w:rsidP="005B6F1D">
            <w:pPr>
              <w:jc w:val="center"/>
              <w:rPr>
                <w:color w:val="000000"/>
                <w:sz w:val="20"/>
                <w:szCs w:val="20"/>
              </w:rPr>
            </w:pPr>
            <w:r>
              <w:rPr>
                <w:color w:val="000000"/>
                <w:sz w:val="20"/>
                <w:szCs w:val="20"/>
              </w:rPr>
              <w:t>-0.052</w:t>
            </w:r>
          </w:p>
        </w:tc>
        <w:tc>
          <w:tcPr>
            <w:tcW w:w="1023" w:type="dxa"/>
            <w:shd w:val="clear" w:color="auto" w:fill="auto"/>
            <w:noWrap/>
            <w:vAlign w:val="center"/>
          </w:tcPr>
          <w:p w14:paraId="7361BAA8" w14:textId="4923881F" w:rsidR="006F6F89" w:rsidRPr="00000990" w:rsidRDefault="006F6F89" w:rsidP="005B6F1D">
            <w:pPr>
              <w:jc w:val="center"/>
              <w:rPr>
                <w:color w:val="000000"/>
                <w:sz w:val="20"/>
                <w:szCs w:val="20"/>
              </w:rPr>
            </w:pPr>
            <w:r>
              <w:rPr>
                <w:color w:val="000000"/>
                <w:sz w:val="20"/>
                <w:szCs w:val="20"/>
              </w:rPr>
              <w:t>0.073</w:t>
            </w:r>
          </w:p>
        </w:tc>
        <w:tc>
          <w:tcPr>
            <w:tcW w:w="819" w:type="dxa"/>
            <w:shd w:val="clear" w:color="auto" w:fill="auto"/>
            <w:noWrap/>
            <w:vAlign w:val="center"/>
          </w:tcPr>
          <w:p w14:paraId="0742BAD1" w14:textId="7329D9FC" w:rsidR="006F6F89" w:rsidRPr="00000990" w:rsidRDefault="006F6F89" w:rsidP="005B6F1D">
            <w:pPr>
              <w:jc w:val="center"/>
              <w:rPr>
                <w:color w:val="000000"/>
                <w:sz w:val="20"/>
                <w:szCs w:val="20"/>
              </w:rPr>
            </w:pPr>
            <w:r>
              <w:rPr>
                <w:color w:val="000000"/>
                <w:sz w:val="20"/>
                <w:szCs w:val="20"/>
              </w:rPr>
              <w:t>-0.250</w:t>
            </w:r>
          </w:p>
        </w:tc>
        <w:tc>
          <w:tcPr>
            <w:tcW w:w="710" w:type="dxa"/>
            <w:shd w:val="clear" w:color="auto" w:fill="auto"/>
            <w:noWrap/>
            <w:vAlign w:val="center"/>
          </w:tcPr>
          <w:p w14:paraId="26059A1A" w14:textId="279C98C0" w:rsidR="006F6F89" w:rsidRPr="00000990" w:rsidRDefault="006F6F89" w:rsidP="005B6F1D">
            <w:pPr>
              <w:jc w:val="center"/>
              <w:rPr>
                <w:color w:val="000000"/>
                <w:sz w:val="20"/>
                <w:szCs w:val="20"/>
              </w:rPr>
            </w:pPr>
            <w:r>
              <w:rPr>
                <w:color w:val="000000"/>
                <w:sz w:val="20"/>
                <w:szCs w:val="20"/>
              </w:rPr>
              <w:t>0.107</w:t>
            </w:r>
          </w:p>
        </w:tc>
        <w:tc>
          <w:tcPr>
            <w:tcW w:w="884" w:type="dxa"/>
            <w:shd w:val="clear" w:color="auto" w:fill="auto"/>
            <w:noWrap/>
            <w:vAlign w:val="center"/>
          </w:tcPr>
          <w:p w14:paraId="3FF5976F" w14:textId="3D9CCF7F" w:rsidR="006F6F89" w:rsidRPr="00000990" w:rsidRDefault="006F6F89" w:rsidP="005B6F1D">
            <w:pPr>
              <w:jc w:val="center"/>
              <w:rPr>
                <w:color w:val="000000"/>
                <w:sz w:val="20"/>
                <w:szCs w:val="20"/>
              </w:rPr>
            </w:pPr>
            <w:r>
              <w:rPr>
                <w:color w:val="000000"/>
                <w:sz w:val="20"/>
                <w:szCs w:val="20"/>
              </w:rPr>
              <w:t>0.184</w:t>
            </w:r>
          </w:p>
        </w:tc>
        <w:tc>
          <w:tcPr>
            <w:tcW w:w="960" w:type="dxa"/>
            <w:shd w:val="clear" w:color="auto" w:fill="auto"/>
            <w:noWrap/>
            <w:vAlign w:val="center"/>
          </w:tcPr>
          <w:p w14:paraId="0731EFEA" w14:textId="4818A13E" w:rsidR="006F6F89" w:rsidRPr="00000990" w:rsidRDefault="006F6F89" w:rsidP="005B6F1D">
            <w:pPr>
              <w:jc w:val="center"/>
              <w:rPr>
                <w:color w:val="000000"/>
                <w:sz w:val="20"/>
                <w:szCs w:val="20"/>
              </w:rPr>
            </w:pPr>
            <w:r>
              <w:rPr>
                <w:color w:val="000000"/>
                <w:sz w:val="20"/>
                <w:szCs w:val="20"/>
              </w:rPr>
              <w:t>1.000</w:t>
            </w:r>
          </w:p>
        </w:tc>
        <w:tc>
          <w:tcPr>
            <w:tcW w:w="707" w:type="dxa"/>
            <w:shd w:val="clear" w:color="auto" w:fill="auto"/>
            <w:noWrap/>
            <w:vAlign w:val="bottom"/>
          </w:tcPr>
          <w:p w14:paraId="21CDA413" w14:textId="77777777" w:rsidR="006F6F89" w:rsidRPr="00000990" w:rsidRDefault="006F6F89" w:rsidP="005B6F1D">
            <w:pPr>
              <w:jc w:val="center"/>
              <w:rPr>
                <w:color w:val="000000"/>
                <w:sz w:val="20"/>
                <w:szCs w:val="20"/>
              </w:rPr>
            </w:pPr>
          </w:p>
        </w:tc>
        <w:tc>
          <w:tcPr>
            <w:tcW w:w="960" w:type="dxa"/>
            <w:shd w:val="clear" w:color="auto" w:fill="auto"/>
            <w:noWrap/>
            <w:vAlign w:val="bottom"/>
          </w:tcPr>
          <w:p w14:paraId="691C2BFD" w14:textId="77777777" w:rsidR="006F6F89" w:rsidRPr="00000990" w:rsidRDefault="006F6F89" w:rsidP="005B6F1D">
            <w:pPr>
              <w:jc w:val="center"/>
              <w:rPr>
                <w:color w:val="000000"/>
                <w:sz w:val="20"/>
                <w:szCs w:val="20"/>
              </w:rPr>
            </w:pPr>
          </w:p>
        </w:tc>
        <w:tc>
          <w:tcPr>
            <w:tcW w:w="666" w:type="dxa"/>
            <w:shd w:val="clear" w:color="auto" w:fill="auto"/>
            <w:noWrap/>
            <w:vAlign w:val="bottom"/>
          </w:tcPr>
          <w:p w14:paraId="78D086DD" w14:textId="77777777" w:rsidR="006F6F89" w:rsidRPr="00000990" w:rsidRDefault="006F6F89" w:rsidP="005B6F1D">
            <w:pPr>
              <w:jc w:val="center"/>
              <w:rPr>
                <w:color w:val="000000"/>
                <w:sz w:val="20"/>
                <w:szCs w:val="20"/>
              </w:rPr>
            </w:pPr>
          </w:p>
        </w:tc>
      </w:tr>
      <w:tr w:rsidR="006F6F89" w:rsidRPr="00000990" w14:paraId="20B8808A" w14:textId="77777777" w:rsidTr="006E2394">
        <w:trPr>
          <w:trHeight w:val="300"/>
        </w:trPr>
        <w:tc>
          <w:tcPr>
            <w:tcW w:w="434" w:type="dxa"/>
            <w:shd w:val="clear" w:color="auto" w:fill="auto"/>
            <w:vAlign w:val="center"/>
          </w:tcPr>
          <w:p w14:paraId="4DA7C1BE" w14:textId="1012AB51" w:rsidR="006F6F89" w:rsidRPr="00000990" w:rsidRDefault="006F6F89" w:rsidP="006E2394">
            <w:pPr>
              <w:rPr>
                <w:color w:val="000000"/>
                <w:sz w:val="20"/>
                <w:szCs w:val="20"/>
              </w:rPr>
            </w:pPr>
            <w:r>
              <w:rPr>
                <w:color w:val="000000"/>
                <w:sz w:val="20"/>
                <w:szCs w:val="20"/>
              </w:rPr>
              <w:t>8</w:t>
            </w:r>
          </w:p>
        </w:tc>
        <w:tc>
          <w:tcPr>
            <w:tcW w:w="2543" w:type="dxa"/>
            <w:shd w:val="clear" w:color="auto" w:fill="auto"/>
            <w:vAlign w:val="center"/>
            <w:hideMark/>
          </w:tcPr>
          <w:p w14:paraId="0BA5F377" w14:textId="19777F2D" w:rsidR="006F6F89" w:rsidRPr="00000990" w:rsidRDefault="006F6F89" w:rsidP="00D6052A">
            <w:pPr>
              <w:rPr>
                <w:color w:val="000000"/>
                <w:sz w:val="20"/>
                <w:szCs w:val="20"/>
              </w:rPr>
            </w:pPr>
            <w:r w:rsidRPr="00000990">
              <w:rPr>
                <w:color w:val="000000"/>
                <w:sz w:val="20"/>
                <w:szCs w:val="20"/>
              </w:rPr>
              <w:t>Manufacturing</w:t>
            </w:r>
          </w:p>
        </w:tc>
        <w:tc>
          <w:tcPr>
            <w:tcW w:w="1219" w:type="dxa"/>
            <w:shd w:val="clear" w:color="auto" w:fill="auto"/>
            <w:noWrap/>
            <w:vAlign w:val="center"/>
          </w:tcPr>
          <w:p w14:paraId="7879CCA2" w14:textId="73EE93A6" w:rsidR="006F6F89" w:rsidRPr="00000990" w:rsidRDefault="006F6F89" w:rsidP="005B6F1D">
            <w:pPr>
              <w:jc w:val="center"/>
              <w:rPr>
                <w:color w:val="000000"/>
                <w:sz w:val="20"/>
                <w:szCs w:val="20"/>
              </w:rPr>
            </w:pPr>
            <w:r>
              <w:rPr>
                <w:color w:val="000000"/>
                <w:sz w:val="20"/>
                <w:szCs w:val="20"/>
              </w:rPr>
              <w:t>-0.188</w:t>
            </w:r>
          </w:p>
        </w:tc>
        <w:tc>
          <w:tcPr>
            <w:tcW w:w="800" w:type="dxa"/>
            <w:shd w:val="clear" w:color="auto" w:fill="auto"/>
            <w:noWrap/>
            <w:vAlign w:val="center"/>
          </w:tcPr>
          <w:p w14:paraId="73AC49BA" w14:textId="22A33620" w:rsidR="006F6F89" w:rsidRPr="00000990" w:rsidRDefault="006F6F89" w:rsidP="005B6F1D">
            <w:pPr>
              <w:jc w:val="center"/>
              <w:rPr>
                <w:color w:val="000000"/>
                <w:sz w:val="20"/>
                <w:szCs w:val="20"/>
              </w:rPr>
            </w:pPr>
            <w:r>
              <w:rPr>
                <w:color w:val="000000"/>
                <w:sz w:val="20"/>
                <w:szCs w:val="20"/>
              </w:rPr>
              <w:t>-0.170</w:t>
            </w:r>
          </w:p>
        </w:tc>
        <w:tc>
          <w:tcPr>
            <w:tcW w:w="1023" w:type="dxa"/>
            <w:shd w:val="clear" w:color="auto" w:fill="auto"/>
            <w:noWrap/>
            <w:vAlign w:val="center"/>
          </w:tcPr>
          <w:p w14:paraId="33954D8C" w14:textId="6A6035FA" w:rsidR="006F6F89" w:rsidRPr="00000990" w:rsidRDefault="006F6F89" w:rsidP="005B6F1D">
            <w:pPr>
              <w:jc w:val="center"/>
              <w:rPr>
                <w:color w:val="000000"/>
                <w:sz w:val="20"/>
                <w:szCs w:val="20"/>
              </w:rPr>
            </w:pPr>
            <w:r>
              <w:rPr>
                <w:color w:val="000000"/>
                <w:sz w:val="20"/>
                <w:szCs w:val="20"/>
              </w:rPr>
              <w:t>-0.139</w:t>
            </w:r>
          </w:p>
        </w:tc>
        <w:tc>
          <w:tcPr>
            <w:tcW w:w="819" w:type="dxa"/>
            <w:shd w:val="clear" w:color="auto" w:fill="auto"/>
            <w:noWrap/>
            <w:vAlign w:val="center"/>
          </w:tcPr>
          <w:p w14:paraId="01CCB9C6" w14:textId="0803952F" w:rsidR="006F6F89" w:rsidRPr="00000990" w:rsidRDefault="006F6F89" w:rsidP="005B6F1D">
            <w:pPr>
              <w:jc w:val="center"/>
              <w:rPr>
                <w:color w:val="000000"/>
                <w:sz w:val="20"/>
                <w:szCs w:val="20"/>
              </w:rPr>
            </w:pPr>
            <w:r>
              <w:rPr>
                <w:color w:val="000000"/>
                <w:sz w:val="20"/>
                <w:szCs w:val="20"/>
              </w:rPr>
              <w:t>0.090</w:t>
            </w:r>
          </w:p>
        </w:tc>
        <w:tc>
          <w:tcPr>
            <w:tcW w:w="710" w:type="dxa"/>
            <w:shd w:val="clear" w:color="auto" w:fill="auto"/>
            <w:noWrap/>
            <w:vAlign w:val="center"/>
          </w:tcPr>
          <w:p w14:paraId="25FF801A" w14:textId="0C7EEBFE" w:rsidR="006F6F89" w:rsidRPr="00000990" w:rsidRDefault="006F6F89" w:rsidP="005B6F1D">
            <w:pPr>
              <w:jc w:val="center"/>
              <w:rPr>
                <w:color w:val="000000"/>
                <w:sz w:val="20"/>
                <w:szCs w:val="20"/>
              </w:rPr>
            </w:pPr>
            <w:r>
              <w:rPr>
                <w:color w:val="000000"/>
                <w:sz w:val="20"/>
                <w:szCs w:val="20"/>
              </w:rPr>
              <w:t>0.196</w:t>
            </w:r>
          </w:p>
        </w:tc>
        <w:tc>
          <w:tcPr>
            <w:tcW w:w="884" w:type="dxa"/>
            <w:shd w:val="clear" w:color="auto" w:fill="auto"/>
            <w:noWrap/>
            <w:vAlign w:val="center"/>
          </w:tcPr>
          <w:p w14:paraId="55E22E80" w14:textId="7C30206C" w:rsidR="006F6F89" w:rsidRPr="00000990" w:rsidRDefault="006F6F89" w:rsidP="005B6F1D">
            <w:pPr>
              <w:jc w:val="center"/>
              <w:rPr>
                <w:color w:val="000000"/>
                <w:sz w:val="20"/>
                <w:szCs w:val="20"/>
              </w:rPr>
            </w:pPr>
            <w:r>
              <w:rPr>
                <w:color w:val="000000"/>
                <w:sz w:val="20"/>
                <w:szCs w:val="20"/>
              </w:rPr>
              <w:t>-0.137</w:t>
            </w:r>
          </w:p>
        </w:tc>
        <w:tc>
          <w:tcPr>
            <w:tcW w:w="960" w:type="dxa"/>
            <w:shd w:val="clear" w:color="auto" w:fill="auto"/>
            <w:noWrap/>
            <w:vAlign w:val="center"/>
          </w:tcPr>
          <w:p w14:paraId="777DF2FA" w14:textId="3400C317" w:rsidR="006F6F89" w:rsidRPr="00000990" w:rsidRDefault="006F6F89" w:rsidP="005B6F1D">
            <w:pPr>
              <w:jc w:val="center"/>
              <w:rPr>
                <w:color w:val="000000"/>
                <w:sz w:val="20"/>
                <w:szCs w:val="20"/>
              </w:rPr>
            </w:pPr>
            <w:r>
              <w:rPr>
                <w:color w:val="000000"/>
                <w:sz w:val="20"/>
                <w:szCs w:val="20"/>
              </w:rPr>
              <w:t>-0.370</w:t>
            </w:r>
          </w:p>
        </w:tc>
        <w:tc>
          <w:tcPr>
            <w:tcW w:w="707" w:type="dxa"/>
            <w:shd w:val="clear" w:color="auto" w:fill="auto"/>
            <w:noWrap/>
            <w:vAlign w:val="center"/>
          </w:tcPr>
          <w:p w14:paraId="35DF4F0A" w14:textId="1C4912F0" w:rsidR="006F6F89" w:rsidRPr="00000990" w:rsidRDefault="006F6F89" w:rsidP="005B6F1D">
            <w:pPr>
              <w:jc w:val="center"/>
              <w:rPr>
                <w:color w:val="000000"/>
                <w:sz w:val="20"/>
                <w:szCs w:val="20"/>
              </w:rPr>
            </w:pPr>
            <w:r>
              <w:rPr>
                <w:color w:val="000000"/>
                <w:sz w:val="20"/>
                <w:szCs w:val="20"/>
              </w:rPr>
              <w:t>1.000</w:t>
            </w:r>
          </w:p>
        </w:tc>
        <w:tc>
          <w:tcPr>
            <w:tcW w:w="960" w:type="dxa"/>
            <w:shd w:val="clear" w:color="auto" w:fill="auto"/>
            <w:noWrap/>
            <w:vAlign w:val="bottom"/>
          </w:tcPr>
          <w:p w14:paraId="52E813F7" w14:textId="77777777" w:rsidR="006F6F89" w:rsidRPr="00000990" w:rsidRDefault="006F6F89" w:rsidP="005B6F1D">
            <w:pPr>
              <w:jc w:val="center"/>
              <w:rPr>
                <w:color w:val="000000"/>
                <w:sz w:val="20"/>
                <w:szCs w:val="20"/>
              </w:rPr>
            </w:pPr>
          </w:p>
        </w:tc>
        <w:tc>
          <w:tcPr>
            <w:tcW w:w="666" w:type="dxa"/>
            <w:shd w:val="clear" w:color="auto" w:fill="auto"/>
            <w:noWrap/>
            <w:vAlign w:val="bottom"/>
          </w:tcPr>
          <w:p w14:paraId="2C52C2B3" w14:textId="77777777" w:rsidR="006F6F89" w:rsidRPr="00000990" w:rsidRDefault="006F6F89" w:rsidP="005B6F1D">
            <w:pPr>
              <w:jc w:val="center"/>
              <w:rPr>
                <w:color w:val="000000"/>
                <w:sz w:val="20"/>
                <w:szCs w:val="20"/>
              </w:rPr>
            </w:pPr>
          </w:p>
        </w:tc>
      </w:tr>
      <w:tr w:rsidR="006F6F89" w:rsidRPr="00000990" w14:paraId="6673B30B" w14:textId="77777777" w:rsidTr="006E2394">
        <w:trPr>
          <w:trHeight w:val="300"/>
        </w:trPr>
        <w:tc>
          <w:tcPr>
            <w:tcW w:w="434" w:type="dxa"/>
            <w:shd w:val="clear" w:color="auto" w:fill="auto"/>
            <w:vAlign w:val="center"/>
          </w:tcPr>
          <w:p w14:paraId="6D033DC8" w14:textId="1FE604D3" w:rsidR="006F6F89" w:rsidRPr="00000990" w:rsidRDefault="006F6F89" w:rsidP="006E2394">
            <w:pPr>
              <w:rPr>
                <w:color w:val="000000"/>
                <w:sz w:val="20"/>
                <w:szCs w:val="20"/>
              </w:rPr>
            </w:pPr>
            <w:r>
              <w:rPr>
                <w:color w:val="000000"/>
                <w:sz w:val="20"/>
                <w:szCs w:val="20"/>
              </w:rPr>
              <w:t>9</w:t>
            </w:r>
          </w:p>
        </w:tc>
        <w:tc>
          <w:tcPr>
            <w:tcW w:w="2543" w:type="dxa"/>
            <w:shd w:val="clear" w:color="auto" w:fill="auto"/>
            <w:vAlign w:val="center"/>
            <w:hideMark/>
          </w:tcPr>
          <w:p w14:paraId="6127DF82" w14:textId="18569174" w:rsidR="006F6F89" w:rsidRPr="00000990" w:rsidRDefault="00D6052A" w:rsidP="006E2394">
            <w:pPr>
              <w:rPr>
                <w:color w:val="000000"/>
                <w:sz w:val="20"/>
                <w:szCs w:val="20"/>
              </w:rPr>
            </w:pPr>
            <w:r>
              <w:rPr>
                <w:color w:val="000000"/>
                <w:sz w:val="20"/>
                <w:szCs w:val="20"/>
              </w:rPr>
              <w:t>Agglomeration</w:t>
            </w:r>
          </w:p>
        </w:tc>
        <w:tc>
          <w:tcPr>
            <w:tcW w:w="1219" w:type="dxa"/>
            <w:shd w:val="clear" w:color="auto" w:fill="auto"/>
            <w:noWrap/>
            <w:vAlign w:val="center"/>
          </w:tcPr>
          <w:p w14:paraId="51B672F7" w14:textId="3A6842E6" w:rsidR="006F6F89" w:rsidRPr="00000990" w:rsidRDefault="006F6F89" w:rsidP="005B6F1D">
            <w:pPr>
              <w:jc w:val="center"/>
              <w:rPr>
                <w:color w:val="000000"/>
                <w:sz w:val="20"/>
                <w:szCs w:val="20"/>
              </w:rPr>
            </w:pPr>
            <w:r>
              <w:rPr>
                <w:color w:val="000000"/>
                <w:sz w:val="20"/>
                <w:szCs w:val="20"/>
              </w:rPr>
              <w:t>0.061</w:t>
            </w:r>
          </w:p>
        </w:tc>
        <w:tc>
          <w:tcPr>
            <w:tcW w:w="800" w:type="dxa"/>
            <w:shd w:val="clear" w:color="auto" w:fill="auto"/>
            <w:noWrap/>
            <w:vAlign w:val="center"/>
          </w:tcPr>
          <w:p w14:paraId="5F65476B" w14:textId="4CDB56DB" w:rsidR="006F6F89" w:rsidRPr="00000990" w:rsidRDefault="006F6F89" w:rsidP="005B6F1D">
            <w:pPr>
              <w:jc w:val="center"/>
              <w:rPr>
                <w:color w:val="000000"/>
                <w:sz w:val="20"/>
                <w:szCs w:val="20"/>
              </w:rPr>
            </w:pPr>
            <w:r>
              <w:rPr>
                <w:color w:val="000000"/>
                <w:sz w:val="20"/>
                <w:szCs w:val="20"/>
              </w:rPr>
              <w:t>-0.189</w:t>
            </w:r>
          </w:p>
        </w:tc>
        <w:tc>
          <w:tcPr>
            <w:tcW w:w="1023" w:type="dxa"/>
            <w:shd w:val="clear" w:color="auto" w:fill="auto"/>
            <w:noWrap/>
            <w:vAlign w:val="center"/>
          </w:tcPr>
          <w:p w14:paraId="4B71BDF8" w14:textId="159FFF94" w:rsidR="006F6F89" w:rsidRPr="00000990" w:rsidRDefault="006F6F89" w:rsidP="005B6F1D">
            <w:pPr>
              <w:jc w:val="center"/>
              <w:rPr>
                <w:color w:val="000000"/>
                <w:sz w:val="20"/>
                <w:szCs w:val="20"/>
              </w:rPr>
            </w:pPr>
            <w:r>
              <w:rPr>
                <w:color w:val="000000"/>
                <w:sz w:val="20"/>
                <w:szCs w:val="20"/>
              </w:rPr>
              <w:t>0.133</w:t>
            </w:r>
          </w:p>
        </w:tc>
        <w:tc>
          <w:tcPr>
            <w:tcW w:w="819" w:type="dxa"/>
            <w:shd w:val="clear" w:color="auto" w:fill="auto"/>
            <w:noWrap/>
            <w:vAlign w:val="center"/>
          </w:tcPr>
          <w:p w14:paraId="6591B4B9" w14:textId="361C9972" w:rsidR="006F6F89" w:rsidRPr="00000990" w:rsidRDefault="006F6F89" w:rsidP="005B6F1D">
            <w:pPr>
              <w:jc w:val="center"/>
              <w:rPr>
                <w:color w:val="000000"/>
                <w:sz w:val="20"/>
                <w:szCs w:val="20"/>
              </w:rPr>
            </w:pPr>
            <w:r>
              <w:rPr>
                <w:color w:val="000000"/>
                <w:sz w:val="20"/>
                <w:szCs w:val="20"/>
              </w:rPr>
              <w:t>0.312</w:t>
            </w:r>
          </w:p>
        </w:tc>
        <w:tc>
          <w:tcPr>
            <w:tcW w:w="710" w:type="dxa"/>
            <w:shd w:val="clear" w:color="auto" w:fill="auto"/>
            <w:noWrap/>
            <w:vAlign w:val="center"/>
          </w:tcPr>
          <w:p w14:paraId="21CF110C" w14:textId="02378B9A" w:rsidR="006F6F89" w:rsidRPr="00000990" w:rsidRDefault="006F6F89" w:rsidP="005B6F1D">
            <w:pPr>
              <w:jc w:val="center"/>
              <w:rPr>
                <w:color w:val="000000"/>
                <w:sz w:val="20"/>
                <w:szCs w:val="20"/>
              </w:rPr>
            </w:pPr>
            <w:r>
              <w:rPr>
                <w:color w:val="000000"/>
                <w:sz w:val="20"/>
                <w:szCs w:val="20"/>
              </w:rPr>
              <w:t>0.046</w:t>
            </w:r>
          </w:p>
        </w:tc>
        <w:tc>
          <w:tcPr>
            <w:tcW w:w="884" w:type="dxa"/>
            <w:shd w:val="clear" w:color="auto" w:fill="auto"/>
            <w:noWrap/>
            <w:vAlign w:val="center"/>
          </w:tcPr>
          <w:p w14:paraId="1FCDCC28" w14:textId="27F3369D" w:rsidR="006F6F89" w:rsidRPr="00000990" w:rsidRDefault="006F6F89" w:rsidP="005B6F1D">
            <w:pPr>
              <w:jc w:val="center"/>
              <w:rPr>
                <w:color w:val="000000"/>
                <w:sz w:val="20"/>
                <w:szCs w:val="20"/>
              </w:rPr>
            </w:pPr>
            <w:r>
              <w:rPr>
                <w:color w:val="000000"/>
                <w:sz w:val="20"/>
                <w:szCs w:val="20"/>
              </w:rPr>
              <w:t>0.268</w:t>
            </w:r>
          </w:p>
        </w:tc>
        <w:tc>
          <w:tcPr>
            <w:tcW w:w="960" w:type="dxa"/>
            <w:shd w:val="clear" w:color="auto" w:fill="auto"/>
            <w:noWrap/>
            <w:vAlign w:val="center"/>
          </w:tcPr>
          <w:p w14:paraId="578E2531" w14:textId="115F63BF" w:rsidR="006F6F89" w:rsidRPr="00000990" w:rsidRDefault="006F6F89" w:rsidP="005B6F1D">
            <w:pPr>
              <w:jc w:val="center"/>
              <w:rPr>
                <w:color w:val="000000"/>
                <w:sz w:val="20"/>
                <w:szCs w:val="20"/>
              </w:rPr>
            </w:pPr>
            <w:r>
              <w:rPr>
                <w:color w:val="000000"/>
                <w:sz w:val="20"/>
                <w:szCs w:val="20"/>
              </w:rPr>
              <w:t>0.057</w:t>
            </w:r>
          </w:p>
        </w:tc>
        <w:tc>
          <w:tcPr>
            <w:tcW w:w="707" w:type="dxa"/>
            <w:shd w:val="clear" w:color="auto" w:fill="auto"/>
            <w:noWrap/>
            <w:vAlign w:val="center"/>
          </w:tcPr>
          <w:p w14:paraId="0335C08A" w14:textId="1382593A" w:rsidR="006F6F89" w:rsidRPr="00000990" w:rsidRDefault="006F6F89" w:rsidP="005B6F1D">
            <w:pPr>
              <w:jc w:val="center"/>
              <w:rPr>
                <w:color w:val="000000"/>
                <w:sz w:val="20"/>
                <w:szCs w:val="20"/>
              </w:rPr>
            </w:pPr>
            <w:r>
              <w:rPr>
                <w:color w:val="000000"/>
                <w:sz w:val="20"/>
                <w:szCs w:val="20"/>
              </w:rPr>
              <w:t>0.042</w:t>
            </w:r>
          </w:p>
        </w:tc>
        <w:tc>
          <w:tcPr>
            <w:tcW w:w="960" w:type="dxa"/>
            <w:shd w:val="clear" w:color="auto" w:fill="auto"/>
            <w:noWrap/>
            <w:vAlign w:val="center"/>
          </w:tcPr>
          <w:p w14:paraId="40282BA6" w14:textId="0AA5BA73" w:rsidR="006F6F89" w:rsidRPr="00000990" w:rsidRDefault="006F6F89" w:rsidP="005B6F1D">
            <w:pPr>
              <w:jc w:val="center"/>
              <w:rPr>
                <w:color w:val="000000"/>
                <w:sz w:val="20"/>
                <w:szCs w:val="20"/>
              </w:rPr>
            </w:pPr>
            <w:r>
              <w:rPr>
                <w:color w:val="000000"/>
                <w:sz w:val="20"/>
                <w:szCs w:val="20"/>
              </w:rPr>
              <w:t>1.000</w:t>
            </w:r>
          </w:p>
        </w:tc>
        <w:tc>
          <w:tcPr>
            <w:tcW w:w="666" w:type="dxa"/>
            <w:shd w:val="clear" w:color="auto" w:fill="auto"/>
            <w:noWrap/>
            <w:vAlign w:val="bottom"/>
          </w:tcPr>
          <w:p w14:paraId="601F5E04" w14:textId="77777777" w:rsidR="006F6F89" w:rsidRPr="00000990" w:rsidRDefault="006F6F89" w:rsidP="005B6F1D">
            <w:pPr>
              <w:jc w:val="center"/>
              <w:rPr>
                <w:color w:val="000000"/>
                <w:sz w:val="20"/>
                <w:szCs w:val="20"/>
              </w:rPr>
            </w:pPr>
          </w:p>
        </w:tc>
      </w:tr>
      <w:tr w:rsidR="006F6F89" w:rsidRPr="00000990" w14:paraId="36532B5F" w14:textId="77777777" w:rsidTr="006E2394">
        <w:trPr>
          <w:trHeight w:val="300"/>
        </w:trPr>
        <w:tc>
          <w:tcPr>
            <w:tcW w:w="434" w:type="dxa"/>
            <w:tcBorders>
              <w:bottom w:val="single" w:sz="4" w:space="0" w:color="auto"/>
            </w:tcBorders>
            <w:shd w:val="clear" w:color="auto" w:fill="auto"/>
            <w:vAlign w:val="center"/>
          </w:tcPr>
          <w:p w14:paraId="57679B1A" w14:textId="5653CE4B" w:rsidR="006F6F89" w:rsidRPr="00000990" w:rsidRDefault="006F6F89" w:rsidP="006E2394">
            <w:pPr>
              <w:rPr>
                <w:color w:val="000000"/>
                <w:sz w:val="20"/>
                <w:szCs w:val="20"/>
              </w:rPr>
            </w:pPr>
            <w:r w:rsidRPr="00000990">
              <w:rPr>
                <w:color w:val="000000"/>
                <w:sz w:val="20"/>
                <w:szCs w:val="20"/>
              </w:rPr>
              <w:t>1</w:t>
            </w:r>
            <w:r>
              <w:rPr>
                <w:color w:val="000000"/>
                <w:sz w:val="20"/>
                <w:szCs w:val="20"/>
              </w:rPr>
              <w:t>0</w:t>
            </w:r>
          </w:p>
        </w:tc>
        <w:tc>
          <w:tcPr>
            <w:tcW w:w="2543" w:type="dxa"/>
            <w:tcBorders>
              <w:bottom w:val="single" w:sz="4" w:space="0" w:color="auto"/>
            </w:tcBorders>
            <w:shd w:val="clear" w:color="auto" w:fill="auto"/>
            <w:vAlign w:val="center"/>
            <w:hideMark/>
          </w:tcPr>
          <w:p w14:paraId="7FA8A9C0" w14:textId="4C16DA25" w:rsidR="006F6F89" w:rsidRPr="00000990" w:rsidRDefault="006F6F89" w:rsidP="00D6052A">
            <w:pPr>
              <w:rPr>
                <w:color w:val="000000"/>
                <w:sz w:val="20"/>
                <w:szCs w:val="20"/>
              </w:rPr>
            </w:pPr>
            <w:r w:rsidRPr="00000990">
              <w:rPr>
                <w:color w:val="000000"/>
                <w:sz w:val="20"/>
                <w:szCs w:val="20"/>
              </w:rPr>
              <w:t>Trade</w:t>
            </w:r>
            <w:r w:rsidR="00D6052A">
              <w:rPr>
                <w:color w:val="000000"/>
                <w:sz w:val="20"/>
                <w:szCs w:val="20"/>
              </w:rPr>
              <w:t xml:space="preserve"> openness</w:t>
            </w:r>
          </w:p>
        </w:tc>
        <w:tc>
          <w:tcPr>
            <w:tcW w:w="1219" w:type="dxa"/>
            <w:tcBorders>
              <w:bottom w:val="single" w:sz="4" w:space="0" w:color="auto"/>
            </w:tcBorders>
            <w:shd w:val="clear" w:color="auto" w:fill="auto"/>
            <w:noWrap/>
            <w:vAlign w:val="center"/>
          </w:tcPr>
          <w:p w14:paraId="04851527" w14:textId="12EE7FFB" w:rsidR="006F6F89" w:rsidRPr="00000990" w:rsidRDefault="006F6F89" w:rsidP="005B6F1D">
            <w:pPr>
              <w:jc w:val="center"/>
              <w:rPr>
                <w:color w:val="000000"/>
                <w:sz w:val="20"/>
                <w:szCs w:val="20"/>
              </w:rPr>
            </w:pPr>
            <w:r>
              <w:rPr>
                <w:color w:val="000000"/>
                <w:sz w:val="20"/>
                <w:szCs w:val="20"/>
              </w:rPr>
              <w:t>0.036</w:t>
            </w:r>
          </w:p>
        </w:tc>
        <w:tc>
          <w:tcPr>
            <w:tcW w:w="800" w:type="dxa"/>
            <w:tcBorders>
              <w:bottom w:val="single" w:sz="4" w:space="0" w:color="auto"/>
            </w:tcBorders>
            <w:shd w:val="clear" w:color="auto" w:fill="auto"/>
            <w:noWrap/>
            <w:vAlign w:val="center"/>
          </w:tcPr>
          <w:p w14:paraId="008929F3" w14:textId="62B08E7B" w:rsidR="006F6F89" w:rsidRPr="00000990" w:rsidRDefault="006F6F89" w:rsidP="005B6F1D">
            <w:pPr>
              <w:jc w:val="center"/>
              <w:rPr>
                <w:color w:val="000000"/>
                <w:sz w:val="20"/>
                <w:szCs w:val="20"/>
              </w:rPr>
            </w:pPr>
            <w:r>
              <w:rPr>
                <w:color w:val="000000"/>
                <w:sz w:val="20"/>
                <w:szCs w:val="20"/>
              </w:rPr>
              <w:t>-0.262</w:t>
            </w:r>
          </w:p>
        </w:tc>
        <w:tc>
          <w:tcPr>
            <w:tcW w:w="1023" w:type="dxa"/>
            <w:tcBorders>
              <w:bottom w:val="single" w:sz="4" w:space="0" w:color="auto"/>
            </w:tcBorders>
            <w:shd w:val="clear" w:color="auto" w:fill="auto"/>
            <w:noWrap/>
            <w:vAlign w:val="center"/>
          </w:tcPr>
          <w:p w14:paraId="291B0C45" w14:textId="2A56FDC5" w:rsidR="006F6F89" w:rsidRPr="00000990" w:rsidRDefault="006F6F89" w:rsidP="005B6F1D">
            <w:pPr>
              <w:jc w:val="center"/>
              <w:rPr>
                <w:color w:val="000000"/>
                <w:sz w:val="20"/>
                <w:szCs w:val="20"/>
              </w:rPr>
            </w:pPr>
            <w:r>
              <w:rPr>
                <w:color w:val="000000"/>
                <w:sz w:val="20"/>
                <w:szCs w:val="20"/>
              </w:rPr>
              <w:t>0.087</w:t>
            </w:r>
          </w:p>
        </w:tc>
        <w:tc>
          <w:tcPr>
            <w:tcW w:w="819" w:type="dxa"/>
            <w:tcBorders>
              <w:bottom w:val="single" w:sz="4" w:space="0" w:color="auto"/>
            </w:tcBorders>
            <w:shd w:val="clear" w:color="auto" w:fill="auto"/>
            <w:noWrap/>
            <w:vAlign w:val="center"/>
          </w:tcPr>
          <w:p w14:paraId="0DB2875E" w14:textId="6652366C" w:rsidR="006F6F89" w:rsidRPr="00000990" w:rsidRDefault="006F6F89" w:rsidP="005B6F1D">
            <w:pPr>
              <w:jc w:val="center"/>
              <w:rPr>
                <w:color w:val="000000"/>
                <w:sz w:val="20"/>
                <w:szCs w:val="20"/>
              </w:rPr>
            </w:pPr>
            <w:r>
              <w:rPr>
                <w:color w:val="000000"/>
                <w:sz w:val="20"/>
                <w:szCs w:val="20"/>
              </w:rPr>
              <w:t>-0.573</w:t>
            </w:r>
          </w:p>
        </w:tc>
        <w:tc>
          <w:tcPr>
            <w:tcW w:w="710" w:type="dxa"/>
            <w:tcBorders>
              <w:bottom w:val="single" w:sz="4" w:space="0" w:color="auto"/>
            </w:tcBorders>
            <w:shd w:val="clear" w:color="auto" w:fill="auto"/>
            <w:noWrap/>
            <w:vAlign w:val="center"/>
          </w:tcPr>
          <w:p w14:paraId="14FFC707" w14:textId="7AFEAE7D" w:rsidR="006F6F89" w:rsidRPr="00000990" w:rsidRDefault="006F6F89" w:rsidP="005B6F1D">
            <w:pPr>
              <w:jc w:val="center"/>
              <w:rPr>
                <w:color w:val="000000"/>
                <w:sz w:val="20"/>
                <w:szCs w:val="20"/>
              </w:rPr>
            </w:pPr>
            <w:r>
              <w:rPr>
                <w:color w:val="000000"/>
                <w:sz w:val="20"/>
                <w:szCs w:val="20"/>
              </w:rPr>
              <w:t>0.159</w:t>
            </w:r>
          </w:p>
        </w:tc>
        <w:tc>
          <w:tcPr>
            <w:tcW w:w="884" w:type="dxa"/>
            <w:tcBorders>
              <w:bottom w:val="single" w:sz="4" w:space="0" w:color="auto"/>
            </w:tcBorders>
            <w:shd w:val="clear" w:color="auto" w:fill="auto"/>
            <w:noWrap/>
            <w:vAlign w:val="center"/>
          </w:tcPr>
          <w:p w14:paraId="33831745" w14:textId="1778E8C6" w:rsidR="006F6F89" w:rsidRPr="00000990" w:rsidRDefault="006F6F89" w:rsidP="005B6F1D">
            <w:pPr>
              <w:jc w:val="center"/>
              <w:rPr>
                <w:color w:val="000000"/>
                <w:sz w:val="20"/>
                <w:szCs w:val="20"/>
              </w:rPr>
            </w:pPr>
            <w:r>
              <w:rPr>
                <w:color w:val="000000"/>
                <w:sz w:val="20"/>
                <w:szCs w:val="20"/>
              </w:rPr>
              <w:t>0.032</w:t>
            </w:r>
          </w:p>
        </w:tc>
        <w:tc>
          <w:tcPr>
            <w:tcW w:w="960" w:type="dxa"/>
            <w:tcBorders>
              <w:bottom w:val="single" w:sz="4" w:space="0" w:color="auto"/>
            </w:tcBorders>
            <w:shd w:val="clear" w:color="auto" w:fill="auto"/>
            <w:noWrap/>
            <w:vAlign w:val="center"/>
          </w:tcPr>
          <w:p w14:paraId="468E85EC" w14:textId="0EDC3AEB" w:rsidR="006F6F89" w:rsidRPr="00000990" w:rsidRDefault="006F6F89" w:rsidP="005B6F1D">
            <w:pPr>
              <w:jc w:val="center"/>
              <w:rPr>
                <w:color w:val="000000"/>
                <w:sz w:val="20"/>
                <w:szCs w:val="20"/>
              </w:rPr>
            </w:pPr>
            <w:r>
              <w:rPr>
                <w:color w:val="000000"/>
                <w:sz w:val="20"/>
                <w:szCs w:val="20"/>
              </w:rPr>
              <w:t>0.284</w:t>
            </w:r>
          </w:p>
        </w:tc>
        <w:tc>
          <w:tcPr>
            <w:tcW w:w="707" w:type="dxa"/>
            <w:tcBorders>
              <w:bottom w:val="single" w:sz="4" w:space="0" w:color="auto"/>
            </w:tcBorders>
            <w:shd w:val="clear" w:color="auto" w:fill="auto"/>
            <w:noWrap/>
            <w:vAlign w:val="center"/>
          </w:tcPr>
          <w:p w14:paraId="64B493E3" w14:textId="31CD0DA2" w:rsidR="006F6F89" w:rsidRPr="00000990" w:rsidRDefault="006F6F89" w:rsidP="005B6F1D">
            <w:pPr>
              <w:jc w:val="center"/>
              <w:rPr>
                <w:color w:val="000000"/>
                <w:sz w:val="20"/>
                <w:szCs w:val="20"/>
              </w:rPr>
            </w:pPr>
            <w:r>
              <w:rPr>
                <w:color w:val="000000"/>
                <w:sz w:val="20"/>
                <w:szCs w:val="20"/>
              </w:rPr>
              <w:t>0.155</w:t>
            </w:r>
          </w:p>
        </w:tc>
        <w:tc>
          <w:tcPr>
            <w:tcW w:w="960" w:type="dxa"/>
            <w:tcBorders>
              <w:bottom w:val="single" w:sz="4" w:space="0" w:color="auto"/>
            </w:tcBorders>
            <w:shd w:val="clear" w:color="auto" w:fill="auto"/>
            <w:noWrap/>
            <w:vAlign w:val="center"/>
          </w:tcPr>
          <w:p w14:paraId="7E9A4D8B" w14:textId="2290C589" w:rsidR="006F6F89" w:rsidRPr="00000990" w:rsidRDefault="006F6F89" w:rsidP="005B6F1D">
            <w:pPr>
              <w:jc w:val="center"/>
              <w:rPr>
                <w:color w:val="000000"/>
                <w:sz w:val="20"/>
                <w:szCs w:val="20"/>
              </w:rPr>
            </w:pPr>
            <w:r>
              <w:rPr>
                <w:color w:val="000000"/>
                <w:sz w:val="20"/>
                <w:szCs w:val="20"/>
              </w:rPr>
              <w:t>0.027</w:t>
            </w:r>
          </w:p>
        </w:tc>
        <w:tc>
          <w:tcPr>
            <w:tcW w:w="666" w:type="dxa"/>
            <w:tcBorders>
              <w:bottom w:val="single" w:sz="4" w:space="0" w:color="auto"/>
            </w:tcBorders>
            <w:shd w:val="clear" w:color="auto" w:fill="auto"/>
            <w:noWrap/>
            <w:vAlign w:val="center"/>
          </w:tcPr>
          <w:p w14:paraId="009DC4C9" w14:textId="26F6EFC3" w:rsidR="006F6F89" w:rsidRPr="00000990" w:rsidRDefault="006F6F89" w:rsidP="005B6F1D">
            <w:pPr>
              <w:jc w:val="center"/>
              <w:rPr>
                <w:color w:val="000000"/>
                <w:sz w:val="20"/>
                <w:szCs w:val="20"/>
              </w:rPr>
            </w:pPr>
            <w:r>
              <w:rPr>
                <w:color w:val="000000"/>
                <w:sz w:val="20"/>
                <w:szCs w:val="20"/>
              </w:rPr>
              <w:t>1.000</w:t>
            </w:r>
          </w:p>
        </w:tc>
      </w:tr>
    </w:tbl>
    <w:p w14:paraId="0F84BDA7" w14:textId="77777777" w:rsidR="00776FFA" w:rsidRDefault="00776FFA" w:rsidP="00776FFA">
      <w:pPr>
        <w:widowControl w:val="0"/>
        <w:autoSpaceDE w:val="0"/>
        <w:autoSpaceDN w:val="0"/>
        <w:adjustRightInd w:val="0"/>
        <w:rPr>
          <w:b/>
        </w:rPr>
        <w:sectPr w:rsidR="00776FFA" w:rsidSect="00EB1247">
          <w:pgSz w:w="15840" w:h="12240" w:orient="landscape"/>
          <w:pgMar w:top="1797" w:right="431" w:bottom="1797" w:left="1440" w:header="709" w:footer="709" w:gutter="0"/>
          <w:cols w:space="708"/>
          <w:docGrid w:linePitch="360"/>
        </w:sectPr>
      </w:pPr>
    </w:p>
    <w:p w14:paraId="53D27AB2" w14:textId="02D70FC6" w:rsidR="00F3337A" w:rsidRDefault="00F3337A" w:rsidP="00776FFA">
      <w:pPr>
        <w:widowControl w:val="0"/>
        <w:autoSpaceDE w:val="0"/>
        <w:autoSpaceDN w:val="0"/>
        <w:adjustRightInd w:val="0"/>
        <w:rPr>
          <w:b/>
        </w:rPr>
      </w:pPr>
      <w:r w:rsidRPr="00C71239">
        <w:rPr>
          <w:b/>
        </w:rPr>
        <w:lastRenderedPageBreak/>
        <w:t>Table</w:t>
      </w:r>
      <w:r w:rsidR="009D3F49" w:rsidRPr="00C71239">
        <w:rPr>
          <w:b/>
        </w:rPr>
        <w:t xml:space="preserve"> 5: Determinants of location choice </w:t>
      </w:r>
    </w:p>
    <w:p w14:paraId="4F3932BC" w14:textId="77777777" w:rsidR="00EF3DD3" w:rsidRDefault="00EF3DD3" w:rsidP="00C71239">
      <w:pPr>
        <w:widowControl w:val="0"/>
        <w:autoSpaceDE w:val="0"/>
        <w:autoSpaceDN w:val="0"/>
        <w:adjustRightInd w:val="0"/>
        <w:ind w:left="720"/>
        <w:jc w:val="center"/>
        <w:rPr>
          <w:b/>
        </w:rPr>
      </w:pPr>
    </w:p>
    <w:tbl>
      <w:tblPr>
        <w:tblW w:w="9077" w:type="dxa"/>
        <w:jc w:val="center"/>
        <w:tblLayout w:type="fixed"/>
        <w:tblCellMar>
          <w:left w:w="75" w:type="dxa"/>
          <w:right w:w="75" w:type="dxa"/>
        </w:tblCellMar>
        <w:tblLook w:val="0000" w:firstRow="0" w:lastRow="0" w:firstColumn="0" w:lastColumn="0" w:noHBand="0" w:noVBand="0"/>
      </w:tblPr>
      <w:tblGrid>
        <w:gridCol w:w="3133"/>
        <w:gridCol w:w="1440"/>
        <w:gridCol w:w="1440"/>
        <w:gridCol w:w="1624"/>
        <w:gridCol w:w="1440"/>
      </w:tblGrid>
      <w:tr w:rsidR="00776FFA" w:rsidRPr="000A4511" w14:paraId="34500485" w14:textId="77777777" w:rsidTr="008E049E">
        <w:trPr>
          <w:jc w:val="center"/>
        </w:trPr>
        <w:tc>
          <w:tcPr>
            <w:tcW w:w="3133" w:type="dxa"/>
            <w:tcBorders>
              <w:top w:val="single" w:sz="4" w:space="0" w:color="auto"/>
              <w:left w:val="nil"/>
              <w:right w:val="nil"/>
            </w:tcBorders>
          </w:tcPr>
          <w:p w14:paraId="369D6936" w14:textId="77777777" w:rsidR="00776FFA" w:rsidRPr="000A4511" w:rsidRDefault="00776FFA" w:rsidP="00D0262E">
            <w:pPr>
              <w:widowControl w:val="0"/>
              <w:autoSpaceDE w:val="0"/>
              <w:autoSpaceDN w:val="0"/>
              <w:adjustRightInd w:val="0"/>
              <w:rPr>
                <w:sz w:val="20"/>
                <w:szCs w:val="20"/>
              </w:rPr>
            </w:pPr>
          </w:p>
        </w:tc>
        <w:tc>
          <w:tcPr>
            <w:tcW w:w="1440" w:type="dxa"/>
            <w:tcBorders>
              <w:top w:val="single" w:sz="4" w:space="0" w:color="auto"/>
              <w:left w:val="nil"/>
              <w:right w:val="nil"/>
            </w:tcBorders>
          </w:tcPr>
          <w:p w14:paraId="4FDA1110" w14:textId="77777777" w:rsidR="00776FFA" w:rsidRPr="007337F3" w:rsidRDefault="00776FFA" w:rsidP="00D0262E">
            <w:pPr>
              <w:spacing w:line="254" w:lineRule="auto"/>
              <w:jc w:val="center"/>
              <w:rPr>
                <w:sz w:val="20"/>
                <w:szCs w:val="20"/>
              </w:rPr>
            </w:pPr>
            <w:r>
              <w:rPr>
                <w:sz w:val="20"/>
                <w:szCs w:val="20"/>
              </w:rPr>
              <w:t>(1)</w:t>
            </w:r>
          </w:p>
        </w:tc>
        <w:tc>
          <w:tcPr>
            <w:tcW w:w="1440" w:type="dxa"/>
            <w:tcBorders>
              <w:top w:val="single" w:sz="4" w:space="0" w:color="auto"/>
              <w:left w:val="nil"/>
              <w:right w:val="nil"/>
            </w:tcBorders>
          </w:tcPr>
          <w:p w14:paraId="7BCD617C" w14:textId="77777777" w:rsidR="00776FFA" w:rsidRPr="007337F3" w:rsidRDefault="00776FFA" w:rsidP="00D0262E">
            <w:pPr>
              <w:spacing w:line="254" w:lineRule="auto"/>
              <w:jc w:val="center"/>
              <w:rPr>
                <w:sz w:val="20"/>
                <w:szCs w:val="20"/>
              </w:rPr>
            </w:pPr>
            <w:r>
              <w:rPr>
                <w:sz w:val="20"/>
                <w:szCs w:val="20"/>
              </w:rPr>
              <w:t>(2)</w:t>
            </w:r>
          </w:p>
        </w:tc>
        <w:tc>
          <w:tcPr>
            <w:tcW w:w="1624" w:type="dxa"/>
            <w:tcBorders>
              <w:top w:val="single" w:sz="4" w:space="0" w:color="auto"/>
              <w:left w:val="nil"/>
              <w:right w:val="nil"/>
            </w:tcBorders>
          </w:tcPr>
          <w:p w14:paraId="1121C79D" w14:textId="77777777" w:rsidR="00776FFA" w:rsidRDefault="00776FFA" w:rsidP="00D0262E">
            <w:pPr>
              <w:widowControl w:val="0"/>
              <w:autoSpaceDE w:val="0"/>
              <w:autoSpaceDN w:val="0"/>
              <w:adjustRightInd w:val="0"/>
              <w:jc w:val="center"/>
              <w:rPr>
                <w:sz w:val="20"/>
                <w:szCs w:val="20"/>
              </w:rPr>
            </w:pPr>
            <w:r>
              <w:rPr>
                <w:sz w:val="20"/>
                <w:szCs w:val="20"/>
              </w:rPr>
              <w:t>(3)</w:t>
            </w:r>
          </w:p>
        </w:tc>
        <w:tc>
          <w:tcPr>
            <w:tcW w:w="1440" w:type="dxa"/>
            <w:tcBorders>
              <w:top w:val="single" w:sz="4" w:space="0" w:color="auto"/>
              <w:left w:val="nil"/>
              <w:right w:val="nil"/>
            </w:tcBorders>
          </w:tcPr>
          <w:p w14:paraId="57F3855C" w14:textId="77777777" w:rsidR="00776FFA" w:rsidRPr="00626311" w:rsidRDefault="00776FFA" w:rsidP="00D0262E">
            <w:pPr>
              <w:widowControl w:val="0"/>
              <w:autoSpaceDE w:val="0"/>
              <w:autoSpaceDN w:val="0"/>
              <w:adjustRightInd w:val="0"/>
              <w:jc w:val="center"/>
              <w:rPr>
                <w:sz w:val="20"/>
                <w:szCs w:val="20"/>
              </w:rPr>
            </w:pPr>
            <w:r w:rsidRPr="00626311">
              <w:rPr>
                <w:sz w:val="20"/>
                <w:szCs w:val="20"/>
              </w:rPr>
              <w:t>(4)</w:t>
            </w:r>
          </w:p>
        </w:tc>
      </w:tr>
      <w:tr w:rsidR="00776FFA" w:rsidRPr="000A4511" w14:paraId="525D3E9A" w14:textId="77777777" w:rsidTr="008E049E">
        <w:trPr>
          <w:jc w:val="center"/>
        </w:trPr>
        <w:tc>
          <w:tcPr>
            <w:tcW w:w="3133" w:type="dxa"/>
            <w:tcBorders>
              <w:left w:val="nil"/>
              <w:bottom w:val="single" w:sz="4" w:space="0" w:color="auto"/>
              <w:right w:val="nil"/>
            </w:tcBorders>
          </w:tcPr>
          <w:p w14:paraId="7CCA43F2" w14:textId="77777777" w:rsidR="00776FFA" w:rsidRPr="000A4511" w:rsidRDefault="00776FFA" w:rsidP="00D0262E">
            <w:pPr>
              <w:widowControl w:val="0"/>
              <w:autoSpaceDE w:val="0"/>
              <w:autoSpaceDN w:val="0"/>
              <w:adjustRightInd w:val="0"/>
              <w:rPr>
                <w:sz w:val="20"/>
                <w:szCs w:val="20"/>
              </w:rPr>
            </w:pPr>
            <w:r w:rsidRPr="000A4511">
              <w:rPr>
                <w:sz w:val="20"/>
                <w:szCs w:val="20"/>
              </w:rPr>
              <w:t>VARIABLES</w:t>
            </w:r>
          </w:p>
        </w:tc>
        <w:tc>
          <w:tcPr>
            <w:tcW w:w="1440" w:type="dxa"/>
            <w:tcBorders>
              <w:left w:val="nil"/>
              <w:bottom w:val="single" w:sz="4" w:space="0" w:color="auto"/>
              <w:right w:val="nil"/>
            </w:tcBorders>
          </w:tcPr>
          <w:p w14:paraId="769D8EC0" w14:textId="77777777" w:rsidR="00776FFA" w:rsidRPr="007337F3" w:rsidRDefault="00776FFA" w:rsidP="00D0262E">
            <w:pPr>
              <w:spacing w:line="254" w:lineRule="auto"/>
              <w:jc w:val="center"/>
              <w:rPr>
                <w:sz w:val="20"/>
                <w:szCs w:val="20"/>
                <w:lang w:eastAsia="en-GB"/>
              </w:rPr>
            </w:pPr>
            <w:r w:rsidRPr="007337F3">
              <w:rPr>
                <w:sz w:val="20"/>
                <w:szCs w:val="20"/>
                <w:lang w:eastAsia="en-GB"/>
              </w:rPr>
              <w:t>EE MNE</w:t>
            </w:r>
          </w:p>
        </w:tc>
        <w:tc>
          <w:tcPr>
            <w:tcW w:w="1440" w:type="dxa"/>
            <w:tcBorders>
              <w:left w:val="nil"/>
              <w:bottom w:val="single" w:sz="4" w:space="0" w:color="auto"/>
              <w:right w:val="nil"/>
            </w:tcBorders>
          </w:tcPr>
          <w:p w14:paraId="157A5510" w14:textId="77777777" w:rsidR="00776FFA" w:rsidRPr="007337F3" w:rsidRDefault="00776FFA" w:rsidP="00D0262E">
            <w:pPr>
              <w:spacing w:line="254" w:lineRule="auto"/>
              <w:jc w:val="center"/>
              <w:rPr>
                <w:sz w:val="20"/>
                <w:szCs w:val="20"/>
                <w:lang w:eastAsia="en-GB"/>
              </w:rPr>
            </w:pPr>
            <w:r w:rsidRPr="007337F3">
              <w:rPr>
                <w:sz w:val="20"/>
                <w:szCs w:val="20"/>
                <w:lang w:eastAsia="en-GB"/>
              </w:rPr>
              <w:t>AE MNE</w:t>
            </w:r>
          </w:p>
        </w:tc>
        <w:tc>
          <w:tcPr>
            <w:tcW w:w="1624" w:type="dxa"/>
            <w:tcBorders>
              <w:left w:val="nil"/>
              <w:bottom w:val="single" w:sz="4" w:space="0" w:color="auto"/>
              <w:right w:val="nil"/>
            </w:tcBorders>
          </w:tcPr>
          <w:p w14:paraId="111DFD4A" w14:textId="1DDC9C5B" w:rsidR="00776FFA" w:rsidRPr="000A4511" w:rsidRDefault="00364891" w:rsidP="002C667B">
            <w:pPr>
              <w:widowControl w:val="0"/>
              <w:autoSpaceDE w:val="0"/>
              <w:autoSpaceDN w:val="0"/>
              <w:adjustRightInd w:val="0"/>
              <w:jc w:val="center"/>
              <w:rPr>
                <w:sz w:val="20"/>
                <w:szCs w:val="20"/>
              </w:rPr>
            </w:pPr>
            <w:r w:rsidRPr="00364891">
              <w:rPr>
                <w:sz w:val="20"/>
                <w:szCs w:val="20"/>
              </w:rPr>
              <w:t>Test of difference of coefficients Χ2</w:t>
            </w:r>
          </w:p>
        </w:tc>
        <w:tc>
          <w:tcPr>
            <w:tcW w:w="1440" w:type="dxa"/>
            <w:tcBorders>
              <w:left w:val="nil"/>
              <w:bottom w:val="single" w:sz="4" w:space="0" w:color="auto"/>
              <w:right w:val="nil"/>
            </w:tcBorders>
          </w:tcPr>
          <w:p w14:paraId="468AB562" w14:textId="77777777" w:rsidR="00776FFA" w:rsidRPr="00626311" w:rsidRDefault="00776FFA" w:rsidP="00D0262E">
            <w:pPr>
              <w:widowControl w:val="0"/>
              <w:autoSpaceDE w:val="0"/>
              <w:autoSpaceDN w:val="0"/>
              <w:adjustRightInd w:val="0"/>
              <w:jc w:val="center"/>
              <w:rPr>
                <w:sz w:val="20"/>
                <w:szCs w:val="20"/>
              </w:rPr>
            </w:pPr>
            <w:r w:rsidRPr="00626311">
              <w:rPr>
                <w:sz w:val="20"/>
                <w:szCs w:val="20"/>
              </w:rPr>
              <w:t>ALL</w:t>
            </w:r>
          </w:p>
        </w:tc>
      </w:tr>
      <w:tr w:rsidR="00776FFA" w:rsidRPr="000A4511" w14:paraId="455464D2" w14:textId="77777777" w:rsidTr="008E049E">
        <w:trPr>
          <w:jc w:val="center"/>
        </w:trPr>
        <w:tc>
          <w:tcPr>
            <w:tcW w:w="3133" w:type="dxa"/>
            <w:tcBorders>
              <w:top w:val="single" w:sz="4" w:space="0" w:color="auto"/>
              <w:left w:val="nil"/>
              <w:bottom w:val="nil"/>
              <w:right w:val="nil"/>
            </w:tcBorders>
          </w:tcPr>
          <w:p w14:paraId="5E377728" w14:textId="77777777" w:rsidR="00776FFA" w:rsidRPr="000A4511" w:rsidRDefault="00776FFA" w:rsidP="00D0262E">
            <w:pPr>
              <w:widowControl w:val="0"/>
              <w:autoSpaceDE w:val="0"/>
              <w:autoSpaceDN w:val="0"/>
              <w:adjustRightInd w:val="0"/>
              <w:rPr>
                <w:sz w:val="20"/>
                <w:szCs w:val="20"/>
              </w:rPr>
            </w:pPr>
          </w:p>
        </w:tc>
        <w:tc>
          <w:tcPr>
            <w:tcW w:w="1440" w:type="dxa"/>
            <w:tcBorders>
              <w:top w:val="single" w:sz="4" w:space="0" w:color="auto"/>
              <w:left w:val="nil"/>
              <w:bottom w:val="nil"/>
              <w:right w:val="nil"/>
            </w:tcBorders>
          </w:tcPr>
          <w:p w14:paraId="10E311E0" w14:textId="77777777" w:rsidR="00776FFA" w:rsidRPr="000A4511" w:rsidRDefault="00776FFA" w:rsidP="00D0262E">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723177C4" w14:textId="77777777" w:rsidR="00776FFA" w:rsidRPr="000A4511" w:rsidRDefault="00776FFA" w:rsidP="00D0262E">
            <w:pPr>
              <w:widowControl w:val="0"/>
              <w:autoSpaceDE w:val="0"/>
              <w:autoSpaceDN w:val="0"/>
              <w:adjustRightInd w:val="0"/>
              <w:jc w:val="center"/>
              <w:rPr>
                <w:sz w:val="20"/>
                <w:szCs w:val="20"/>
              </w:rPr>
            </w:pPr>
          </w:p>
        </w:tc>
        <w:tc>
          <w:tcPr>
            <w:tcW w:w="1624" w:type="dxa"/>
            <w:tcBorders>
              <w:top w:val="single" w:sz="4" w:space="0" w:color="auto"/>
              <w:left w:val="nil"/>
              <w:bottom w:val="nil"/>
              <w:right w:val="nil"/>
            </w:tcBorders>
          </w:tcPr>
          <w:p w14:paraId="6ECC9FA6" w14:textId="77777777" w:rsidR="00776FFA" w:rsidRPr="000A4511" w:rsidRDefault="00776FFA" w:rsidP="00D0262E">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3B15907A" w14:textId="77777777" w:rsidR="00776FFA" w:rsidRPr="00626311" w:rsidRDefault="00776FFA" w:rsidP="00D0262E">
            <w:pPr>
              <w:widowControl w:val="0"/>
              <w:autoSpaceDE w:val="0"/>
              <w:autoSpaceDN w:val="0"/>
              <w:adjustRightInd w:val="0"/>
              <w:jc w:val="center"/>
              <w:rPr>
                <w:sz w:val="20"/>
                <w:szCs w:val="20"/>
              </w:rPr>
            </w:pPr>
          </w:p>
        </w:tc>
      </w:tr>
      <w:tr w:rsidR="00FC10F6" w:rsidRPr="000A4511" w14:paraId="74B2E2C1" w14:textId="77777777" w:rsidTr="008E049E">
        <w:trPr>
          <w:jc w:val="center"/>
        </w:trPr>
        <w:tc>
          <w:tcPr>
            <w:tcW w:w="3133" w:type="dxa"/>
            <w:tcBorders>
              <w:top w:val="nil"/>
              <w:left w:val="nil"/>
              <w:bottom w:val="nil"/>
              <w:right w:val="nil"/>
            </w:tcBorders>
          </w:tcPr>
          <w:p w14:paraId="51ACB796" w14:textId="77777777"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Intellectual property rights</w:t>
            </w:r>
          </w:p>
        </w:tc>
        <w:tc>
          <w:tcPr>
            <w:tcW w:w="1440" w:type="dxa"/>
            <w:tcBorders>
              <w:top w:val="nil"/>
              <w:left w:val="nil"/>
              <w:bottom w:val="nil"/>
              <w:right w:val="nil"/>
            </w:tcBorders>
          </w:tcPr>
          <w:p w14:paraId="6A0BD386" w14:textId="3367187D" w:rsidR="00FC10F6" w:rsidRPr="000A4511" w:rsidRDefault="00FC10F6" w:rsidP="00FC10F6">
            <w:pPr>
              <w:widowControl w:val="0"/>
              <w:autoSpaceDE w:val="0"/>
              <w:autoSpaceDN w:val="0"/>
              <w:adjustRightInd w:val="0"/>
              <w:jc w:val="center"/>
              <w:rPr>
                <w:sz w:val="20"/>
                <w:szCs w:val="20"/>
              </w:rPr>
            </w:pPr>
            <w:r w:rsidRPr="000A4511">
              <w:rPr>
                <w:sz w:val="20"/>
                <w:szCs w:val="20"/>
              </w:rPr>
              <w:t>0.004</w:t>
            </w:r>
          </w:p>
        </w:tc>
        <w:tc>
          <w:tcPr>
            <w:tcW w:w="1440" w:type="dxa"/>
            <w:tcBorders>
              <w:top w:val="nil"/>
              <w:left w:val="nil"/>
              <w:bottom w:val="nil"/>
              <w:right w:val="nil"/>
            </w:tcBorders>
          </w:tcPr>
          <w:p w14:paraId="62BEBA4F" w14:textId="15234D8D" w:rsidR="00FC10F6" w:rsidRPr="000A4511" w:rsidRDefault="00FC10F6" w:rsidP="00FC10F6">
            <w:pPr>
              <w:widowControl w:val="0"/>
              <w:autoSpaceDE w:val="0"/>
              <w:autoSpaceDN w:val="0"/>
              <w:adjustRightInd w:val="0"/>
              <w:jc w:val="center"/>
              <w:rPr>
                <w:sz w:val="20"/>
                <w:szCs w:val="20"/>
              </w:rPr>
            </w:pPr>
            <w:r w:rsidRPr="000A4511">
              <w:rPr>
                <w:sz w:val="20"/>
                <w:szCs w:val="20"/>
              </w:rPr>
              <w:t>0.008</w:t>
            </w:r>
          </w:p>
        </w:tc>
        <w:tc>
          <w:tcPr>
            <w:tcW w:w="1624" w:type="dxa"/>
            <w:tcBorders>
              <w:top w:val="nil"/>
              <w:left w:val="nil"/>
              <w:bottom w:val="nil"/>
              <w:right w:val="nil"/>
            </w:tcBorders>
          </w:tcPr>
          <w:p w14:paraId="49FE417D" w14:textId="0662E169" w:rsidR="00FC10F6" w:rsidRPr="000A4511" w:rsidRDefault="00FC10F6" w:rsidP="00FC10F6">
            <w:pPr>
              <w:widowControl w:val="0"/>
              <w:autoSpaceDE w:val="0"/>
              <w:autoSpaceDN w:val="0"/>
              <w:adjustRightInd w:val="0"/>
              <w:jc w:val="center"/>
              <w:rPr>
                <w:sz w:val="20"/>
                <w:szCs w:val="20"/>
              </w:rPr>
            </w:pPr>
            <w:r w:rsidRPr="003C2C12">
              <w:rPr>
                <w:sz w:val="20"/>
                <w:szCs w:val="20"/>
              </w:rPr>
              <w:t>8.56</w:t>
            </w:r>
          </w:p>
        </w:tc>
        <w:tc>
          <w:tcPr>
            <w:tcW w:w="1440" w:type="dxa"/>
            <w:tcBorders>
              <w:top w:val="nil"/>
              <w:left w:val="nil"/>
              <w:bottom w:val="nil"/>
              <w:right w:val="nil"/>
            </w:tcBorders>
          </w:tcPr>
          <w:p w14:paraId="3A233B9E" w14:textId="1A6E1BB0" w:rsidR="00FC10F6" w:rsidRPr="00626311" w:rsidRDefault="00FC10F6" w:rsidP="00FC10F6">
            <w:pPr>
              <w:widowControl w:val="0"/>
              <w:autoSpaceDE w:val="0"/>
              <w:autoSpaceDN w:val="0"/>
              <w:adjustRightInd w:val="0"/>
              <w:jc w:val="center"/>
              <w:rPr>
                <w:sz w:val="20"/>
                <w:szCs w:val="20"/>
              </w:rPr>
            </w:pPr>
            <w:r w:rsidRPr="00140E7F">
              <w:rPr>
                <w:sz w:val="20"/>
                <w:szCs w:val="20"/>
              </w:rPr>
              <w:t>0.009</w:t>
            </w:r>
          </w:p>
        </w:tc>
      </w:tr>
      <w:tr w:rsidR="00FC10F6" w:rsidRPr="000A4511" w14:paraId="6BCAFE90" w14:textId="77777777" w:rsidTr="008E049E">
        <w:trPr>
          <w:jc w:val="center"/>
        </w:trPr>
        <w:tc>
          <w:tcPr>
            <w:tcW w:w="3133" w:type="dxa"/>
            <w:tcBorders>
              <w:top w:val="nil"/>
              <w:left w:val="nil"/>
              <w:bottom w:val="nil"/>
              <w:right w:val="nil"/>
            </w:tcBorders>
          </w:tcPr>
          <w:p w14:paraId="0DB1F576"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7F226058"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(0.001)</w:t>
            </w:r>
          </w:p>
        </w:tc>
        <w:tc>
          <w:tcPr>
            <w:tcW w:w="1440" w:type="dxa"/>
            <w:tcBorders>
              <w:top w:val="nil"/>
              <w:left w:val="nil"/>
              <w:bottom w:val="nil"/>
              <w:right w:val="nil"/>
            </w:tcBorders>
          </w:tcPr>
          <w:p w14:paraId="64D6FDD0"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(0.001)</w:t>
            </w:r>
          </w:p>
        </w:tc>
        <w:tc>
          <w:tcPr>
            <w:tcW w:w="1624" w:type="dxa"/>
            <w:tcBorders>
              <w:top w:val="nil"/>
              <w:left w:val="nil"/>
              <w:bottom w:val="nil"/>
              <w:right w:val="nil"/>
            </w:tcBorders>
          </w:tcPr>
          <w:p w14:paraId="26D3F97E"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2D1723F3" w14:textId="3F1FBA88" w:rsidR="00FC10F6" w:rsidRPr="00626311" w:rsidRDefault="00FC10F6" w:rsidP="00FC10F6">
            <w:pPr>
              <w:widowControl w:val="0"/>
              <w:autoSpaceDE w:val="0"/>
              <w:autoSpaceDN w:val="0"/>
              <w:adjustRightInd w:val="0"/>
              <w:jc w:val="center"/>
              <w:rPr>
                <w:sz w:val="20"/>
                <w:szCs w:val="20"/>
              </w:rPr>
            </w:pPr>
            <w:r w:rsidRPr="00140E7F">
              <w:rPr>
                <w:sz w:val="20"/>
                <w:szCs w:val="20"/>
              </w:rPr>
              <w:t>(0.001)</w:t>
            </w:r>
          </w:p>
        </w:tc>
      </w:tr>
      <w:tr w:rsidR="00FC10F6" w:rsidRPr="000A4511" w14:paraId="1B015527" w14:textId="77777777" w:rsidTr="008E049E">
        <w:trPr>
          <w:jc w:val="center"/>
        </w:trPr>
        <w:tc>
          <w:tcPr>
            <w:tcW w:w="3133" w:type="dxa"/>
            <w:tcBorders>
              <w:top w:val="nil"/>
              <w:left w:val="nil"/>
              <w:bottom w:val="nil"/>
              <w:right w:val="nil"/>
            </w:tcBorders>
          </w:tcPr>
          <w:p w14:paraId="6594B99F" w14:textId="6E9435C9" w:rsidR="00FC10F6" w:rsidRPr="000A4511" w:rsidRDefault="00FC10F6" w:rsidP="00FC10F6">
            <w:pPr>
              <w:widowControl w:val="0"/>
              <w:autoSpaceDE w:val="0"/>
              <w:autoSpaceDN w:val="0"/>
              <w:adjustRightInd w:val="0"/>
              <w:rPr>
                <w:sz w:val="20"/>
                <w:szCs w:val="20"/>
              </w:rPr>
            </w:pPr>
            <w:r>
              <w:rPr>
                <w:color w:val="000000"/>
                <w:kern w:val="24"/>
                <w:sz w:val="20"/>
                <w:szCs w:val="20"/>
                <w:lang w:eastAsia="en-GB"/>
              </w:rPr>
              <w:t>Distance</w:t>
            </w:r>
          </w:p>
        </w:tc>
        <w:tc>
          <w:tcPr>
            <w:tcW w:w="1440" w:type="dxa"/>
            <w:tcBorders>
              <w:top w:val="nil"/>
              <w:left w:val="nil"/>
              <w:bottom w:val="nil"/>
              <w:right w:val="nil"/>
            </w:tcBorders>
          </w:tcPr>
          <w:p w14:paraId="15A1E467" w14:textId="0D28FEAA" w:rsidR="00FC10F6" w:rsidRPr="000A4511" w:rsidRDefault="00FC10F6" w:rsidP="00FC10F6">
            <w:pPr>
              <w:widowControl w:val="0"/>
              <w:autoSpaceDE w:val="0"/>
              <w:autoSpaceDN w:val="0"/>
              <w:adjustRightInd w:val="0"/>
              <w:jc w:val="center"/>
              <w:rPr>
                <w:sz w:val="20"/>
                <w:szCs w:val="20"/>
              </w:rPr>
            </w:pPr>
            <w:r w:rsidRPr="000A4511">
              <w:rPr>
                <w:sz w:val="20"/>
                <w:szCs w:val="20"/>
              </w:rPr>
              <w:t>-0.523</w:t>
            </w:r>
          </w:p>
        </w:tc>
        <w:tc>
          <w:tcPr>
            <w:tcW w:w="1440" w:type="dxa"/>
            <w:tcBorders>
              <w:top w:val="nil"/>
              <w:left w:val="nil"/>
              <w:bottom w:val="nil"/>
              <w:right w:val="nil"/>
            </w:tcBorders>
          </w:tcPr>
          <w:p w14:paraId="7EC3FC83" w14:textId="78BE7D6C" w:rsidR="00FC10F6" w:rsidRPr="000A4511" w:rsidRDefault="00FC10F6" w:rsidP="00FC10F6">
            <w:pPr>
              <w:widowControl w:val="0"/>
              <w:autoSpaceDE w:val="0"/>
              <w:autoSpaceDN w:val="0"/>
              <w:adjustRightInd w:val="0"/>
              <w:jc w:val="center"/>
              <w:rPr>
                <w:sz w:val="20"/>
                <w:szCs w:val="20"/>
              </w:rPr>
            </w:pPr>
            <w:r w:rsidRPr="000A4511">
              <w:rPr>
                <w:sz w:val="20"/>
                <w:szCs w:val="20"/>
              </w:rPr>
              <w:t>-0.303</w:t>
            </w:r>
          </w:p>
        </w:tc>
        <w:tc>
          <w:tcPr>
            <w:tcW w:w="1624" w:type="dxa"/>
            <w:tcBorders>
              <w:top w:val="nil"/>
              <w:left w:val="nil"/>
              <w:bottom w:val="nil"/>
              <w:right w:val="nil"/>
            </w:tcBorders>
          </w:tcPr>
          <w:p w14:paraId="3FBB172A" w14:textId="3EDE84E1" w:rsidR="00FC10F6" w:rsidRPr="000A4511" w:rsidRDefault="00FC10F6" w:rsidP="00FC10F6">
            <w:pPr>
              <w:widowControl w:val="0"/>
              <w:autoSpaceDE w:val="0"/>
              <w:autoSpaceDN w:val="0"/>
              <w:adjustRightInd w:val="0"/>
              <w:jc w:val="center"/>
              <w:rPr>
                <w:sz w:val="20"/>
                <w:szCs w:val="20"/>
              </w:rPr>
            </w:pPr>
            <w:r w:rsidRPr="003C2C12">
              <w:rPr>
                <w:sz w:val="20"/>
                <w:szCs w:val="20"/>
              </w:rPr>
              <w:t>48.59</w:t>
            </w:r>
          </w:p>
        </w:tc>
        <w:tc>
          <w:tcPr>
            <w:tcW w:w="1440" w:type="dxa"/>
            <w:tcBorders>
              <w:top w:val="nil"/>
              <w:left w:val="nil"/>
              <w:bottom w:val="nil"/>
              <w:right w:val="nil"/>
            </w:tcBorders>
          </w:tcPr>
          <w:p w14:paraId="07747D8E" w14:textId="799C9443" w:rsidR="00FC10F6" w:rsidRPr="00626311" w:rsidRDefault="00FC10F6" w:rsidP="00FC10F6">
            <w:pPr>
              <w:widowControl w:val="0"/>
              <w:autoSpaceDE w:val="0"/>
              <w:autoSpaceDN w:val="0"/>
              <w:adjustRightInd w:val="0"/>
              <w:jc w:val="center"/>
              <w:rPr>
                <w:sz w:val="20"/>
                <w:szCs w:val="20"/>
              </w:rPr>
            </w:pPr>
            <w:r w:rsidRPr="00140E7F">
              <w:rPr>
                <w:sz w:val="20"/>
                <w:szCs w:val="20"/>
              </w:rPr>
              <w:t>-0.306</w:t>
            </w:r>
          </w:p>
        </w:tc>
      </w:tr>
      <w:tr w:rsidR="00FC10F6" w:rsidRPr="000A4511" w14:paraId="7F716F11" w14:textId="77777777" w:rsidTr="008E049E">
        <w:trPr>
          <w:jc w:val="center"/>
        </w:trPr>
        <w:tc>
          <w:tcPr>
            <w:tcW w:w="3133" w:type="dxa"/>
            <w:tcBorders>
              <w:top w:val="nil"/>
              <w:left w:val="nil"/>
              <w:bottom w:val="nil"/>
              <w:right w:val="nil"/>
            </w:tcBorders>
          </w:tcPr>
          <w:p w14:paraId="1D2C8539"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4FFF9D32"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(0.031)</w:t>
            </w:r>
          </w:p>
        </w:tc>
        <w:tc>
          <w:tcPr>
            <w:tcW w:w="1440" w:type="dxa"/>
            <w:tcBorders>
              <w:top w:val="nil"/>
              <w:left w:val="nil"/>
              <w:bottom w:val="nil"/>
              <w:right w:val="nil"/>
            </w:tcBorders>
          </w:tcPr>
          <w:p w14:paraId="1C3E5791"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(0.005)</w:t>
            </w:r>
          </w:p>
        </w:tc>
        <w:tc>
          <w:tcPr>
            <w:tcW w:w="1624" w:type="dxa"/>
            <w:tcBorders>
              <w:top w:val="nil"/>
              <w:left w:val="nil"/>
              <w:bottom w:val="nil"/>
              <w:right w:val="nil"/>
            </w:tcBorders>
          </w:tcPr>
          <w:p w14:paraId="1EB20555"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2E835570" w14:textId="25FDA8E2" w:rsidR="00FC10F6" w:rsidRPr="00626311" w:rsidRDefault="00FC10F6" w:rsidP="00FC10F6">
            <w:pPr>
              <w:widowControl w:val="0"/>
              <w:autoSpaceDE w:val="0"/>
              <w:autoSpaceDN w:val="0"/>
              <w:adjustRightInd w:val="0"/>
              <w:jc w:val="center"/>
              <w:rPr>
                <w:sz w:val="20"/>
                <w:szCs w:val="20"/>
              </w:rPr>
            </w:pPr>
            <w:r w:rsidRPr="00140E7F">
              <w:rPr>
                <w:sz w:val="20"/>
                <w:szCs w:val="20"/>
              </w:rPr>
              <w:t>(0.005)</w:t>
            </w:r>
          </w:p>
        </w:tc>
      </w:tr>
      <w:tr w:rsidR="00FC10F6" w:rsidRPr="000A4511" w14:paraId="07697DA3" w14:textId="77777777" w:rsidTr="008E049E">
        <w:trPr>
          <w:jc w:val="center"/>
        </w:trPr>
        <w:tc>
          <w:tcPr>
            <w:tcW w:w="3133" w:type="dxa"/>
            <w:tcBorders>
              <w:top w:val="nil"/>
              <w:left w:val="nil"/>
              <w:bottom w:val="nil"/>
              <w:right w:val="nil"/>
            </w:tcBorders>
          </w:tcPr>
          <w:p w14:paraId="3DBEE705" w14:textId="539F8536"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Foreign-born population</w:t>
            </w:r>
          </w:p>
        </w:tc>
        <w:tc>
          <w:tcPr>
            <w:tcW w:w="1440" w:type="dxa"/>
            <w:tcBorders>
              <w:top w:val="nil"/>
              <w:left w:val="nil"/>
              <w:bottom w:val="nil"/>
              <w:right w:val="nil"/>
            </w:tcBorders>
          </w:tcPr>
          <w:p w14:paraId="5FB190CB" w14:textId="06F0B718" w:rsidR="00FC10F6" w:rsidRPr="000A4511" w:rsidRDefault="00FC10F6" w:rsidP="00FC10F6">
            <w:pPr>
              <w:widowControl w:val="0"/>
              <w:autoSpaceDE w:val="0"/>
              <w:autoSpaceDN w:val="0"/>
              <w:adjustRightInd w:val="0"/>
              <w:jc w:val="center"/>
              <w:rPr>
                <w:sz w:val="20"/>
                <w:szCs w:val="20"/>
              </w:rPr>
            </w:pPr>
            <w:r w:rsidRPr="000A4511">
              <w:rPr>
                <w:sz w:val="20"/>
                <w:szCs w:val="20"/>
              </w:rPr>
              <w:t>0.680</w:t>
            </w:r>
          </w:p>
        </w:tc>
        <w:tc>
          <w:tcPr>
            <w:tcW w:w="1440" w:type="dxa"/>
            <w:tcBorders>
              <w:top w:val="nil"/>
              <w:left w:val="nil"/>
              <w:bottom w:val="nil"/>
              <w:right w:val="nil"/>
            </w:tcBorders>
          </w:tcPr>
          <w:p w14:paraId="3A0C9DC1" w14:textId="5BACC4CC" w:rsidR="00FC10F6" w:rsidRPr="000A4511" w:rsidRDefault="00FC10F6" w:rsidP="00FC10F6">
            <w:pPr>
              <w:widowControl w:val="0"/>
              <w:autoSpaceDE w:val="0"/>
              <w:autoSpaceDN w:val="0"/>
              <w:adjustRightInd w:val="0"/>
              <w:jc w:val="center"/>
              <w:rPr>
                <w:sz w:val="20"/>
                <w:szCs w:val="20"/>
              </w:rPr>
            </w:pPr>
            <w:r w:rsidRPr="000A4511">
              <w:rPr>
                <w:sz w:val="20"/>
                <w:szCs w:val="20"/>
              </w:rPr>
              <w:t>0.139</w:t>
            </w:r>
          </w:p>
        </w:tc>
        <w:tc>
          <w:tcPr>
            <w:tcW w:w="1624" w:type="dxa"/>
            <w:tcBorders>
              <w:top w:val="nil"/>
              <w:left w:val="nil"/>
              <w:bottom w:val="nil"/>
              <w:right w:val="nil"/>
            </w:tcBorders>
          </w:tcPr>
          <w:p w14:paraId="110CBF12" w14:textId="0E069EFA" w:rsidR="00FC10F6" w:rsidRPr="000A4511" w:rsidRDefault="00FC10F6" w:rsidP="00FC10F6">
            <w:pPr>
              <w:widowControl w:val="0"/>
              <w:autoSpaceDE w:val="0"/>
              <w:autoSpaceDN w:val="0"/>
              <w:adjustRightInd w:val="0"/>
              <w:jc w:val="center"/>
              <w:rPr>
                <w:sz w:val="20"/>
                <w:szCs w:val="20"/>
              </w:rPr>
            </w:pPr>
            <w:r w:rsidRPr="003C2C12">
              <w:rPr>
                <w:sz w:val="20"/>
                <w:szCs w:val="20"/>
              </w:rPr>
              <w:t>4017.61</w:t>
            </w:r>
          </w:p>
        </w:tc>
        <w:tc>
          <w:tcPr>
            <w:tcW w:w="1440" w:type="dxa"/>
            <w:tcBorders>
              <w:top w:val="nil"/>
              <w:left w:val="nil"/>
              <w:bottom w:val="nil"/>
              <w:right w:val="nil"/>
            </w:tcBorders>
          </w:tcPr>
          <w:p w14:paraId="310AD3BB" w14:textId="2F0DA0A2" w:rsidR="00FC10F6" w:rsidRPr="00626311" w:rsidRDefault="00FC10F6" w:rsidP="00FC10F6">
            <w:pPr>
              <w:widowControl w:val="0"/>
              <w:autoSpaceDE w:val="0"/>
              <w:autoSpaceDN w:val="0"/>
              <w:adjustRightInd w:val="0"/>
              <w:jc w:val="center"/>
              <w:rPr>
                <w:sz w:val="20"/>
                <w:szCs w:val="20"/>
              </w:rPr>
            </w:pPr>
            <w:r w:rsidRPr="00140E7F">
              <w:rPr>
                <w:sz w:val="20"/>
                <w:szCs w:val="20"/>
              </w:rPr>
              <w:t>0.130</w:t>
            </w:r>
          </w:p>
        </w:tc>
      </w:tr>
      <w:tr w:rsidR="00FC10F6" w:rsidRPr="000A4511" w14:paraId="392F38D5" w14:textId="77777777" w:rsidTr="008E049E">
        <w:trPr>
          <w:jc w:val="center"/>
        </w:trPr>
        <w:tc>
          <w:tcPr>
            <w:tcW w:w="3133" w:type="dxa"/>
            <w:tcBorders>
              <w:top w:val="nil"/>
              <w:left w:val="nil"/>
              <w:bottom w:val="nil"/>
              <w:right w:val="nil"/>
            </w:tcBorders>
          </w:tcPr>
          <w:p w14:paraId="75057B60"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6E5B15AC"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(0.007)</w:t>
            </w:r>
          </w:p>
        </w:tc>
        <w:tc>
          <w:tcPr>
            <w:tcW w:w="1440" w:type="dxa"/>
            <w:tcBorders>
              <w:top w:val="nil"/>
              <w:left w:val="nil"/>
              <w:bottom w:val="nil"/>
              <w:right w:val="nil"/>
            </w:tcBorders>
          </w:tcPr>
          <w:p w14:paraId="375B54CE"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(0.005)</w:t>
            </w:r>
          </w:p>
        </w:tc>
        <w:tc>
          <w:tcPr>
            <w:tcW w:w="1624" w:type="dxa"/>
            <w:tcBorders>
              <w:top w:val="nil"/>
              <w:left w:val="nil"/>
              <w:bottom w:val="nil"/>
              <w:right w:val="nil"/>
            </w:tcBorders>
          </w:tcPr>
          <w:p w14:paraId="45D13D46"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0728897D" w14:textId="561230F2" w:rsidR="00FC10F6" w:rsidRPr="00626311" w:rsidRDefault="00FC10F6" w:rsidP="00FC10F6">
            <w:pPr>
              <w:widowControl w:val="0"/>
              <w:autoSpaceDE w:val="0"/>
              <w:autoSpaceDN w:val="0"/>
              <w:adjustRightInd w:val="0"/>
              <w:jc w:val="center"/>
              <w:rPr>
                <w:sz w:val="20"/>
                <w:szCs w:val="20"/>
              </w:rPr>
            </w:pPr>
            <w:r w:rsidRPr="00140E7F">
              <w:rPr>
                <w:sz w:val="20"/>
                <w:szCs w:val="20"/>
              </w:rPr>
              <w:t>(0.005)</w:t>
            </w:r>
          </w:p>
        </w:tc>
      </w:tr>
      <w:tr w:rsidR="00FC10F6" w:rsidRPr="000A4511" w14:paraId="2FE0139C" w14:textId="77777777" w:rsidTr="008E049E">
        <w:trPr>
          <w:jc w:val="center"/>
        </w:trPr>
        <w:tc>
          <w:tcPr>
            <w:tcW w:w="3133" w:type="dxa"/>
            <w:tcBorders>
              <w:top w:val="nil"/>
              <w:left w:val="nil"/>
              <w:bottom w:val="nil"/>
              <w:right w:val="nil"/>
            </w:tcBorders>
          </w:tcPr>
          <w:p w14:paraId="63A41499" w14:textId="29C65ABC" w:rsidR="00FC10F6" w:rsidRPr="000A4511" w:rsidRDefault="00FC10F6" w:rsidP="00FC10F6">
            <w:pPr>
              <w:widowControl w:val="0"/>
              <w:autoSpaceDE w:val="0"/>
              <w:autoSpaceDN w:val="0"/>
              <w:adjustRightInd w:val="0"/>
              <w:rPr>
                <w:sz w:val="20"/>
                <w:szCs w:val="20"/>
              </w:rPr>
            </w:pPr>
            <w:r>
              <w:rPr>
                <w:sz w:val="20"/>
                <w:szCs w:val="20"/>
              </w:rPr>
              <w:t>Population</w:t>
            </w:r>
          </w:p>
        </w:tc>
        <w:tc>
          <w:tcPr>
            <w:tcW w:w="1440" w:type="dxa"/>
            <w:tcBorders>
              <w:top w:val="nil"/>
              <w:left w:val="nil"/>
              <w:bottom w:val="nil"/>
              <w:right w:val="nil"/>
            </w:tcBorders>
          </w:tcPr>
          <w:p w14:paraId="28B72DE4" w14:textId="38D82917" w:rsidR="00FC10F6" w:rsidRPr="000A4511" w:rsidRDefault="00FC10F6" w:rsidP="00FC10F6">
            <w:pPr>
              <w:widowControl w:val="0"/>
              <w:autoSpaceDE w:val="0"/>
              <w:autoSpaceDN w:val="0"/>
              <w:adjustRightInd w:val="0"/>
              <w:jc w:val="center"/>
              <w:rPr>
                <w:sz w:val="20"/>
                <w:szCs w:val="20"/>
              </w:rPr>
            </w:pPr>
            <w:r w:rsidRPr="000A4511">
              <w:rPr>
                <w:sz w:val="20"/>
                <w:szCs w:val="20"/>
              </w:rPr>
              <w:t>0.884</w:t>
            </w:r>
          </w:p>
        </w:tc>
        <w:tc>
          <w:tcPr>
            <w:tcW w:w="1440" w:type="dxa"/>
            <w:tcBorders>
              <w:top w:val="nil"/>
              <w:left w:val="nil"/>
              <w:bottom w:val="nil"/>
              <w:right w:val="nil"/>
            </w:tcBorders>
          </w:tcPr>
          <w:p w14:paraId="1668446B" w14:textId="57AD20B6" w:rsidR="00FC10F6" w:rsidRPr="000A4511" w:rsidRDefault="00FC10F6" w:rsidP="00FC10F6">
            <w:pPr>
              <w:widowControl w:val="0"/>
              <w:autoSpaceDE w:val="0"/>
              <w:autoSpaceDN w:val="0"/>
              <w:adjustRightInd w:val="0"/>
              <w:jc w:val="center"/>
              <w:rPr>
                <w:sz w:val="20"/>
                <w:szCs w:val="20"/>
              </w:rPr>
            </w:pPr>
            <w:r w:rsidRPr="000A4511">
              <w:rPr>
                <w:sz w:val="20"/>
                <w:szCs w:val="20"/>
              </w:rPr>
              <w:t>0.633</w:t>
            </w:r>
          </w:p>
        </w:tc>
        <w:tc>
          <w:tcPr>
            <w:tcW w:w="1624" w:type="dxa"/>
            <w:tcBorders>
              <w:top w:val="nil"/>
              <w:left w:val="nil"/>
              <w:bottom w:val="nil"/>
              <w:right w:val="nil"/>
            </w:tcBorders>
          </w:tcPr>
          <w:p w14:paraId="39158660" w14:textId="27CCB94A" w:rsidR="00FC10F6" w:rsidRPr="000A4511" w:rsidRDefault="00FC10F6" w:rsidP="00FC10F6">
            <w:pPr>
              <w:widowControl w:val="0"/>
              <w:autoSpaceDE w:val="0"/>
              <w:autoSpaceDN w:val="0"/>
              <w:adjustRightInd w:val="0"/>
              <w:jc w:val="center"/>
              <w:rPr>
                <w:sz w:val="20"/>
                <w:szCs w:val="20"/>
              </w:rPr>
            </w:pPr>
            <w:r w:rsidRPr="003C2C12">
              <w:rPr>
                <w:sz w:val="20"/>
                <w:szCs w:val="20"/>
              </w:rPr>
              <w:t>244.70</w:t>
            </w:r>
          </w:p>
        </w:tc>
        <w:tc>
          <w:tcPr>
            <w:tcW w:w="1440" w:type="dxa"/>
            <w:tcBorders>
              <w:top w:val="nil"/>
              <w:left w:val="nil"/>
              <w:bottom w:val="nil"/>
              <w:right w:val="nil"/>
            </w:tcBorders>
          </w:tcPr>
          <w:p w14:paraId="09D0F1FC" w14:textId="73ED172F" w:rsidR="00FC10F6" w:rsidRPr="00626311" w:rsidRDefault="00FC10F6" w:rsidP="00FC10F6">
            <w:pPr>
              <w:widowControl w:val="0"/>
              <w:autoSpaceDE w:val="0"/>
              <w:autoSpaceDN w:val="0"/>
              <w:adjustRightInd w:val="0"/>
              <w:jc w:val="center"/>
              <w:rPr>
                <w:sz w:val="20"/>
                <w:szCs w:val="20"/>
              </w:rPr>
            </w:pPr>
            <w:r w:rsidRPr="00140E7F">
              <w:rPr>
                <w:sz w:val="20"/>
                <w:szCs w:val="20"/>
              </w:rPr>
              <w:t>0.722</w:t>
            </w:r>
          </w:p>
        </w:tc>
      </w:tr>
      <w:tr w:rsidR="00FC10F6" w:rsidRPr="000A4511" w14:paraId="3BF26CF6" w14:textId="77777777" w:rsidTr="008E049E">
        <w:trPr>
          <w:jc w:val="center"/>
        </w:trPr>
        <w:tc>
          <w:tcPr>
            <w:tcW w:w="3133" w:type="dxa"/>
            <w:tcBorders>
              <w:top w:val="nil"/>
              <w:left w:val="nil"/>
              <w:bottom w:val="nil"/>
              <w:right w:val="nil"/>
            </w:tcBorders>
          </w:tcPr>
          <w:p w14:paraId="425D10F4"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07602CD9"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(0.013)</w:t>
            </w:r>
          </w:p>
        </w:tc>
        <w:tc>
          <w:tcPr>
            <w:tcW w:w="1440" w:type="dxa"/>
            <w:tcBorders>
              <w:top w:val="nil"/>
              <w:left w:val="nil"/>
              <w:bottom w:val="nil"/>
              <w:right w:val="nil"/>
            </w:tcBorders>
          </w:tcPr>
          <w:p w14:paraId="0FA529E5"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(0.010)</w:t>
            </w:r>
          </w:p>
        </w:tc>
        <w:tc>
          <w:tcPr>
            <w:tcW w:w="1624" w:type="dxa"/>
            <w:tcBorders>
              <w:top w:val="nil"/>
              <w:left w:val="nil"/>
              <w:bottom w:val="nil"/>
              <w:right w:val="nil"/>
            </w:tcBorders>
          </w:tcPr>
          <w:p w14:paraId="4E44FE59"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47DE7319" w14:textId="188850F8" w:rsidR="00FC10F6" w:rsidRPr="00626311" w:rsidRDefault="00FC10F6" w:rsidP="00FC10F6">
            <w:pPr>
              <w:widowControl w:val="0"/>
              <w:autoSpaceDE w:val="0"/>
              <w:autoSpaceDN w:val="0"/>
              <w:adjustRightInd w:val="0"/>
              <w:jc w:val="center"/>
              <w:rPr>
                <w:sz w:val="20"/>
                <w:szCs w:val="20"/>
              </w:rPr>
            </w:pPr>
            <w:r w:rsidRPr="00140E7F">
              <w:rPr>
                <w:sz w:val="20"/>
                <w:szCs w:val="20"/>
              </w:rPr>
              <w:t>(0.007)</w:t>
            </w:r>
          </w:p>
        </w:tc>
      </w:tr>
      <w:tr w:rsidR="00FC10F6" w:rsidRPr="000A4511" w14:paraId="327CB886" w14:textId="77777777" w:rsidTr="008E049E">
        <w:trPr>
          <w:jc w:val="center"/>
        </w:trPr>
        <w:tc>
          <w:tcPr>
            <w:tcW w:w="3133" w:type="dxa"/>
            <w:tcBorders>
              <w:top w:val="nil"/>
              <w:left w:val="nil"/>
              <w:bottom w:val="nil"/>
              <w:right w:val="nil"/>
            </w:tcBorders>
          </w:tcPr>
          <w:p w14:paraId="0B88F4A5" w14:textId="699F54F7"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IPR  EE</w:t>
            </w:r>
          </w:p>
        </w:tc>
        <w:tc>
          <w:tcPr>
            <w:tcW w:w="1440" w:type="dxa"/>
            <w:tcBorders>
              <w:top w:val="nil"/>
              <w:left w:val="nil"/>
              <w:bottom w:val="nil"/>
              <w:right w:val="nil"/>
            </w:tcBorders>
          </w:tcPr>
          <w:p w14:paraId="201E0E0C"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3C0DAD5D"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73C09BCE"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3F261191" w14:textId="208B8157" w:rsidR="00FC10F6" w:rsidRPr="00626311" w:rsidRDefault="00FC10F6" w:rsidP="00FC10F6">
            <w:pPr>
              <w:widowControl w:val="0"/>
              <w:autoSpaceDE w:val="0"/>
              <w:autoSpaceDN w:val="0"/>
              <w:adjustRightInd w:val="0"/>
              <w:jc w:val="center"/>
              <w:rPr>
                <w:sz w:val="20"/>
                <w:szCs w:val="20"/>
              </w:rPr>
            </w:pPr>
            <w:r w:rsidRPr="00140E7F">
              <w:rPr>
                <w:sz w:val="20"/>
                <w:szCs w:val="20"/>
              </w:rPr>
              <w:t>-0.005</w:t>
            </w:r>
          </w:p>
        </w:tc>
      </w:tr>
      <w:tr w:rsidR="00FC10F6" w:rsidRPr="000A4511" w14:paraId="02636BCF" w14:textId="77777777" w:rsidTr="008E049E">
        <w:trPr>
          <w:jc w:val="center"/>
        </w:trPr>
        <w:tc>
          <w:tcPr>
            <w:tcW w:w="3133" w:type="dxa"/>
            <w:tcBorders>
              <w:top w:val="nil"/>
              <w:left w:val="nil"/>
              <w:bottom w:val="nil"/>
              <w:right w:val="nil"/>
            </w:tcBorders>
          </w:tcPr>
          <w:p w14:paraId="75BFC624"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59214EA2"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6DD28AEB"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4128530E"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43071953" w14:textId="7A07E17E" w:rsidR="00FC10F6" w:rsidRPr="00626311" w:rsidRDefault="00FC10F6" w:rsidP="00FC10F6">
            <w:pPr>
              <w:widowControl w:val="0"/>
              <w:autoSpaceDE w:val="0"/>
              <w:autoSpaceDN w:val="0"/>
              <w:adjustRightInd w:val="0"/>
              <w:jc w:val="center"/>
              <w:rPr>
                <w:sz w:val="20"/>
                <w:szCs w:val="20"/>
              </w:rPr>
            </w:pPr>
            <w:r w:rsidRPr="00140E7F">
              <w:rPr>
                <w:sz w:val="20"/>
                <w:szCs w:val="20"/>
              </w:rPr>
              <w:t>(0.001)</w:t>
            </w:r>
          </w:p>
        </w:tc>
      </w:tr>
      <w:tr w:rsidR="00FC10F6" w:rsidRPr="000A4511" w14:paraId="120F1796" w14:textId="77777777" w:rsidTr="008E049E">
        <w:trPr>
          <w:jc w:val="center"/>
        </w:trPr>
        <w:tc>
          <w:tcPr>
            <w:tcW w:w="3133" w:type="dxa"/>
            <w:tcBorders>
              <w:top w:val="nil"/>
              <w:left w:val="nil"/>
              <w:bottom w:val="nil"/>
              <w:right w:val="nil"/>
            </w:tcBorders>
          </w:tcPr>
          <w:p w14:paraId="3B2B91D5" w14:textId="22EDB8E1" w:rsidR="00FC10F6" w:rsidRPr="000A4511" w:rsidRDefault="00FC10F6" w:rsidP="00FC10F6">
            <w:pPr>
              <w:spacing w:line="254" w:lineRule="auto"/>
              <w:rPr>
                <w:sz w:val="20"/>
                <w:szCs w:val="20"/>
                <w:lang w:eastAsia="en-GB"/>
              </w:rPr>
            </w:pPr>
            <w:r>
              <w:rPr>
                <w:color w:val="000000"/>
                <w:kern w:val="24"/>
                <w:sz w:val="20"/>
                <w:szCs w:val="20"/>
                <w:lang w:eastAsia="en-GB"/>
              </w:rPr>
              <w:t>Distance</w:t>
            </w:r>
            <w:r w:rsidRPr="000A4511">
              <w:rPr>
                <w:color w:val="000000"/>
                <w:kern w:val="24"/>
                <w:sz w:val="20"/>
                <w:szCs w:val="20"/>
                <w:lang w:eastAsia="en-GB"/>
              </w:rPr>
              <w:t xml:space="preserve">  EE</w:t>
            </w:r>
          </w:p>
        </w:tc>
        <w:tc>
          <w:tcPr>
            <w:tcW w:w="1440" w:type="dxa"/>
            <w:tcBorders>
              <w:top w:val="nil"/>
              <w:left w:val="nil"/>
              <w:bottom w:val="nil"/>
              <w:right w:val="nil"/>
            </w:tcBorders>
          </w:tcPr>
          <w:p w14:paraId="1186639D"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6BA8303C"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2E4F6276"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36811BAA" w14:textId="14DA5427" w:rsidR="00FC10F6" w:rsidRPr="00626311" w:rsidRDefault="00FC10F6" w:rsidP="00FC10F6">
            <w:pPr>
              <w:widowControl w:val="0"/>
              <w:autoSpaceDE w:val="0"/>
              <w:autoSpaceDN w:val="0"/>
              <w:adjustRightInd w:val="0"/>
              <w:jc w:val="center"/>
              <w:rPr>
                <w:sz w:val="20"/>
                <w:szCs w:val="20"/>
              </w:rPr>
            </w:pPr>
            <w:r w:rsidRPr="00140E7F">
              <w:rPr>
                <w:sz w:val="20"/>
                <w:szCs w:val="20"/>
              </w:rPr>
              <w:t>-0.885</w:t>
            </w:r>
          </w:p>
        </w:tc>
      </w:tr>
      <w:tr w:rsidR="00FC10F6" w:rsidRPr="000A4511" w14:paraId="73FC627B" w14:textId="77777777" w:rsidTr="008E049E">
        <w:trPr>
          <w:jc w:val="center"/>
        </w:trPr>
        <w:tc>
          <w:tcPr>
            <w:tcW w:w="3133" w:type="dxa"/>
            <w:tcBorders>
              <w:top w:val="nil"/>
              <w:left w:val="nil"/>
              <w:bottom w:val="nil"/>
              <w:right w:val="nil"/>
            </w:tcBorders>
          </w:tcPr>
          <w:p w14:paraId="68088C43"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2AF9DE14"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4EC962C8"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1EDF715E"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7D0CED66" w14:textId="2E9CAF79" w:rsidR="00FC10F6" w:rsidRPr="00626311" w:rsidRDefault="00FC10F6" w:rsidP="00FC10F6">
            <w:pPr>
              <w:widowControl w:val="0"/>
              <w:autoSpaceDE w:val="0"/>
              <w:autoSpaceDN w:val="0"/>
              <w:adjustRightInd w:val="0"/>
              <w:jc w:val="center"/>
              <w:rPr>
                <w:sz w:val="20"/>
                <w:szCs w:val="20"/>
              </w:rPr>
            </w:pPr>
            <w:r w:rsidRPr="00140E7F">
              <w:rPr>
                <w:sz w:val="20"/>
                <w:szCs w:val="20"/>
              </w:rPr>
              <w:t>(0.025)</w:t>
            </w:r>
          </w:p>
        </w:tc>
      </w:tr>
      <w:tr w:rsidR="00FC10F6" w:rsidRPr="000A4511" w14:paraId="3C43DE56" w14:textId="77777777" w:rsidTr="008E049E">
        <w:trPr>
          <w:jc w:val="center"/>
        </w:trPr>
        <w:tc>
          <w:tcPr>
            <w:tcW w:w="3133" w:type="dxa"/>
            <w:tcBorders>
              <w:top w:val="nil"/>
              <w:left w:val="nil"/>
              <w:bottom w:val="nil"/>
              <w:right w:val="nil"/>
            </w:tcBorders>
          </w:tcPr>
          <w:p w14:paraId="345AEF69" w14:textId="16DB096D"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Foreign-born pop  EE</w:t>
            </w:r>
          </w:p>
        </w:tc>
        <w:tc>
          <w:tcPr>
            <w:tcW w:w="1440" w:type="dxa"/>
            <w:tcBorders>
              <w:top w:val="nil"/>
              <w:left w:val="nil"/>
              <w:bottom w:val="nil"/>
              <w:right w:val="nil"/>
            </w:tcBorders>
          </w:tcPr>
          <w:p w14:paraId="1F9F6A2F"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41B95B26"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7EEAA4FB"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0AC82BC5" w14:textId="6C056958" w:rsidR="00FC10F6" w:rsidRPr="00626311" w:rsidRDefault="00FC10F6" w:rsidP="00FC10F6">
            <w:pPr>
              <w:widowControl w:val="0"/>
              <w:autoSpaceDE w:val="0"/>
              <w:autoSpaceDN w:val="0"/>
              <w:adjustRightInd w:val="0"/>
              <w:jc w:val="center"/>
              <w:rPr>
                <w:sz w:val="20"/>
                <w:szCs w:val="20"/>
              </w:rPr>
            </w:pPr>
            <w:r w:rsidRPr="00140E7F">
              <w:rPr>
                <w:sz w:val="20"/>
                <w:szCs w:val="20"/>
              </w:rPr>
              <w:t>0.318</w:t>
            </w:r>
          </w:p>
        </w:tc>
      </w:tr>
      <w:tr w:rsidR="00FC10F6" w:rsidRPr="000A4511" w14:paraId="12821E4C" w14:textId="77777777" w:rsidTr="008E049E">
        <w:trPr>
          <w:jc w:val="center"/>
        </w:trPr>
        <w:tc>
          <w:tcPr>
            <w:tcW w:w="3133" w:type="dxa"/>
            <w:tcBorders>
              <w:top w:val="nil"/>
              <w:left w:val="nil"/>
              <w:bottom w:val="nil"/>
              <w:right w:val="nil"/>
            </w:tcBorders>
          </w:tcPr>
          <w:p w14:paraId="12B564CF"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53E90B53"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2E645CD9"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5B4AC7AC"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5EDAFF54" w14:textId="6257C2C7" w:rsidR="00FC10F6" w:rsidRPr="00626311" w:rsidRDefault="00FC10F6" w:rsidP="00FC10F6">
            <w:pPr>
              <w:widowControl w:val="0"/>
              <w:autoSpaceDE w:val="0"/>
              <w:autoSpaceDN w:val="0"/>
              <w:adjustRightInd w:val="0"/>
              <w:jc w:val="center"/>
              <w:rPr>
                <w:sz w:val="20"/>
                <w:szCs w:val="20"/>
              </w:rPr>
            </w:pPr>
            <w:r w:rsidRPr="00140E7F">
              <w:rPr>
                <w:sz w:val="20"/>
                <w:szCs w:val="20"/>
              </w:rPr>
              <w:t>(0.007)</w:t>
            </w:r>
          </w:p>
        </w:tc>
      </w:tr>
      <w:tr w:rsidR="00FC10F6" w:rsidRPr="000A4511" w14:paraId="71CFEB0D" w14:textId="77777777" w:rsidTr="008E049E">
        <w:trPr>
          <w:jc w:val="center"/>
        </w:trPr>
        <w:tc>
          <w:tcPr>
            <w:tcW w:w="3133" w:type="dxa"/>
            <w:tcBorders>
              <w:top w:val="nil"/>
              <w:left w:val="nil"/>
              <w:bottom w:val="nil"/>
              <w:right w:val="nil"/>
            </w:tcBorders>
          </w:tcPr>
          <w:p w14:paraId="24D108DA" w14:textId="26A75180"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Population  EE</w:t>
            </w:r>
          </w:p>
        </w:tc>
        <w:tc>
          <w:tcPr>
            <w:tcW w:w="1440" w:type="dxa"/>
            <w:tcBorders>
              <w:top w:val="nil"/>
              <w:left w:val="nil"/>
              <w:bottom w:val="nil"/>
              <w:right w:val="nil"/>
            </w:tcBorders>
          </w:tcPr>
          <w:p w14:paraId="024D525D"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6B5D71FB"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7AEA8CDD"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132AF399" w14:textId="7BEE7124" w:rsidR="00FC10F6" w:rsidRPr="00626311" w:rsidRDefault="00FC10F6" w:rsidP="00FC10F6">
            <w:pPr>
              <w:widowControl w:val="0"/>
              <w:autoSpaceDE w:val="0"/>
              <w:autoSpaceDN w:val="0"/>
              <w:adjustRightInd w:val="0"/>
              <w:jc w:val="center"/>
              <w:rPr>
                <w:sz w:val="20"/>
                <w:szCs w:val="20"/>
              </w:rPr>
            </w:pPr>
            <w:r w:rsidRPr="00140E7F">
              <w:rPr>
                <w:sz w:val="20"/>
                <w:szCs w:val="20"/>
              </w:rPr>
              <w:t>0.164</w:t>
            </w:r>
          </w:p>
        </w:tc>
      </w:tr>
      <w:tr w:rsidR="00FC10F6" w:rsidRPr="000A4511" w14:paraId="01FA7680" w14:textId="77777777" w:rsidTr="008E049E">
        <w:trPr>
          <w:jc w:val="center"/>
        </w:trPr>
        <w:tc>
          <w:tcPr>
            <w:tcW w:w="3133" w:type="dxa"/>
            <w:tcBorders>
              <w:top w:val="nil"/>
              <w:left w:val="nil"/>
              <w:bottom w:val="nil"/>
              <w:right w:val="nil"/>
            </w:tcBorders>
          </w:tcPr>
          <w:p w14:paraId="507953F3"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59965F6D"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78D7C3BE"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087D467D"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4905E3A1" w14:textId="0E781550" w:rsidR="00FC10F6" w:rsidRPr="00626311" w:rsidRDefault="00FC10F6" w:rsidP="00FC10F6">
            <w:pPr>
              <w:widowControl w:val="0"/>
              <w:autoSpaceDE w:val="0"/>
              <w:autoSpaceDN w:val="0"/>
              <w:adjustRightInd w:val="0"/>
              <w:jc w:val="center"/>
              <w:rPr>
                <w:sz w:val="20"/>
                <w:szCs w:val="20"/>
              </w:rPr>
            </w:pPr>
            <w:r w:rsidRPr="00140E7F">
              <w:rPr>
                <w:sz w:val="20"/>
                <w:szCs w:val="20"/>
              </w:rPr>
              <w:t>(0.008)</w:t>
            </w:r>
          </w:p>
        </w:tc>
      </w:tr>
      <w:tr w:rsidR="00FC10F6" w:rsidRPr="000A4511" w14:paraId="76C29633" w14:textId="77777777" w:rsidTr="00515E1E">
        <w:trPr>
          <w:jc w:val="center"/>
        </w:trPr>
        <w:tc>
          <w:tcPr>
            <w:tcW w:w="3133" w:type="dxa"/>
            <w:tcBorders>
              <w:top w:val="nil"/>
              <w:left w:val="nil"/>
              <w:bottom w:val="nil"/>
              <w:right w:val="nil"/>
            </w:tcBorders>
          </w:tcPr>
          <w:p w14:paraId="405029CF" w14:textId="77777777"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GDP Growth</w:t>
            </w:r>
          </w:p>
        </w:tc>
        <w:tc>
          <w:tcPr>
            <w:tcW w:w="1440" w:type="dxa"/>
            <w:tcBorders>
              <w:top w:val="nil"/>
              <w:left w:val="nil"/>
              <w:bottom w:val="nil"/>
              <w:right w:val="nil"/>
            </w:tcBorders>
          </w:tcPr>
          <w:p w14:paraId="5E60CDDA" w14:textId="05776386" w:rsidR="00FC10F6" w:rsidRPr="000A4511" w:rsidRDefault="00FC10F6" w:rsidP="00FC10F6">
            <w:pPr>
              <w:widowControl w:val="0"/>
              <w:autoSpaceDE w:val="0"/>
              <w:autoSpaceDN w:val="0"/>
              <w:adjustRightInd w:val="0"/>
              <w:jc w:val="center"/>
              <w:rPr>
                <w:sz w:val="20"/>
                <w:szCs w:val="20"/>
              </w:rPr>
            </w:pPr>
            <w:r w:rsidRPr="000A4511">
              <w:rPr>
                <w:sz w:val="20"/>
                <w:szCs w:val="20"/>
              </w:rPr>
              <w:t>0.162</w:t>
            </w:r>
          </w:p>
        </w:tc>
        <w:tc>
          <w:tcPr>
            <w:tcW w:w="1440" w:type="dxa"/>
            <w:tcBorders>
              <w:top w:val="nil"/>
              <w:left w:val="nil"/>
              <w:bottom w:val="nil"/>
              <w:right w:val="nil"/>
            </w:tcBorders>
          </w:tcPr>
          <w:p w14:paraId="42C6145D"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0.002</w:t>
            </w:r>
          </w:p>
        </w:tc>
        <w:tc>
          <w:tcPr>
            <w:tcW w:w="1624" w:type="dxa"/>
            <w:tcBorders>
              <w:top w:val="nil"/>
              <w:left w:val="nil"/>
              <w:bottom w:val="nil"/>
              <w:right w:val="nil"/>
            </w:tcBorders>
          </w:tcPr>
          <w:p w14:paraId="44080A67" w14:textId="48A0DE8E"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0383EA5D" w14:textId="5031BF74" w:rsidR="00FC10F6" w:rsidRPr="00626311" w:rsidRDefault="00FC10F6" w:rsidP="00FC10F6">
            <w:pPr>
              <w:widowControl w:val="0"/>
              <w:autoSpaceDE w:val="0"/>
              <w:autoSpaceDN w:val="0"/>
              <w:adjustRightInd w:val="0"/>
              <w:jc w:val="center"/>
              <w:rPr>
                <w:sz w:val="20"/>
                <w:szCs w:val="20"/>
              </w:rPr>
            </w:pPr>
            <w:r w:rsidRPr="00140E7F">
              <w:rPr>
                <w:sz w:val="20"/>
                <w:szCs w:val="20"/>
              </w:rPr>
              <w:t>0.032</w:t>
            </w:r>
          </w:p>
        </w:tc>
      </w:tr>
      <w:tr w:rsidR="00FC10F6" w:rsidRPr="000A4511" w14:paraId="0E4373FC" w14:textId="77777777" w:rsidTr="00515E1E">
        <w:trPr>
          <w:jc w:val="center"/>
        </w:trPr>
        <w:tc>
          <w:tcPr>
            <w:tcW w:w="3133" w:type="dxa"/>
            <w:tcBorders>
              <w:top w:val="nil"/>
              <w:left w:val="nil"/>
              <w:bottom w:val="nil"/>
              <w:right w:val="nil"/>
            </w:tcBorders>
          </w:tcPr>
          <w:p w14:paraId="22090702"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4F5EA188"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(0.009)</w:t>
            </w:r>
          </w:p>
        </w:tc>
        <w:tc>
          <w:tcPr>
            <w:tcW w:w="1440" w:type="dxa"/>
            <w:tcBorders>
              <w:top w:val="nil"/>
              <w:left w:val="nil"/>
              <w:bottom w:val="nil"/>
              <w:right w:val="nil"/>
            </w:tcBorders>
          </w:tcPr>
          <w:p w14:paraId="7C67B505"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(0.004)</w:t>
            </w:r>
          </w:p>
        </w:tc>
        <w:tc>
          <w:tcPr>
            <w:tcW w:w="1624" w:type="dxa"/>
            <w:tcBorders>
              <w:top w:val="nil"/>
              <w:left w:val="nil"/>
              <w:bottom w:val="nil"/>
              <w:right w:val="nil"/>
            </w:tcBorders>
          </w:tcPr>
          <w:p w14:paraId="3198801F"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4277F01E" w14:textId="4A791E86" w:rsidR="00FC10F6" w:rsidRPr="00626311" w:rsidRDefault="00FC10F6" w:rsidP="00FC10F6">
            <w:pPr>
              <w:widowControl w:val="0"/>
              <w:autoSpaceDE w:val="0"/>
              <w:autoSpaceDN w:val="0"/>
              <w:adjustRightInd w:val="0"/>
              <w:jc w:val="center"/>
              <w:rPr>
                <w:sz w:val="20"/>
                <w:szCs w:val="20"/>
              </w:rPr>
            </w:pPr>
            <w:r w:rsidRPr="00140E7F">
              <w:rPr>
                <w:sz w:val="20"/>
                <w:szCs w:val="20"/>
              </w:rPr>
              <w:t>(0.004)</w:t>
            </w:r>
          </w:p>
        </w:tc>
      </w:tr>
      <w:tr w:rsidR="00FC10F6" w:rsidRPr="000A4511" w14:paraId="3F6AD1A2" w14:textId="77777777" w:rsidTr="00515E1E">
        <w:trPr>
          <w:jc w:val="center"/>
        </w:trPr>
        <w:tc>
          <w:tcPr>
            <w:tcW w:w="3133" w:type="dxa"/>
            <w:tcBorders>
              <w:top w:val="nil"/>
              <w:left w:val="nil"/>
              <w:bottom w:val="nil"/>
              <w:right w:val="nil"/>
            </w:tcBorders>
          </w:tcPr>
          <w:p w14:paraId="2AE486D4" w14:textId="77777777"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GDP per capita</w:t>
            </w:r>
          </w:p>
        </w:tc>
        <w:tc>
          <w:tcPr>
            <w:tcW w:w="1440" w:type="dxa"/>
            <w:tcBorders>
              <w:top w:val="nil"/>
              <w:left w:val="nil"/>
              <w:bottom w:val="nil"/>
              <w:right w:val="nil"/>
            </w:tcBorders>
          </w:tcPr>
          <w:p w14:paraId="1C15473D" w14:textId="1F8AB2B0" w:rsidR="00FC10F6" w:rsidRPr="000A4511" w:rsidRDefault="00FC10F6" w:rsidP="00FC10F6">
            <w:pPr>
              <w:widowControl w:val="0"/>
              <w:autoSpaceDE w:val="0"/>
              <w:autoSpaceDN w:val="0"/>
              <w:adjustRightInd w:val="0"/>
              <w:jc w:val="center"/>
              <w:rPr>
                <w:sz w:val="20"/>
                <w:szCs w:val="20"/>
              </w:rPr>
            </w:pPr>
            <w:r w:rsidRPr="000A4511">
              <w:rPr>
                <w:sz w:val="20"/>
                <w:szCs w:val="20"/>
              </w:rPr>
              <w:t>0.003</w:t>
            </w:r>
          </w:p>
        </w:tc>
        <w:tc>
          <w:tcPr>
            <w:tcW w:w="1440" w:type="dxa"/>
            <w:tcBorders>
              <w:top w:val="nil"/>
              <w:left w:val="nil"/>
              <w:bottom w:val="nil"/>
              <w:right w:val="nil"/>
            </w:tcBorders>
          </w:tcPr>
          <w:p w14:paraId="775AA8ED"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-0.001</w:t>
            </w:r>
          </w:p>
        </w:tc>
        <w:tc>
          <w:tcPr>
            <w:tcW w:w="1624" w:type="dxa"/>
            <w:tcBorders>
              <w:top w:val="nil"/>
              <w:left w:val="nil"/>
              <w:bottom w:val="nil"/>
              <w:right w:val="nil"/>
            </w:tcBorders>
          </w:tcPr>
          <w:p w14:paraId="6C0F8E05"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2BC854D2" w14:textId="26F5D2D8" w:rsidR="00FC10F6" w:rsidRPr="00626311" w:rsidRDefault="00FC10F6" w:rsidP="00FC10F6">
            <w:pPr>
              <w:widowControl w:val="0"/>
              <w:autoSpaceDE w:val="0"/>
              <w:autoSpaceDN w:val="0"/>
              <w:adjustRightInd w:val="0"/>
              <w:jc w:val="center"/>
              <w:rPr>
                <w:sz w:val="20"/>
                <w:szCs w:val="20"/>
              </w:rPr>
            </w:pPr>
            <w:r w:rsidRPr="00140E7F">
              <w:rPr>
                <w:sz w:val="20"/>
                <w:szCs w:val="20"/>
              </w:rPr>
              <w:t>0.001</w:t>
            </w:r>
          </w:p>
        </w:tc>
      </w:tr>
      <w:tr w:rsidR="00FC10F6" w:rsidRPr="000A4511" w14:paraId="60D10867" w14:textId="77777777" w:rsidTr="00515E1E">
        <w:trPr>
          <w:jc w:val="center"/>
        </w:trPr>
        <w:tc>
          <w:tcPr>
            <w:tcW w:w="3133" w:type="dxa"/>
            <w:tcBorders>
              <w:top w:val="nil"/>
              <w:left w:val="nil"/>
              <w:bottom w:val="nil"/>
              <w:right w:val="nil"/>
            </w:tcBorders>
          </w:tcPr>
          <w:p w14:paraId="7FF9096B"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0FEB3859"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(0.001)</w:t>
            </w:r>
          </w:p>
        </w:tc>
        <w:tc>
          <w:tcPr>
            <w:tcW w:w="1440" w:type="dxa"/>
            <w:tcBorders>
              <w:top w:val="nil"/>
              <w:left w:val="nil"/>
              <w:bottom w:val="nil"/>
              <w:right w:val="nil"/>
            </w:tcBorders>
          </w:tcPr>
          <w:p w14:paraId="4DDD6627"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(0.001)</w:t>
            </w:r>
          </w:p>
        </w:tc>
        <w:tc>
          <w:tcPr>
            <w:tcW w:w="1624" w:type="dxa"/>
            <w:tcBorders>
              <w:top w:val="nil"/>
              <w:left w:val="nil"/>
              <w:bottom w:val="nil"/>
              <w:right w:val="nil"/>
            </w:tcBorders>
          </w:tcPr>
          <w:p w14:paraId="41A4CC5F"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6A41290F" w14:textId="1DF7B785" w:rsidR="00FC10F6" w:rsidRPr="00626311" w:rsidRDefault="00FC10F6" w:rsidP="00FC10F6">
            <w:pPr>
              <w:widowControl w:val="0"/>
              <w:autoSpaceDE w:val="0"/>
              <w:autoSpaceDN w:val="0"/>
              <w:adjustRightInd w:val="0"/>
              <w:jc w:val="center"/>
              <w:rPr>
                <w:sz w:val="20"/>
                <w:szCs w:val="20"/>
              </w:rPr>
            </w:pPr>
            <w:r w:rsidRPr="00140E7F">
              <w:rPr>
                <w:sz w:val="20"/>
                <w:szCs w:val="20"/>
              </w:rPr>
              <w:t>(0.000)</w:t>
            </w:r>
          </w:p>
        </w:tc>
      </w:tr>
      <w:tr w:rsidR="00FC10F6" w:rsidRPr="000A4511" w14:paraId="0E76AA0C" w14:textId="77777777" w:rsidTr="008E049E">
        <w:trPr>
          <w:jc w:val="center"/>
        </w:trPr>
        <w:tc>
          <w:tcPr>
            <w:tcW w:w="3133" w:type="dxa"/>
            <w:tcBorders>
              <w:top w:val="nil"/>
              <w:left w:val="nil"/>
              <w:bottom w:val="nil"/>
              <w:right w:val="nil"/>
            </w:tcBorders>
          </w:tcPr>
          <w:p w14:paraId="5D2E1682" w14:textId="24A81516" w:rsidR="00FC10F6" w:rsidRPr="000A4511" w:rsidRDefault="00FC10F6" w:rsidP="00FC10F6">
            <w:pPr>
              <w:widowControl w:val="0"/>
              <w:autoSpaceDE w:val="0"/>
              <w:autoSpaceDN w:val="0"/>
              <w:adjustRightInd w:val="0"/>
              <w:rPr>
                <w:sz w:val="20"/>
                <w:szCs w:val="20"/>
              </w:rPr>
            </w:pPr>
            <w:r>
              <w:rPr>
                <w:color w:val="000000"/>
                <w:kern w:val="24"/>
                <w:sz w:val="20"/>
                <w:szCs w:val="20"/>
                <w:lang w:eastAsia="en-GB"/>
              </w:rPr>
              <w:t>Agglomeration</w:t>
            </w:r>
          </w:p>
        </w:tc>
        <w:tc>
          <w:tcPr>
            <w:tcW w:w="1440" w:type="dxa"/>
            <w:tcBorders>
              <w:top w:val="nil"/>
              <w:left w:val="nil"/>
              <w:bottom w:val="nil"/>
              <w:right w:val="nil"/>
            </w:tcBorders>
          </w:tcPr>
          <w:p w14:paraId="4C225FF4" w14:textId="3FA67831" w:rsidR="00FC10F6" w:rsidRPr="000A4511" w:rsidRDefault="00FC10F6" w:rsidP="00FC10F6">
            <w:pPr>
              <w:widowControl w:val="0"/>
              <w:autoSpaceDE w:val="0"/>
              <w:autoSpaceDN w:val="0"/>
              <w:adjustRightInd w:val="0"/>
              <w:jc w:val="center"/>
              <w:rPr>
                <w:sz w:val="20"/>
                <w:szCs w:val="20"/>
              </w:rPr>
            </w:pPr>
            <w:r w:rsidRPr="000A4511">
              <w:rPr>
                <w:sz w:val="20"/>
                <w:szCs w:val="20"/>
              </w:rPr>
              <w:t>0.013</w:t>
            </w:r>
          </w:p>
        </w:tc>
        <w:tc>
          <w:tcPr>
            <w:tcW w:w="1440" w:type="dxa"/>
            <w:tcBorders>
              <w:top w:val="nil"/>
              <w:left w:val="nil"/>
              <w:bottom w:val="nil"/>
              <w:right w:val="nil"/>
            </w:tcBorders>
          </w:tcPr>
          <w:p w14:paraId="5DC7EE9A" w14:textId="705DD3D4" w:rsidR="00FC10F6" w:rsidRPr="000A4511" w:rsidRDefault="00FC10F6" w:rsidP="00FC10F6">
            <w:pPr>
              <w:widowControl w:val="0"/>
              <w:autoSpaceDE w:val="0"/>
              <w:autoSpaceDN w:val="0"/>
              <w:adjustRightInd w:val="0"/>
              <w:jc w:val="center"/>
              <w:rPr>
                <w:sz w:val="20"/>
                <w:szCs w:val="20"/>
              </w:rPr>
            </w:pPr>
            <w:r w:rsidRPr="000A4511">
              <w:rPr>
                <w:sz w:val="20"/>
                <w:szCs w:val="20"/>
              </w:rPr>
              <w:t>0.084</w:t>
            </w:r>
          </w:p>
        </w:tc>
        <w:tc>
          <w:tcPr>
            <w:tcW w:w="1624" w:type="dxa"/>
            <w:tcBorders>
              <w:top w:val="nil"/>
              <w:left w:val="nil"/>
              <w:bottom w:val="nil"/>
              <w:right w:val="nil"/>
            </w:tcBorders>
          </w:tcPr>
          <w:p w14:paraId="5A19776A"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1E0705CF" w14:textId="5A9458A9" w:rsidR="00FC10F6" w:rsidRPr="00626311" w:rsidRDefault="00FC10F6" w:rsidP="00FC10F6">
            <w:pPr>
              <w:widowControl w:val="0"/>
              <w:autoSpaceDE w:val="0"/>
              <w:autoSpaceDN w:val="0"/>
              <w:adjustRightInd w:val="0"/>
              <w:jc w:val="center"/>
              <w:rPr>
                <w:sz w:val="20"/>
                <w:szCs w:val="20"/>
              </w:rPr>
            </w:pPr>
            <w:r w:rsidRPr="00140E7F">
              <w:rPr>
                <w:sz w:val="20"/>
                <w:szCs w:val="20"/>
              </w:rPr>
              <w:t>0.037</w:t>
            </w:r>
          </w:p>
        </w:tc>
      </w:tr>
      <w:tr w:rsidR="00FC10F6" w:rsidRPr="000A4511" w14:paraId="7E749D11" w14:textId="77777777" w:rsidTr="008E049E">
        <w:trPr>
          <w:jc w:val="center"/>
        </w:trPr>
        <w:tc>
          <w:tcPr>
            <w:tcW w:w="3133" w:type="dxa"/>
            <w:tcBorders>
              <w:top w:val="nil"/>
              <w:left w:val="nil"/>
              <w:bottom w:val="nil"/>
              <w:right w:val="nil"/>
            </w:tcBorders>
          </w:tcPr>
          <w:p w14:paraId="79664BA6"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64710F78"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(0.003)</w:t>
            </w:r>
          </w:p>
        </w:tc>
        <w:tc>
          <w:tcPr>
            <w:tcW w:w="1440" w:type="dxa"/>
            <w:tcBorders>
              <w:top w:val="nil"/>
              <w:left w:val="nil"/>
              <w:bottom w:val="nil"/>
              <w:right w:val="nil"/>
            </w:tcBorders>
          </w:tcPr>
          <w:p w14:paraId="606B6BA6"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(0.005)</w:t>
            </w:r>
          </w:p>
        </w:tc>
        <w:tc>
          <w:tcPr>
            <w:tcW w:w="1624" w:type="dxa"/>
            <w:tcBorders>
              <w:top w:val="nil"/>
              <w:left w:val="nil"/>
              <w:bottom w:val="nil"/>
              <w:right w:val="nil"/>
            </w:tcBorders>
          </w:tcPr>
          <w:p w14:paraId="140D9F37"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69A1C7A3" w14:textId="41B8FB95" w:rsidR="00FC10F6" w:rsidRPr="00626311" w:rsidRDefault="00FC10F6" w:rsidP="00FC10F6">
            <w:pPr>
              <w:widowControl w:val="0"/>
              <w:autoSpaceDE w:val="0"/>
              <w:autoSpaceDN w:val="0"/>
              <w:adjustRightInd w:val="0"/>
              <w:jc w:val="center"/>
              <w:rPr>
                <w:sz w:val="20"/>
                <w:szCs w:val="20"/>
              </w:rPr>
            </w:pPr>
            <w:r w:rsidRPr="00140E7F">
              <w:rPr>
                <w:sz w:val="20"/>
                <w:szCs w:val="20"/>
              </w:rPr>
              <w:t>(0.002)</w:t>
            </w:r>
          </w:p>
        </w:tc>
      </w:tr>
      <w:tr w:rsidR="00FC10F6" w:rsidRPr="000A4511" w14:paraId="78B1D9AF" w14:textId="77777777" w:rsidTr="008E049E">
        <w:trPr>
          <w:jc w:val="center"/>
        </w:trPr>
        <w:tc>
          <w:tcPr>
            <w:tcW w:w="3133" w:type="dxa"/>
            <w:tcBorders>
              <w:top w:val="nil"/>
              <w:left w:val="nil"/>
              <w:bottom w:val="nil"/>
              <w:right w:val="nil"/>
            </w:tcBorders>
          </w:tcPr>
          <w:p w14:paraId="5ABA81BF" w14:textId="5F3DA796"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Trade</w:t>
            </w:r>
            <w:r>
              <w:rPr>
                <w:color w:val="000000"/>
                <w:kern w:val="24"/>
                <w:sz w:val="20"/>
                <w:szCs w:val="20"/>
                <w:lang w:eastAsia="en-GB"/>
              </w:rPr>
              <w:t xml:space="preserve"> openness</w:t>
            </w:r>
          </w:p>
        </w:tc>
        <w:tc>
          <w:tcPr>
            <w:tcW w:w="1440" w:type="dxa"/>
            <w:tcBorders>
              <w:top w:val="nil"/>
              <w:left w:val="nil"/>
              <w:bottom w:val="nil"/>
              <w:right w:val="nil"/>
            </w:tcBorders>
          </w:tcPr>
          <w:p w14:paraId="40105DDE" w14:textId="081A33EC" w:rsidR="00FC10F6" w:rsidRPr="000A4511" w:rsidRDefault="00FC10F6" w:rsidP="00FC10F6">
            <w:pPr>
              <w:widowControl w:val="0"/>
              <w:autoSpaceDE w:val="0"/>
              <w:autoSpaceDN w:val="0"/>
              <w:adjustRightInd w:val="0"/>
              <w:jc w:val="center"/>
              <w:rPr>
                <w:sz w:val="20"/>
                <w:szCs w:val="20"/>
              </w:rPr>
            </w:pPr>
            <w:r w:rsidRPr="000A4511">
              <w:rPr>
                <w:sz w:val="20"/>
                <w:szCs w:val="20"/>
              </w:rPr>
              <w:t>0.010</w:t>
            </w:r>
          </w:p>
        </w:tc>
        <w:tc>
          <w:tcPr>
            <w:tcW w:w="1440" w:type="dxa"/>
            <w:tcBorders>
              <w:top w:val="nil"/>
              <w:left w:val="nil"/>
              <w:bottom w:val="nil"/>
              <w:right w:val="nil"/>
            </w:tcBorders>
          </w:tcPr>
          <w:p w14:paraId="4EEDF38D" w14:textId="7046A71E" w:rsidR="00FC10F6" w:rsidRPr="000A4511" w:rsidRDefault="00FC10F6" w:rsidP="00FC10F6">
            <w:pPr>
              <w:widowControl w:val="0"/>
              <w:autoSpaceDE w:val="0"/>
              <w:autoSpaceDN w:val="0"/>
              <w:adjustRightInd w:val="0"/>
              <w:jc w:val="center"/>
              <w:rPr>
                <w:sz w:val="20"/>
                <w:szCs w:val="20"/>
              </w:rPr>
            </w:pPr>
            <w:r w:rsidRPr="000A4511">
              <w:rPr>
                <w:sz w:val="20"/>
                <w:szCs w:val="20"/>
              </w:rPr>
              <w:t>0.009</w:t>
            </w:r>
          </w:p>
        </w:tc>
        <w:tc>
          <w:tcPr>
            <w:tcW w:w="1624" w:type="dxa"/>
            <w:tcBorders>
              <w:top w:val="nil"/>
              <w:left w:val="nil"/>
              <w:bottom w:val="nil"/>
              <w:right w:val="nil"/>
            </w:tcBorders>
          </w:tcPr>
          <w:p w14:paraId="19A54343"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74122F6A" w14:textId="6186278D" w:rsidR="00FC10F6" w:rsidRPr="00626311" w:rsidRDefault="00FC10F6" w:rsidP="00FC10F6">
            <w:pPr>
              <w:widowControl w:val="0"/>
              <w:autoSpaceDE w:val="0"/>
              <w:autoSpaceDN w:val="0"/>
              <w:adjustRightInd w:val="0"/>
              <w:jc w:val="center"/>
              <w:rPr>
                <w:sz w:val="20"/>
                <w:szCs w:val="20"/>
              </w:rPr>
            </w:pPr>
            <w:r w:rsidRPr="00140E7F">
              <w:rPr>
                <w:sz w:val="20"/>
                <w:szCs w:val="20"/>
              </w:rPr>
              <w:t>0.010</w:t>
            </w:r>
          </w:p>
        </w:tc>
      </w:tr>
      <w:tr w:rsidR="00FC10F6" w:rsidRPr="000A4511" w14:paraId="3B1C4787" w14:textId="77777777" w:rsidTr="008E049E">
        <w:trPr>
          <w:jc w:val="center"/>
        </w:trPr>
        <w:tc>
          <w:tcPr>
            <w:tcW w:w="3133" w:type="dxa"/>
            <w:tcBorders>
              <w:top w:val="nil"/>
              <w:left w:val="nil"/>
              <w:bottom w:val="nil"/>
              <w:right w:val="nil"/>
            </w:tcBorders>
          </w:tcPr>
          <w:p w14:paraId="59F9093B"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41E4039C"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(0.000)</w:t>
            </w:r>
          </w:p>
        </w:tc>
        <w:tc>
          <w:tcPr>
            <w:tcW w:w="1440" w:type="dxa"/>
            <w:tcBorders>
              <w:top w:val="nil"/>
              <w:left w:val="nil"/>
              <w:bottom w:val="nil"/>
              <w:right w:val="nil"/>
            </w:tcBorders>
          </w:tcPr>
          <w:p w14:paraId="636B5614"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(0.000)</w:t>
            </w:r>
          </w:p>
        </w:tc>
        <w:tc>
          <w:tcPr>
            <w:tcW w:w="1624" w:type="dxa"/>
            <w:tcBorders>
              <w:top w:val="nil"/>
              <w:left w:val="nil"/>
              <w:bottom w:val="nil"/>
              <w:right w:val="nil"/>
            </w:tcBorders>
          </w:tcPr>
          <w:p w14:paraId="27D23860"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46C97F0F" w14:textId="1D4AE943" w:rsidR="00FC10F6" w:rsidRPr="00626311" w:rsidRDefault="00FC10F6" w:rsidP="00FC10F6">
            <w:pPr>
              <w:widowControl w:val="0"/>
              <w:autoSpaceDE w:val="0"/>
              <w:autoSpaceDN w:val="0"/>
              <w:adjustRightInd w:val="0"/>
              <w:jc w:val="center"/>
              <w:rPr>
                <w:sz w:val="20"/>
                <w:szCs w:val="20"/>
              </w:rPr>
            </w:pPr>
            <w:r w:rsidRPr="00140E7F">
              <w:rPr>
                <w:sz w:val="20"/>
                <w:szCs w:val="20"/>
              </w:rPr>
              <w:t>(0.000)</w:t>
            </w:r>
          </w:p>
        </w:tc>
      </w:tr>
      <w:tr w:rsidR="00FC10F6" w:rsidRPr="000A4511" w14:paraId="373769F1" w14:textId="77777777" w:rsidTr="00515E1E">
        <w:trPr>
          <w:jc w:val="center"/>
        </w:trPr>
        <w:tc>
          <w:tcPr>
            <w:tcW w:w="3133" w:type="dxa"/>
            <w:tcBorders>
              <w:top w:val="nil"/>
              <w:left w:val="nil"/>
              <w:bottom w:val="nil"/>
              <w:right w:val="nil"/>
            </w:tcBorders>
          </w:tcPr>
          <w:p w14:paraId="14430ACC" w14:textId="77777777" w:rsidR="00FC10F6" w:rsidRPr="000A4511" w:rsidRDefault="00FC10F6" w:rsidP="00FC10F6">
            <w:pPr>
              <w:widowControl w:val="0"/>
              <w:autoSpaceDE w:val="0"/>
              <w:autoSpaceDN w:val="0"/>
              <w:adjustRightInd w:val="0"/>
              <w:rPr>
                <w:sz w:val="20"/>
                <w:szCs w:val="20"/>
              </w:rPr>
            </w:pPr>
            <w:r w:rsidRPr="000A4511">
              <w:rPr>
                <w:color w:val="000000"/>
                <w:kern w:val="24"/>
                <w:sz w:val="20"/>
                <w:szCs w:val="20"/>
                <w:lang w:eastAsia="en-GB"/>
              </w:rPr>
              <w:t>Manufacturing</w:t>
            </w:r>
          </w:p>
        </w:tc>
        <w:tc>
          <w:tcPr>
            <w:tcW w:w="1440" w:type="dxa"/>
            <w:tcBorders>
              <w:top w:val="nil"/>
              <w:left w:val="nil"/>
              <w:bottom w:val="nil"/>
              <w:right w:val="nil"/>
            </w:tcBorders>
          </w:tcPr>
          <w:p w14:paraId="6B01EFAD" w14:textId="72A83D96" w:rsidR="00FC10F6" w:rsidRPr="000A4511" w:rsidRDefault="00FC10F6" w:rsidP="00FC10F6">
            <w:pPr>
              <w:widowControl w:val="0"/>
              <w:autoSpaceDE w:val="0"/>
              <w:autoSpaceDN w:val="0"/>
              <w:adjustRightInd w:val="0"/>
              <w:jc w:val="center"/>
              <w:rPr>
                <w:sz w:val="20"/>
                <w:szCs w:val="20"/>
              </w:rPr>
            </w:pPr>
            <w:r w:rsidRPr="000A4511">
              <w:rPr>
                <w:sz w:val="20"/>
                <w:szCs w:val="20"/>
              </w:rPr>
              <w:t>0.158</w:t>
            </w:r>
          </w:p>
        </w:tc>
        <w:tc>
          <w:tcPr>
            <w:tcW w:w="1440" w:type="dxa"/>
            <w:tcBorders>
              <w:top w:val="nil"/>
              <w:left w:val="nil"/>
              <w:bottom w:val="nil"/>
              <w:right w:val="nil"/>
            </w:tcBorders>
          </w:tcPr>
          <w:p w14:paraId="4454A932" w14:textId="3B4F9CE0" w:rsidR="00FC10F6" w:rsidRPr="000A4511" w:rsidRDefault="00FC10F6" w:rsidP="00FC10F6">
            <w:pPr>
              <w:widowControl w:val="0"/>
              <w:autoSpaceDE w:val="0"/>
              <w:autoSpaceDN w:val="0"/>
              <w:adjustRightInd w:val="0"/>
              <w:jc w:val="center"/>
              <w:rPr>
                <w:sz w:val="20"/>
                <w:szCs w:val="20"/>
              </w:rPr>
            </w:pPr>
            <w:r w:rsidRPr="000A4511">
              <w:rPr>
                <w:sz w:val="20"/>
                <w:szCs w:val="20"/>
              </w:rPr>
              <w:t>0.027</w:t>
            </w:r>
          </w:p>
        </w:tc>
        <w:tc>
          <w:tcPr>
            <w:tcW w:w="1624" w:type="dxa"/>
            <w:tcBorders>
              <w:top w:val="nil"/>
              <w:left w:val="nil"/>
              <w:bottom w:val="nil"/>
              <w:right w:val="nil"/>
            </w:tcBorders>
          </w:tcPr>
          <w:p w14:paraId="7EEBCBFC"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36FD872C" w14:textId="7842211A" w:rsidR="00FC10F6" w:rsidRPr="00626311" w:rsidRDefault="00FC10F6" w:rsidP="00FC10F6">
            <w:pPr>
              <w:widowControl w:val="0"/>
              <w:autoSpaceDE w:val="0"/>
              <w:autoSpaceDN w:val="0"/>
              <w:adjustRightInd w:val="0"/>
              <w:jc w:val="center"/>
              <w:rPr>
                <w:sz w:val="20"/>
                <w:szCs w:val="20"/>
              </w:rPr>
            </w:pPr>
            <w:r w:rsidRPr="00140E7F">
              <w:rPr>
                <w:sz w:val="20"/>
                <w:szCs w:val="20"/>
              </w:rPr>
              <w:t>0.045</w:t>
            </w:r>
          </w:p>
        </w:tc>
      </w:tr>
      <w:tr w:rsidR="00FC10F6" w:rsidRPr="000A4511" w14:paraId="7ADB81ED" w14:textId="77777777" w:rsidTr="00515E1E">
        <w:trPr>
          <w:jc w:val="center"/>
        </w:trPr>
        <w:tc>
          <w:tcPr>
            <w:tcW w:w="3133" w:type="dxa"/>
            <w:tcBorders>
              <w:top w:val="nil"/>
              <w:left w:val="nil"/>
              <w:bottom w:val="nil"/>
              <w:right w:val="nil"/>
            </w:tcBorders>
          </w:tcPr>
          <w:p w14:paraId="63E81CEA"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5AAA1918"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(0.003)</w:t>
            </w:r>
          </w:p>
        </w:tc>
        <w:tc>
          <w:tcPr>
            <w:tcW w:w="1440" w:type="dxa"/>
            <w:tcBorders>
              <w:top w:val="nil"/>
              <w:left w:val="nil"/>
              <w:bottom w:val="nil"/>
              <w:right w:val="nil"/>
            </w:tcBorders>
          </w:tcPr>
          <w:p w14:paraId="4A9190A0"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(0.001)</w:t>
            </w:r>
          </w:p>
        </w:tc>
        <w:tc>
          <w:tcPr>
            <w:tcW w:w="1624" w:type="dxa"/>
            <w:tcBorders>
              <w:top w:val="nil"/>
              <w:left w:val="nil"/>
              <w:bottom w:val="nil"/>
              <w:right w:val="nil"/>
            </w:tcBorders>
          </w:tcPr>
          <w:p w14:paraId="4D661AF9"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61259BEB" w14:textId="7BFE87CB" w:rsidR="00FC10F6" w:rsidRPr="00626311" w:rsidRDefault="00FC10F6" w:rsidP="00FC10F6">
            <w:pPr>
              <w:widowControl w:val="0"/>
              <w:autoSpaceDE w:val="0"/>
              <w:autoSpaceDN w:val="0"/>
              <w:adjustRightInd w:val="0"/>
              <w:jc w:val="center"/>
              <w:rPr>
                <w:sz w:val="20"/>
                <w:szCs w:val="20"/>
              </w:rPr>
            </w:pPr>
            <w:r w:rsidRPr="00140E7F">
              <w:rPr>
                <w:sz w:val="20"/>
                <w:szCs w:val="20"/>
              </w:rPr>
              <w:t>(0.001)</w:t>
            </w:r>
          </w:p>
        </w:tc>
      </w:tr>
      <w:tr w:rsidR="00FC10F6" w:rsidRPr="000A4511" w14:paraId="58279B6A" w14:textId="77777777" w:rsidTr="00515E1E">
        <w:trPr>
          <w:jc w:val="center"/>
        </w:trPr>
        <w:tc>
          <w:tcPr>
            <w:tcW w:w="3133" w:type="dxa"/>
            <w:tcBorders>
              <w:top w:val="nil"/>
              <w:left w:val="nil"/>
              <w:bottom w:val="nil"/>
              <w:right w:val="nil"/>
            </w:tcBorders>
          </w:tcPr>
          <w:p w14:paraId="4E48030F" w14:textId="77777777" w:rsidR="00FC10F6" w:rsidRPr="000A4511" w:rsidRDefault="00FC10F6" w:rsidP="00FC10F6">
            <w:pPr>
              <w:widowControl w:val="0"/>
              <w:autoSpaceDE w:val="0"/>
              <w:autoSpaceDN w:val="0"/>
              <w:adjustRightInd w:val="0"/>
              <w:rPr>
                <w:sz w:val="20"/>
                <w:szCs w:val="20"/>
              </w:rPr>
            </w:pPr>
            <w:r w:rsidRPr="000A4511">
              <w:rPr>
                <w:sz w:val="20"/>
                <w:szCs w:val="20"/>
              </w:rPr>
              <w:t>Common Language</w:t>
            </w:r>
          </w:p>
        </w:tc>
        <w:tc>
          <w:tcPr>
            <w:tcW w:w="1440" w:type="dxa"/>
            <w:tcBorders>
              <w:top w:val="nil"/>
              <w:left w:val="nil"/>
              <w:bottom w:val="nil"/>
              <w:right w:val="nil"/>
            </w:tcBorders>
          </w:tcPr>
          <w:p w14:paraId="3BAA3769" w14:textId="1BFCD995" w:rsidR="00FC10F6" w:rsidRPr="000A4511" w:rsidRDefault="00FC10F6" w:rsidP="00FC10F6">
            <w:pPr>
              <w:widowControl w:val="0"/>
              <w:autoSpaceDE w:val="0"/>
              <w:autoSpaceDN w:val="0"/>
              <w:adjustRightInd w:val="0"/>
              <w:jc w:val="center"/>
              <w:rPr>
                <w:sz w:val="20"/>
                <w:szCs w:val="20"/>
              </w:rPr>
            </w:pPr>
            <w:r w:rsidRPr="000A4511">
              <w:rPr>
                <w:sz w:val="20"/>
                <w:szCs w:val="20"/>
              </w:rPr>
              <w:t>1.469</w:t>
            </w:r>
          </w:p>
        </w:tc>
        <w:tc>
          <w:tcPr>
            <w:tcW w:w="1440" w:type="dxa"/>
            <w:tcBorders>
              <w:top w:val="nil"/>
              <w:left w:val="nil"/>
              <w:bottom w:val="nil"/>
              <w:right w:val="nil"/>
            </w:tcBorders>
          </w:tcPr>
          <w:p w14:paraId="0C1C8346" w14:textId="4E33FBC6" w:rsidR="00FC10F6" w:rsidRPr="000A4511" w:rsidRDefault="00FC10F6" w:rsidP="00FC10F6">
            <w:pPr>
              <w:widowControl w:val="0"/>
              <w:autoSpaceDE w:val="0"/>
              <w:autoSpaceDN w:val="0"/>
              <w:adjustRightInd w:val="0"/>
              <w:jc w:val="center"/>
              <w:rPr>
                <w:sz w:val="20"/>
                <w:szCs w:val="20"/>
              </w:rPr>
            </w:pPr>
            <w:r w:rsidRPr="000A4511">
              <w:rPr>
                <w:sz w:val="20"/>
                <w:szCs w:val="20"/>
              </w:rPr>
              <w:t>0.170</w:t>
            </w:r>
          </w:p>
        </w:tc>
        <w:tc>
          <w:tcPr>
            <w:tcW w:w="1624" w:type="dxa"/>
            <w:tcBorders>
              <w:top w:val="nil"/>
              <w:left w:val="nil"/>
              <w:bottom w:val="nil"/>
              <w:right w:val="nil"/>
            </w:tcBorders>
          </w:tcPr>
          <w:p w14:paraId="3CE4DCE3"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32FABCBE" w14:textId="3B4EC22E" w:rsidR="00FC10F6" w:rsidRPr="00626311" w:rsidRDefault="00FC10F6" w:rsidP="00FC10F6">
            <w:pPr>
              <w:widowControl w:val="0"/>
              <w:autoSpaceDE w:val="0"/>
              <w:autoSpaceDN w:val="0"/>
              <w:adjustRightInd w:val="0"/>
              <w:jc w:val="center"/>
              <w:rPr>
                <w:sz w:val="20"/>
                <w:szCs w:val="20"/>
              </w:rPr>
            </w:pPr>
            <w:r w:rsidRPr="00140E7F">
              <w:rPr>
                <w:sz w:val="20"/>
                <w:szCs w:val="20"/>
              </w:rPr>
              <w:t>0.302</w:t>
            </w:r>
          </w:p>
        </w:tc>
      </w:tr>
      <w:tr w:rsidR="00FC10F6" w:rsidRPr="000A4511" w14:paraId="3E4C9128" w14:textId="77777777" w:rsidTr="00515E1E">
        <w:trPr>
          <w:jc w:val="center"/>
        </w:trPr>
        <w:tc>
          <w:tcPr>
            <w:tcW w:w="3133" w:type="dxa"/>
            <w:tcBorders>
              <w:top w:val="nil"/>
              <w:left w:val="nil"/>
              <w:bottom w:val="nil"/>
              <w:right w:val="nil"/>
            </w:tcBorders>
          </w:tcPr>
          <w:p w14:paraId="02821BE9"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54756A6C"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(0.054)</w:t>
            </w:r>
          </w:p>
        </w:tc>
        <w:tc>
          <w:tcPr>
            <w:tcW w:w="1440" w:type="dxa"/>
            <w:tcBorders>
              <w:top w:val="nil"/>
              <w:left w:val="nil"/>
              <w:bottom w:val="nil"/>
              <w:right w:val="nil"/>
            </w:tcBorders>
          </w:tcPr>
          <w:p w14:paraId="37809498"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(0.015)</w:t>
            </w:r>
          </w:p>
        </w:tc>
        <w:tc>
          <w:tcPr>
            <w:tcW w:w="1624" w:type="dxa"/>
            <w:tcBorders>
              <w:top w:val="nil"/>
              <w:left w:val="nil"/>
              <w:bottom w:val="nil"/>
              <w:right w:val="nil"/>
            </w:tcBorders>
          </w:tcPr>
          <w:p w14:paraId="5AD15027"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2AFCC634" w14:textId="6B16C61B" w:rsidR="00FC10F6" w:rsidRPr="00626311" w:rsidRDefault="00FC10F6" w:rsidP="00FC10F6">
            <w:pPr>
              <w:widowControl w:val="0"/>
              <w:autoSpaceDE w:val="0"/>
              <w:autoSpaceDN w:val="0"/>
              <w:adjustRightInd w:val="0"/>
              <w:jc w:val="center"/>
              <w:rPr>
                <w:sz w:val="20"/>
                <w:szCs w:val="20"/>
              </w:rPr>
            </w:pPr>
            <w:r w:rsidRPr="00140E7F">
              <w:rPr>
                <w:sz w:val="20"/>
                <w:szCs w:val="20"/>
              </w:rPr>
              <w:t>(0.014)</w:t>
            </w:r>
          </w:p>
        </w:tc>
      </w:tr>
      <w:tr w:rsidR="00FC10F6" w:rsidRPr="000A4511" w14:paraId="4B2BA2A4" w14:textId="77777777" w:rsidTr="008E049E">
        <w:trPr>
          <w:jc w:val="center"/>
        </w:trPr>
        <w:tc>
          <w:tcPr>
            <w:tcW w:w="3133" w:type="dxa"/>
            <w:tcBorders>
              <w:top w:val="nil"/>
              <w:left w:val="nil"/>
              <w:bottom w:val="nil"/>
              <w:right w:val="nil"/>
            </w:tcBorders>
          </w:tcPr>
          <w:p w14:paraId="46F0E128" w14:textId="77777777" w:rsidR="00FC10F6" w:rsidRPr="000A4511" w:rsidRDefault="00FC10F6" w:rsidP="00FC10F6">
            <w:pPr>
              <w:widowControl w:val="0"/>
              <w:autoSpaceDE w:val="0"/>
              <w:autoSpaceDN w:val="0"/>
              <w:adjustRightInd w:val="0"/>
              <w:rPr>
                <w:sz w:val="20"/>
                <w:szCs w:val="20"/>
              </w:rPr>
            </w:pPr>
          </w:p>
        </w:tc>
        <w:tc>
          <w:tcPr>
            <w:tcW w:w="1440" w:type="dxa"/>
            <w:tcBorders>
              <w:top w:val="nil"/>
              <w:left w:val="nil"/>
              <w:bottom w:val="nil"/>
              <w:right w:val="nil"/>
            </w:tcBorders>
          </w:tcPr>
          <w:p w14:paraId="21FA9094"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24893776" w14:textId="77777777" w:rsidR="00FC10F6" w:rsidRPr="000A4511" w:rsidRDefault="00FC10F6" w:rsidP="00FC10F6">
            <w:pPr>
              <w:widowControl w:val="0"/>
              <w:autoSpaceDE w:val="0"/>
              <w:autoSpaceDN w:val="0"/>
              <w:adjustRightInd w:val="0"/>
              <w:jc w:val="center"/>
              <w:rPr>
                <w:sz w:val="20"/>
                <w:szCs w:val="20"/>
              </w:rPr>
            </w:pPr>
          </w:p>
        </w:tc>
        <w:tc>
          <w:tcPr>
            <w:tcW w:w="1624" w:type="dxa"/>
            <w:tcBorders>
              <w:top w:val="nil"/>
              <w:left w:val="nil"/>
              <w:bottom w:val="nil"/>
              <w:right w:val="nil"/>
            </w:tcBorders>
          </w:tcPr>
          <w:p w14:paraId="3F217E76"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02FD517C" w14:textId="77777777" w:rsidR="00FC10F6" w:rsidRPr="00626311" w:rsidRDefault="00FC10F6" w:rsidP="00FC10F6">
            <w:pPr>
              <w:widowControl w:val="0"/>
              <w:autoSpaceDE w:val="0"/>
              <w:autoSpaceDN w:val="0"/>
              <w:adjustRightInd w:val="0"/>
              <w:jc w:val="center"/>
              <w:rPr>
                <w:sz w:val="20"/>
                <w:szCs w:val="20"/>
              </w:rPr>
            </w:pPr>
          </w:p>
        </w:tc>
      </w:tr>
      <w:tr w:rsidR="00FC10F6" w:rsidRPr="000A4511" w14:paraId="67A7C1B0" w14:textId="77777777" w:rsidTr="008E049E">
        <w:trPr>
          <w:jc w:val="center"/>
        </w:trPr>
        <w:tc>
          <w:tcPr>
            <w:tcW w:w="3133" w:type="dxa"/>
            <w:tcBorders>
              <w:top w:val="nil"/>
              <w:left w:val="nil"/>
              <w:bottom w:val="nil"/>
              <w:right w:val="nil"/>
            </w:tcBorders>
          </w:tcPr>
          <w:p w14:paraId="640B47F1" w14:textId="77777777" w:rsidR="00FC10F6" w:rsidRPr="000A4511" w:rsidRDefault="00FC10F6" w:rsidP="00FC10F6">
            <w:pPr>
              <w:widowControl w:val="0"/>
              <w:autoSpaceDE w:val="0"/>
              <w:autoSpaceDN w:val="0"/>
              <w:adjustRightInd w:val="0"/>
              <w:rPr>
                <w:sz w:val="20"/>
                <w:szCs w:val="20"/>
              </w:rPr>
            </w:pPr>
            <w:r w:rsidRPr="000A4511">
              <w:rPr>
                <w:sz w:val="20"/>
                <w:szCs w:val="20"/>
              </w:rPr>
              <w:t>Observations</w:t>
            </w:r>
          </w:p>
        </w:tc>
        <w:tc>
          <w:tcPr>
            <w:tcW w:w="1440" w:type="dxa"/>
            <w:tcBorders>
              <w:top w:val="nil"/>
              <w:left w:val="nil"/>
              <w:bottom w:val="nil"/>
              <w:right w:val="nil"/>
            </w:tcBorders>
          </w:tcPr>
          <w:p w14:paraId="1FD3DBA5"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401,110</w:t>
            </w:r>
          </w:p>
        </w:tc>
        <w:tc>
          <w:tcPr>
            <w:tcW w:w="1440" w:type="dxa"/>
            <w:tcBorders>
              <w:top w:val="nil"/>
              <w:left w:val="nil"/>
              <w:bottom w:val="nil"/>
              <w:right w:val="nil"/>
            </w:tcBorders>
          </w:tcPr>
          <w:p w14:paraId="1D9DFC6B" w14:textId="77777777" w:rsidR="00FC10F6" w:rsidRPr="000A4511" w:rsidRDefault="00FC10F6" w:rsidP="00FC10F6">
            <w:pPr>
              <w:widowControl w:val="0"/>
              <w:autoSpaceDE w:val="0"/>
              <w:autoSpaceDN w:val="0"/>
              <w:adjustRightInd w:val="0"/>
              <w:jc w:val="center"/>
              <w:rPr>
                <w:sz w:val="20"/>
                <w:szCs w:val="20"/>
              </w:rPr>
            </w:pPr>
            <w:r w:rsidRPr="000A4511">
              <w:rPr>
                <w:sz w:val="20"/>
                <w:szCs w:val="20"/>
              </w:rPr>
              <w:t>1,215,284</w:t>
            </w:r>
          </w:p>
        </w:tc>
        <w:tc>
          <w:tcPr>
            <w:tcW w:w="1624" w:type="dxa"/>
            <w:tcBorders>
              <w:top w:val="nil"/>
              <w:left w:val="nil"/>
              <w:bottom w:val="nil"/>
              <w:right w:val="nil"/>
            </w:tcBorders>
          </w:tcPr>
          <w:p w14:paraId="50E9668B"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nil"/>
              <w:right w:val="nil"/>
            </w:tcBorders>
          </w:tcPr>
          <w:p w14:paraId="250FBBE3" w14:textId="77777777" w:rsidR="00FC10F6" w:rsidRPr="00626311" w:rsidRDefault="00FC10F6" w:rsidP="00FC10F6">
            <w:pPr>
              <w:widowControl w:val="0"/>
              <w:autoSpaceDE w:val="0"/>
              <w:autoSpaceDN w:val="0"/>
              <w:adjustRightInd w:val="0"/>
              <w:jc w:val="center"/>
              <w:rPr>
                <w:sz w:val="20"/>
                <w:szCs w:val="20"/>
              </w:rPr>
            </w:pPr>
            <w:r w:rsidRPr="00626311">
              <w:rPr>
                <w:sz w:val="20"/>
                <w:szCs w:val="20"/>
              </w:rPr>
              <w:t>1,616,394</w:t>
            </w:r>
          </w:p>
        </w:tc>
      </w:tr>
      <w:tr w:rsidR="00FC10F6" w:rsidRPr="000A4511" w14:paraId="6DFB1CEB" w14:textId="77777777" w:rsidTr="008E049E">
        <w:tblPrEx>
          <w:tblBorders>
            <w:bottom w:val="single" w:sz="6" w:space="0" w:color="auto"/>
          </w:tblBorders>
        </w:tblPrEx>
        <w:trPr>
          <w:jc w:val="center"/>
        </w:trPr>
        <w:tc>
          <w:tcPr>
            <w:tcW w:w="3133" w:type="dxa"/>
            <w:tcBorders>
              <w:top w:val="nil"/>
              <w:left w:val="nil"/>
              <w:bottom w:val="single" w:sz="6" w:space="0" w:color="auto"/>
              <w:right w:val="nil"/>
            </w:tcBorders>
          </w:tcPr>
          <w:p w14:paraId="29BE6F0E" w14:textId="77777777" w:rsidR="00FC10F6" w:rsidRPr="000A4511" w:rsidRDefault="00FC10F6" w:rsidP="00FC10F6">
            <w:pPr>
              <w:widowControl w:val="0"/>
              <w:autoSpaceDE w:val="0"/>
              <w:autoSpaceDN w:val="0"/>
              <w:adjustRightInd w:val="0"/>
              <w:rPr>
                <w:sz w:val="20"/>
                <w:szCs w:val="20"/>
              </w:rPr>
            </w:pPr>
            <w:r w:rsidRPr="000A4511">
              <w:rPr>
                <w:sz w:val="20"/>
                <w:szCs w:val="20"/>
              </w:rPr>
              <w:t>Pseudo R2</w:t>
            </w:r>
          </w:p>
        </w:tc>
        <w:tc>
          <w:tcPr>
            <w:tcW w:w="1440" w:type="dxa"/>
            <w:tcBorders>
              <w:top w:val="nil"/>
              <w:left w:val="nil"/>
              <w:bottom w:val="single" w:sz="6" w:space="0" w:color="auto"/>
              <w:right w:val="nil"/>
            </w:tcBorders>
          </w:tcPr>
          <w:p w14:paraId="09B73811" w14:textId="1D4466A4" w:rsidR="00FC10F6" w:rsidRPr="000A4511" w:rsidRDefault="00FC10F6" w:rsidP="00FC10F6">
            <w:pPr>
              <w:widowControl w:val="0"/>
              <w:autoSpaceDE w:val="0"/>
              <w:autoSpaceDN w:val="0"/>
              <w:adjustRightInd w:val="0"/>
              <w:jc w:val="center"/>
              <w:rPr>
                <w:sz w:val="20"/>
                <w:szCs w:val="20"/>
              </w:rPr>
            </w:pPr>
            <w:r>
              <w:rPr>
                <w:sz w:val="20"/>
                <w:szCs w:val="20"/>
              </w:rPr>
              <w:t>0.304</w:t>
            </w:r>
          </w:p>
        </w:tc>
        <w:tc>
          <w:tcPr>
            <w:tcW w:w="1440" w:type="dxa"/>
            <w:tcBorders>
              <w:top w:val="nil"/>
              <w:left w:val="nil"/>
              <w:bottom w:val="single" w:sz="6" w:space="0" w:color="auto"/>
              <w:right w:val="nil"/>
            </w:tcBorders>
          </w:tcPr>
          <w:p w14:paraId="54EE9EB2" w14:textId="17A0E3AB" w:rsidR="00FC10F6" w:rsidRPr="000A4511" w:rsidRDefault="00FC10F6" w:rsidP="00FC10F6">
            <w:pPr>
              <w:widowControl w:val="0"/>
              <w:autoSpaceDE w:val="0"/>
              <w:autoSpaceDN w:val="0"/>
              <w:adjustRightInd w:val="0"/>
              <w:jc w:val="center"/>
              <w:rPr>
                <w:sz w:val="20"/>
                <w:szCs w:val="20"/>
              </w:rPr>
            </w:pPr>
            <w:r>
              <w:rPr>
                <w:sz w:val="20"/>
                <w:szCs w:val="20"/>
              </w:rPr>
              <w:t>0.099</w:t>
            </w:r>
          </w:p>
        </w:tc>
        <w:tc>
          <w:tcPr>
            <w:tcW w:w="1624" w:type="dxa"/>
            <w:tcBorders>
              <w:top w:val="nil"/>
              <w:left w:val="nil"/>
              <w:bottom w:val="single" w:sz="6" w:space="0" w:color="auto"/>
              <w:right w:val="nil"/>
            </w:tcBorders>
          </w:tcPr>
          <w:p w14:paraId="614AE72E" w14:textId="77777777" w:rsidR="00FC10F6" w:rsidRPr="000A4511" w:rsidRDefault="00FC10F6" w:rsidP="00FC10F6">
            <w:pPr>
              <w:widowControl w:val="0"/>
              <w:autoSpaceDE w:val="0"/>
              <w:autoSpaceDN w:val="0"/>
              <w:adjustRightInd w:val="0"/>
              <w:jc w:val="center"/>
              <w:rPr>
                <w:sz w:val="20"/>
                <w:szCs w:val="20"/>
              </w:rPr>
            </w:pPr>
          </w:p>
        </w:tc>
        <w:tc>
          <w:tcPr>
            <w:tcW w:w="1440" w:type="dxa"/>
            <w:tcBorders>
              <w:top w:val="nil"/>
              <w:left w:val="nil"/>
              <w:bottom w:val="single" w:sz="6" w:space="0" w:color="auto"/>
              <w:right w:val="nil"/>
            </w:tcBorders>
          </w:tcPr>
          <w:p w14:paraId="1193CBB8" w14:textId="63BAEBC6" w:rsidR="00FC10F6" w:rsidRPr="00626311" w:rsidRDefault="00FC10F6" w:rsidP="00FC10F6">
            <w:pPr>
              <w:widowControl w:val="0"/>
              <w:autoSpaceDE w:val="0"/>
              <w:autoSpaceDN w:val="0"/>
              <w:adjustRightInd w:val="0"/>
              <w:jc w:val="center"/>
              <w:rPr>
                <w:sz w:val="20"/>
                <w:szCs w:val="20"/>
              </w:rPr>
            </w:pPr>
            <w:r w:rsidRPr="00626311">
              <w:rPr>
                <w:sz w:val="20"/>
                <w:szCs w:val="20"/>
              </w:rPr>
              <w:t>0.14</w:t>
            </w:r>
            <w:r>
              <w:rPr>
                <w:sz w:val="20"/>
                <w:szCs w:val="20"/>
              </w:rPr>
              <w:t>3</w:t>
            </w:r>
          </w:p>
        </w:tc>
      </w:tr>
    </w:tbl>
    <w:p w14:paraId="559163B9" w14:textId="554CF6FA" w:rsidR="00776FFA" w:rsidRPr="000A4511" w:rsidRDefault="00776FFA" w:rsidP="00776FFA">
      <w:pPr>
        <w:widowControl w:val="0"/>
        <w:autoSpaceDE w:val="0"/>
        <w:autoSpaceDN w:val="0"/>
        <w:adjustRightInd w:val="0"/>
        <w:jc w:val="center"/>
        <w:rPr>
          <w:color w:val="000000"/>
          <w:kern w:val="24"/>
          <w:sz w:val="20"/>
          <w:szCs w:val="20"/>
        </w:rPr>
      </w:pPr>
      <w:r w:rsidRPr="000A4511">
        <w:rPr>
          <w:color w:val="000000"/>
          <w:kern w:val="24"/>
          <w:sz w:val="20"/>
          <w:szCs w:val="20"/>
        </w:rPr>
        <w:t>Robust standard errors in parentheses</w:t>
      </w:r>
      <w:r w:rsidR="00623157">
        <w:rPr>
          <w:color w:val="000000"/>
          <w:kern w:val="24"/>
          <w:sz w:val="20"/>
          <w:szCs w:val="20"/>
        </w:rPr>
        <w:t>, clustered at the firm level</w:t>
      </w:r>
      <w:r w:rsidRPr="000A4511">
        <w:rPr>
          <w:color w:val="000000"/>
          <w:kern w:val="24"/>
          <w:sz w:val="20"/>
          <w:szCs w:val="20"/>
        </w:rPr>
        <w:t xml:space="preserve">. </w:t>
      </w:r>
    </w:p>
    <w:p w14:paraId="0D4A628F" w14:textId="77777777" w:rsidR="00F23571" w:rsidRDefault="00F23571" w:rsidP="00F23571">
      <w:pPr>
        <w:rPr>
          <w:sz w:val="20"/>
          <w:szCs w:val="20"/>
        </w:rPr>
      </w:pPr>
    </w:p>
    <w:p w14:paraId="572F5C7F" w14:textId="77777777" w:rsidR="00F23571" w:rsidRDefault="00F23571" w:rsidP="00F23571">
      <w:pPr>
        <w:rPr>
          <w:sz w:val="20"/>
          <w:szCs w:val="20"/>
        </w:rPr>
      </w:pPr>
    </w:p>
    <w:p w14:paraId="4EFC46B5" w14:textId="77777777" w:rsidR="00F23571" w:rsidRDefault="00F23571" w:rsidP="00F23571">
      <w:pPr>
        <w:rPr>
          <w:sz w:val="20"/>
          <w:szCs w:val="20"/>
        </w:rPr>
      </w:pPr>
    </w:p>
    <w:p w14:paraId="3F316E0A" w14:textId="77777777" w:rsidR="00F23571" w:rsidRDefault="00F23571" w:rsidP="00F23571">
      <w:pPr>
        <w:rPr>
          <w:sz w:val="20"/>
          <w:szCs w:val="20"/>
        </w:rPr>
      </w:pPr>
    </w:p>
    <w:p w14:paraId="665738C4" w14:textId="77777777" w:rsidR="00F23571" w:rsidRDefault="00F23571" w:rsidP="00F23571">
      <w:pPr>
        <w:rPr>
          <w:sz w:val="20"/>
          <w:szCs w:val="20"/>
        </w:rPr>
      </w:pPr>
    </w:p>
    <w:p w14:paraId="46C2335F" w14:textId="77777777" w:rsidR="00F23571" w:rsidRDefault="00F23571" w:rsidP="00F23571">
      <w:pPr>
        <w:rPr>
          <w:sz w:val="20"/>
          <w:szCs w:val="20"/>
        </w:rPr>
      </w:pPr>
    </w:p>
    <w:p w14:paraId="2339AC57" w14:textId="77777777" w:rsidR="00F23571" w:rsidRDefault="00F23571" w:rsidP="00F23571">
      <w:pPr>
        <w:rPr>
          <w:sz w:val="20"/>
          <w:szCs w:val="20"/>
        </w:rPr>
      </w:pPr>
    </w:p>
    <w:p w14:paraId="76953D80" w14:textId="77777777" w:rsidR="00F23571" w:rsidRDefault="00F23571" w:rsidP="00F23571">
      <w:pPr>
        <w:rPr>
          <w:sz w:val="20"/>
          <w:szCs w:val="20"/>
        </w:rPr>
      </w:pPr>
    </w:p>
    <w:p w14:paraId="566544AB" w14:textId="77777777" w:rsidR="00F23571" w:rsidRDefault="00F23571" w:rsidP="00F23571">
      <w:pPr>
        <w:rPr>
          <w:sz w:val="20"/>
          <w:szCs w:val="20"/>
        </w:rPr>
      </w:pPr>
    </w:p>
    <w:p w14:paraId="02539904" w14:textId="77777777" w:rsidR="00F23571" w:rsidRDefault="00F23571" w:rsidP="00F23571">
      <w:pPr>
        <w:rPr>
          <w:sz w:val="20"/>
          <w:szCs w:val="20"/>
        </w:rPr>
      </w:pPr>
    </w:p>
    <w:p w14:paraId="2D05237E" w14:textId="77777777" w:rsidR="00F23571" w:rsidRDefault="00F23571" w:rsidP="00F23571">
      <w:pPr>
        <w:rPr>
          <w:noProof/>
          <w:sz w:val="20"/>
          <w:szCs w:val="20"/>
          <w:lang w:val="en-GB" w:eastAsia="en-GB"/>
        </w:rPr>
      </w:pPr>
    </w:p>
    <w:p w14:paraId="392F644D" w14:textId="77777777" w:rsidR="00F23571" w:rsidRDefault="00F23571" w:rsidP="00F23571">
      <w:pPr>
        <w:rPr>
          <w:noProof/>
          <w:sz w:val="20"/>
          <w:szCs w:val="20"/>
          <w:lang w:val="en-GB" w:eastAsia="en-GB"/>
        </w:rPr>
      </w:pPr>
    </w:p>
    <w:p w14:paraId="6A27BB68" w14:textId="77777777" w:rsidR="00F23571" w:rsidRDefault="00F23571" w:rsidP="00F23571">
      <w:pPr>
        <w:rPr>
          <w:noProof/>
          <w:sz w:val="20"/>
          <w:szCs w:val="20"/>
          <w:lang w:val="en-GB" w:eastAsia="en-GB"/>
        </w:rPr>
      </w:pPr>
    </w:p>
    <w:p w14:paraId="533DB240" w14:textId="77777777" w:rsidR="00681E2F" w:rsidRDefault="00681E2F" w:rsidP="00E263D6">
      <w:pPr>
        <w:widowControl w:val="0"/>
        <w:autoSpaceDE w:val="0"/>
        <w:autoSpaceDN w:val="0"/>
        <w:adjustRightInd w:val="0"/>
        <w:rPr>
          <w:b/>
        </w:rPr>
        <w:sectPr w:rsidR="00681E2F" w:rsidSect="00776FFA">
          <w:pgSz w:w="12240" w:h="15840"/>
          <w:pgMar w:top="1135" w:right="1797" w:bottom="1440" w:left="1797" w:header="709" w:footer="709" w:gutter="0"/>
          <w:cols w:space="708"/>
          <w:docGrid w:linePitch="360"/>
        </w:sectPr>
      </w:pPr>
    </w:p>
    <w:p w14:paraId="1BDBDDC8" w14:textId="5DC24D91" w:rsidR="00F23571" w:rsidRDefault="00645CCF" w:rsidP="00F23571">
      <w:pPr>
        <w:rPr>
          <w:b/>
        </w:rPr>
      </w:pPr>
      <w:r w:rsidRPr="001222A8">
        <w:rPr>
          <w:b/>
        </w:rPr>
        <w:lastRenderedPageBreak/>
        <w:t xml:space="preserve">Table 6a – </w:t>
      </w:r>
      <w:r w:rsidR="001222A8" w:rsidRPr="00C71239">
        <w:rPr>
          <w:b/>
        </w:rPr>
        <w:t xml:space="preserve">Determinants of location choice </w:t>
      </w:r>
      <w:r w:rsidR="001222A8">
        <w:rPr>
          <w:b/>
        </w:rPr>
        <w:t xml:space="preserve">– Country by country regressions. </w:t>
      </w:r>
      <w:r w:rsidRPr="001222A8">
        <w:rPr>
          <w:b/>
        </w:rPr>
        <w:t>Emerging Economies</w:t>
      </w:r>
    </w:p>
    <w:p w14:paraId="6CD98803" w14:textId="77777777" w:rsidR="001222A8" w:rsidRPr="001222A8" w:rsidRDefault="001222A8" w:rsidP="00F23571">
      <w:pPr>
        <w:rPr>
          <w:b/>
        </w:rPr>
      </w:pPr>
    </w:p>
    <w:tbl>
      <w:tblPr>
        <w:tblW w:w="13682" w:type="dxa"/>
        <w:jc w:val="center"/>
        <w:tblLayout w:type="fixed"/>
        <w:tblCellMar>
          <w:left w:w="75" w:type="dxa"/>
          <w:right w:w="75" w:type="dxa"/>
        </w:tblCellMar>
        <w:tblLook w:val="0000" w:firstRow="0" w:lastRow="0" w:firstColumn="0" w:lastColumn="0" w:noHBand="0" w:noVBand="0"/>
      </w:tblPr>
      <w:tblGrid>
        <w:gridCol w:w="3602"/>
        <w:gridCol w:w="1440"/>
        <w:gridCol w:w="1584"/>
        <w:gridCol w:w="1440"/>
        <w:gridCol w:w="1296"/>
        <w:gridCol w:w="1440"/>
        <w:gridCol w:w="1440"/>
        <w:gridCol w:w="1440"/>
      </w:tblGrid>
      <w:tr w:rsidR="002E5F35" w:rsidRPr="001001F9" w14:paraId="3BF378A0" w14:textId="77777777" w:rsidTr="00111420">
        <w:trPr>
          <w:jc w:val="center"/>
        </w:trPr>
        <w:tc>
          <w:tcPr>
            <w:tcW w:w="3602" w:type="dxa"/>
            <w:tcBorders>
              <w:top w:val="single" w:sz="6" w:space="0" w:color="auto"/>
              <w:left w:val="nil"/>
              <w:right w:val="nil"/>
            </w:tcBorders>
          </w:tcPr>
          <w:p w14:paraId="00EC2403" w14:textId="77777777" w:rsidR="002E5F35" w:rsidRPr="001001F9" w:rsidRDefault="002E5F35" w:rsidP="00D0262E">
            <w:pPr>
              <w:widowControl w:val="0"/>
              <w:autoSpaceDE w:val="0"/>
              <w:autoSpaceDN w:val="0"/>
              <w:adjustRightInd w:val="0"/>
              <w:rPr>
                <w:sz w:val="20"/>
                <w:szCs w:val="20"/>
              </w:rPr>
            </w:pPr>
          </w:p>
        </w:tc>
        <w:tc>
          <w:tcPr>
            <w:tcW w:w="1440" w:type="dxa"/>
            <w:tcBorders>
              <w:top w:val="single" w:sz="6" w:space="0" w:color="auto"/>
              <w:left w:val="nil"/>
              <w:right w:val="nil"/>
            </w:tcBorders>
          </w:tcPr>
          <w:p w14:paraId="7E2E3AA3"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(1)</w:t>
            </w:r>
          </w:p>
        </w:tc>
        <w:tc>
          <w:tcPr>
            <w:tcW w:w="1584" w:type="dxa"/>
            <w:tcBorders>
              <w:top w:val="single" w:sz="6" w:space="0" w:color="auto"/>
              <w:left w:val="nil"/>
              <w:right w:val="nil"/>
            </w:tcBorders>
          </w:tcPr>
          <w:p w14:paraId="4E8C7E38"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(2)</w:t>
            </w:r>
          </w:p>
        </w:tc>
        <w:tc>
          <w:tcPr>
            <w:tcW w:w="1440" w:type="dxa"/>
            <w:tcBorders>
              <w:top w:val="single" w:sz="6" w:space="0" w:color="auto"/>
              <w:left w:val="nil"/>
              <w:right w:val="nil"/>
            </w:tcBorders>
          </w:tcPr>
          <w:p w14:paraId="7ED30B39"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(3)</w:t>
            </w:r>
          </w:p>
        </w:tc>
        <w:tc>
          <w:tcPr>
            <w:tcW w:w="1296" w:type="dxa"/>
            <w:tcBorders>
              <w:top w:val="single" w:sz="6" w:space="0" w:color="auto"/>
              <w:left w:val="nil"/>
              <w:right w:val="nil"/>
            </w:tcBorders>
          </w:tcPr>
          <w:p w14:paraId="01628498"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(4)</w:t>
            </w:r>
          </w:p>
        </w:tc>
        <w:tc>
          <w:tcPr>
            <w:tcW w:w="1440" w:type="dxa"/>
            <w:tcBorders>
              <w:top w:val="single" w:sz="6" w:space="0" w:color="auto"/>
              <w:left w:val="nil"/>
              <w:right w:val="nil"/>
            </w:tcBorders>
          </w:tcPr>
          <w:p w14:paraId="08537B95"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(6)</w:t>
            </w:r>
          </w:p>
        </w:tc>
        <w:tc>
          <w:tcPr>
            <w:tcW w:w="1440" w:type="dxa"/>
            <w:tcBorders>
              <w:top w:val="single" w:sz="6" w:space="0" w:color="auto"/>
              <w:left w:val="nil"/>
              <w:right w:val="nil"/>
            </w:tcBorders>
          </w:tcPr>
          <w:p w14:paraId="05B8C239"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(7)</w:t>
            </w:r>
          </w:p>
        </w:tc>
        <w:tc>
          <w:tcPr>
            <w:tcW w:w="1440" w:type="dxa"/>
            <w:tcBorders>
              <w:top w:val="single" w:sz="6" w:space="0" w:color="auto"/>
              <w:left w:val="nil"/>
              <w:right w:val="nil"/>
            </w:tcBorders>
          </w:tcPr>
          <w:p w14:paraId="1BFFB5F0"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(8)</w:t>
            </w:r>
          </w:p>
        </w:tc>
      </w:tr>
      <w:tr w:rsidR="002E5F35" w:rsidRPr="001001F9" w14:paraId="734FF7B3" w14:textId="77777777" w:rsidTr="00111420">
        <w:trPr>
          <w:jc w:val="center"/>
        </w:trPr>
        <w:tc>
          <w:tcPr>
            <w:tcW w:w="3602" w:type="dxa"/>
            <w:tcBorders>
              <w:top w:val="nil"/>
              <w:left w:val="nil"/>
              <w:bottom w:val="single" w:sz="4" w:space="0" w:color="auto"/>
              <w:right w:val="nil"/>
            </w:tcBorders>
          </w:tcPr>
          <w:p w14:paraId="0667740F" w14:textId="3C27CB98" w:rsidR="002E5F35" w:rsidRPr="001001F9" w:rsidRDefault="002E5F35" w:rsidP="00D0262E">
            <w:pPr>
              <w:widowControl w:val="0"/>
              <w:autoSpaceDE w:val="0"/>
              <w:autoSpaceDN w:val="0"/>
              <w:adjustRightInd w:val="0"/>
              <w:rPr>
                <w:sz w:val="20"/>
                <w:szCs w:val="20"/>
              </w:rPr>
            </w:pPr>
            <w:r w:rsidRPr="001001F9">
              <w:rPr>
                <w:sz w:val="20"/>
                <w:szCs w:val="20"/>
              </w:rPr>
              <w:t>VARIABLES</w:t>
            </w:r>
          </w:p>
        </w:tc>
        <w:tc>
          <w:tcPr>
            <w:tcW w:w="1440" w:type="dxa"/>
            <w:tcBorders>
              <w:top w:val="nil"/>
              <w:left w:val="nil"/>
              <w:bottom w:val="single" w:sz="4" w:space="0" w:color="auto"/>
              <w:right w:val="nil"/>
            </w:tcBorders>
          </w:tcPr>
          <w:p w14:paraId="49DC266F" w14:textId="5F9DF411" w:rsidR="002E5F35" w:rsidRPr="001001F9" w:rsidRDefault="002E5F35" w:rsidP="00D0262E">
            <w:pPr>
              <w:widowControl w:val="0"/>
              <w:autoSpaceDE w:val="0"/>
              <w:autoSpaceDN w:val="0"/>
              <w:adjustRightInd w:val="0"/>
              <w:jc w:val="center"/>
              <w:rPr>
                <w:sz w:val="20"/>
                <w:szCs w:val="20"/>
              </w:rPr>
            </w:pPr>
            <w:r>
              <w:rPr>
                <w:sz w:val="20"/>
                <w:szCs w:val="20"/>
              </w:rPr>
              <w:t>Brazil</w:t>
            </w:r>
          </w:p>
        </w:tc>
        <w:tc>
          <w:tcPr>
            <w:tcW w:w="1584" w:type="dxa"/>
            <w:tcBorders>
              <w:top w:val="nil"/>
              <w:left w:val="nil"/>
              <w:bottom w:val="single" w:sz="4" w:space="0" w:color="auto"/>
              <w:right w:val="nil"/>
            </w:tcBorders>
          </w:tcPr>
          <w:p w14:paraId="1DBB5900" w14:textId="49A91E3F" w:rsidR="002E5F35" w:rsidRPr="001001F9" w:rsidRDefault="002E5F35" w:rsidP="00D0262E">
            <w:pPr>
              <w:widowControl w:val="0"/>
              <w:autoSpaceDE w:val="0"/>
              <w:autoSpaceDN w:val="0"/>
              <w:adjustRightInd w:val="0"/>
              <w:jc w:val="center"/>
              <w:rPr>
                <w:sz w:val="20"/>
                <w:szCs w:val="20"/>
              </w:rPr>
            </w:pPr>
            <w:r>
              <w:rPr>
                <w:sz w:val="20"/>
                <w:szCs w:val="20"/>
              </w:rPr>
              <w:t>China</w:t>
            </w:r>
          </w:p>
        </w:tc>
        <w:tc>
          <w:tcPr>
            <w:tcW w:w="1440" w:type="dxa"/>
            <w:tcBorders>
              <w:top w:val="nil"/>
              <w:left w:val="nil"/>
              <w:bottom w:val="single" w:sz="4" w:space="0" w:color="auto"/>
              <w:right w:val="nil"/>
            </w:tcBorders>
          </w:tcPr>
          <w:p w14:paraId="37522553" w14:textId="77FA2A34" w:rsidR="002E5F35" w:rsidRPr="001001F9" w:rsidRDefault="002E5F35" w:rsidP="00D0262E">
            <w:pPr>
              <w:widowControl w:val="0"/>
              <w:autoSpaceDE w:val="0"/>
              <w:autoSpaceDN w:val="0"/>
              <w:adjustRightInd w:val="0"/>
              <w:jc w:val="center"/>
              <w:rPr>
                <w:sz w:val="20"/>
                <w:szCs w:val="20"/>
              </w:rPr>
            </w:pPr>
            <w:r>
              <w:rPr>
                <w:sz w:val="20"/>
                <w:szCs w:val="20"/>
              </w:rPr>
              <w:t>India</w:t>
            </w:r>
          </w:p>
        </w:tc>
        <w:tc>
          <w:tcPr>
            <w:tcW w:w="1296" w:type="dxa"/>
            <w:tcBorders>
              <w:top w:val="nil"/>
              <w:left w:val="nil"/>
              <w:bottom w:val="single" w:sz="4" w:space="0" w:color="auto"/>
              <w:right w:val="nil"/>
            </w:tcBorders>
          </w:tcPr>
          <w:p w14:paraId="656EB033" w14:textId="53320C7E" w:rsidR="002E5F35" w:rsidRPr="001001F9" w:rsidRDefault="002E5F35" w:rsidP="00D0262E">
            <w:pPr>
              <w:widowControl w:val="0"/>
              <w:autoSpaceDE w:val="0"/>
              <w:autoSpaceDN w:val="0"/>
              <w:adjustRightInd w:val="0"/>
              <w:jc w:val="center"/>
              <w:rPr>
                <w:sz w:val="20"/>
                <w:szCs w:val="20"/>
              </w:rPr>
            </w:pPr>
            <w:r>
              <w:rPr>
                <w:sz w:val="20"/>
                <w:szCs w:val="20"/>
              </w:rPr>
              <w:t>Mexico</w:t>
            </w:r>
          </w:p>
        </w:tc>
        <w:tc>
          <w:tcPr>
            <w:tcW w:w="1440" w:type="dxa"/>
            <w:tcBorders>
              <w:top w:val="nil"/>
              <w:left w:val="nil"/>
              <w:bottom w:val="single" w:sz="4" w:space="0" w:color="auto"/>
              <w:right w:val="nil"/>
            </w:tcBorders>
          </w:tcPr>
          <w:p w14:paraId="2BB9540D" w14:textId="66831D76" w:rsidR="002E5F35" w:rsidRPr="001001F9" w:rsidRDefault="002E5F35" w:rsidP="00D0262E">
            <w:pPr>
              <w:widowControl w:val="0"/>
              <w:autoSpaceDE w:val="0"/>
              <w:autoSpaceDN w:val="0"/>
              <w:adjustRightInd w:val="0"/>
              <w:jc w:val="center"/>
              <w:rPr>
                <w:sz w:val="20"/>
                <w:szCs w:val="20"/>
              </w:rPr>
            </w:pPr>
            <w:r>
              <w:rPr>
                <w:sz w:val="20"/>
                <w:szCs w:val="20"/>
              </w:rPr>
              <w:t>Russia</w:t>
            </w:r>
          </w:p>
        </w:tc>
        <w:tc>
          <w:tcPr>
            <w:tcW w:w="1440" w:type="dxa"/>
            <w:tcBorders>
              <w:top w:val="nil"/>
              <w:left w:val="nil"/>
              <w:bottom w:val="single" w:sz="4" w:space="0" w:color="auto"/>
              <w:right w:val="nil"/>
            </w:tcBorders>
          </w:tcPr>
          <w:p w14:paraId="7FDA355C" w14:textId="4F0E2556" w:rsidR="002E5F35" w:rsidRPr="001001F9" w:rsidRDefault="002E5F35" w:rsidP="00D0262E">
            <w:pPr>
              <w:widowControl w:val="0"/>
              <w:autoSpaceDE w:val="0"/>
              <w:autoSpaceDN w:val="0"/>
              <w:adjustRightInd w:val="0"/>
              <w:jc w:val="center"/>
              <w:rPr>
                <w:sz w:val="20"/>
                <w:szCs w:val="20"/>
              </w:rPr>
            </w:pPr>
            <w:r>
              <w:rPr>
                <w:sz w:val="20"/>
                <w:szCs w:val="20"/>
              </w:rPr>
              <w:t>Turkey</w:t>
            </w:r>
          </w:p>
        </w:tc>
        <w:tc>
          <w:tcPr>
            <w:tcW w:w="1440" w:type="dxa"/>
            <w:tcBorders>
              <w:top w:val="nil"/>
              <w:left w:val="nil"/>
              <w:bottom w:val="single" w:sz="4" w:space="0" w:color="auto"/>
              <w:right w:val="nil"/>
            </w:tcBorders>
          </w:tcPr>
          <w:p w14:paraId="713E04ED" w14:textId="53921156" w:rsidR="002E5F35" w:rsidRPr="001001F9" w:rsidRDefault="002E5F35" w:rsidP="00D0262E">
            <w:pPr>
              <w:widowControl w:val="0"/>
              <w:autoSpaceDE w:val="0"/>
              <w:autoSpaceDN w:val="0"/>
              <w:adjustRightInd w:val="0"/>
              <w:jc w:val="center"/>
              <w:rPr>
                <w:sz w:val="20"/>
                <w:szCs w:val="20"/>
              </w:rPr>
            </w:pPr>
            <w:r>
              <w:rPr>
                <w:sz w:val="20"/>
                <w:szCs w:val="20"/>
              </w:rPr>
              <w:t>South Africa</w:t>
            </w:r>
          </w:p>
        </w:tc>
      </w:tr>
      <w:tr w:rsidR="002E5F35" w:rsidRPr="001001F9" w14:paraId="207D9ED8" w14:textId="77777777" w:rsidTr="00111420">
        <w:trPr>
          <w:jc w:val="center"/>
        </w:trPr>
        <w:tc>
          <w:tcPr>
            <w:tcW w:w="3602" w:type="dxa"/>
            <w:tcBorders>
              <w:top w:val="single" w:sz="4" w:space="0" w:color="auto"/>
              <w:left w:val="nil"/>
              <w:bottom w:val="nil"/>
              <w:right w:val="nil"/>
            </w:tcBorders>
          </w:tcPr>
          <w:p w14:paraId="58400FCA" w14:textId="77777777" w:rsidR="002E5F35" w:rsidRPr="001001F9" w:rsidRDefault="002E5F35" w:rsidP="00D0262E">
            <w:pPr>
              <w:widowControl w:val="0"/>
              <w:autoSpaceDE w:val="0"/>
              <w:autoSpaceDN w:val="0"/>
              <w:adjustRightInd w:val="0"/>
              <w:rPr>
                <w:sz w:val="20"/>
                <w:szCs w:val="20"/>
              </w:rPr>
            </w:pPr>
          </w:p>
        </w:tc>
        <w:tc>
          <w:tcPr>
            <w:tcW w:w="1440" w:type="dxa"/>
            <w:tcBorders>
              <w:top w:val="single" w:sz="4" w:space="0" w:color="auto"/>
              <w:left w:val="nil"/>
              <w:bottom w:val="nil"/>
              <w:right w:val="nil"/>
            </w:tcBorders>
          </w:tcPr>
          <w:p w14:paraId="2CAAAEEC" w14:textId="77777777" w:rsidR="002E5F35" w:rsidRPr="001001F9" w:rsidRDefault="002E5F35" w:rsidP="00D0262E">
            <w:pPr>
              <w:widowControl w:val="0"/>
              <w:autoSpaceDE w:val="0"/>
              <w:autoSpaceDN w:val="0"/>
              <w:adjustRightInd w:val="0"/>
              <w:jc w:val="center"/>
              <w:rPr>
                <w:sz w:val="20"/>
                <w:szCs w:val="20"/>
              </w:rPr>
            </w:pPr>
          </w:p>
        </w:tc>
        <w:tc>
          <w:tcPr>
            <w:tcW w:w="1584" w:type="dxa"/>
            <w:tcBorders>
              <w:top w:val="single" w:sz="4" w:space="0" w:color="auto"/>
              <w:left w:val="nil"/>
              <w:bottom w:val="nil"/>
              <w:right w:val="nil"/>
            </w:tcBorders>
          </w:tcPr>
          <w:p w14:paraId="2B0554D9" w14:textId="77777777" w:rsidR="002E5F35" w:rsidRPr="001001F9" w:rsidRDefault="002E5F35" w:rsidP="00D0262E">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0694DCC1" w14:textId="77777777" w:rsidR="002E5F35" w:rsidRPr="001001F9" w:rsidRDefault="002E5F35" w:rsidP="00D0262E">
            <w:pPr>
              <w:widowControl w:val="0"/>
              <w:autoSpaceDE w:val="0"/>
              <w:autoSpaceDN w:val="0"/>
              <w:adjustRightInd w:val="0"/>
              <w:jc w:val="center"/>
              <w:rPr>
                <w:sz w:val="20"/>
                <w:szCs w:val="20"/>
              </w:rPr>
            </w:pPr>
          </w:p>
        </w:tc>
        <w:tc>
          <w:tcPr>
            <w:tcW w:w="1296" w:type="dxa"/>
            <w:tcBorders>
              <w:top w:val="single" w:sz="4" w:space="0" w:color="auto"/>
              <w:left w:val="nil"/>
              <w:bottom w:val="nil"/>
              <w:right w:val="nil"/>
            </w:tcBorders>
          </w:tcPr>
          <w:p w14:paraId="17E59C60" w14:textId="77777777" w:rsidR="002E5F35" w:rsidRPr="001001F9" w:rsidRDefault="002E5F35" w:rsidP="00D0262E">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276348F1" w14:textId="77777777" w:rsidR="002E5F35" w:rsidRPr="001001F9" w:rsidRDefault="002E5F35" w:rsidP="00D0262E">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26F21AF9" w14:textId="77777777" w:rsidR="002E5F35" w:rsidRPr="001001F9" w:rsidRDefault="002E5F35" w:rsidP="00D0262E">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310178A2" w14:textId="77777777" w:rsidR="002E5F35" w:rsidRPr="001001F9" w:rsidRDefault="002E5F35" w:rsidP="00D0262E">
            <w:pPr>
              <w:widowControl w:val="0"/>
              <w:autoSpaceDE w:val="0"/>
              <w:autoSpaceDN w:val="0"/>
              <w:adjustRightInd w:val="0"/>
              <w:jc w:val="center"/>
              <w:rPr>
                <w:sz w:val="20"/>
                <w:szCs w:val="20"/>
              </w:rPr>
            </w:pPr>
          </w:p>
        </w:tc>
      </w:tr>
      <w:tr w:rsidR="002E5F35" w:rsidRPr="001001F9" w14:paraId="62691B50" w14:textId="77777777" w:rsidTr="00111420">
        <w:trPr>
          <w:jc w:val="center"/>
        </w:trPr>
        <w:tc>
          <w:tcPr>
            <w:tcW w:w="3602" w:type="dxa"/>
            <w:tcBorders>
              <w:top w:val="nil"/>
              <w:left w:val="nil"/>
              <w:bottom w:val="nil"/>
              <w:right w:val="nil"/>
            </w:tcBorders>
          </w:tcPr>
          <w:p w14:paraId="0E437C98" w14:textId="78CAA4C7" w:rsidR="002E5F35" w:rsidRPr="001001F9" w:rsidRDefault="00D6052A" w:rsidP="00681E2F">
            <w:pPr>
              <w:widowControl w:val="0"/>
              <w:autoSpaceDE w:val="0"/>
              <w:autoSpaceDN w:val="0"/>
              <w:adjustRightInd w:val="0"/>
              <w:rPr>
                <w:sz w:val="20"/>
                <w:szCs w:val="20"/>
              </w:rPr>
            </w:pPr>
            <w:r>
              <w:rPr>
                <w:color w:val="000000"/>
                <w:kern w:val="24"/>
                <w:sz w:val="20"/>
                <w:szCs w:val="20"/>
                <w:lang w:eastAsia="en-GB"/>
              </w:rPr>
              <w:t>IPR protection</w:t>
            </w:r>
          </w:p>
        </w:tc>
        <w:tc>
          <w:tcPr>
            <w:tcW w:w="1440" w:type="dxa"/>
            <w:tcBorders>
              <w:top w:val="nil"/>
              <w:left w:val="nil"/>
              <w:bottom w:val="nil"/>
              <w:right w:val="nil"/>
            </w:tcBorders>
          </w:tcPr>
          <w:p w14:paraId="4E0F8891" w14:textId="04ABBFBF" w:rsidR="002E5F35" w:rsidRPr="001001F9" w:rsidRDefault="002E5F35" w:rsidP="00681E2F">
            <w:pPr>
              <w:widowControl w:val="0"/>
              <w:autoSpaceDE w:val="0"/>
              <w:autoSpaceDN w:val="0"/>
              <w:adjustRightInd w:val="0"/>
              <w:jc w:val="center"/>
              <w:rPr>
                <w:sz w:val="20"/>
                <w:szCs w:val="20"/>
              </w:rPr>
            </w:pPr>
            <w:r w:rsidRPr="001001F9">
              <w:rPr>
                <w:sz w:val="20"/>
                <w:szCs w:val="20"/>
              </w:rPr>
              <w:t>0.052</w:t>
            </w:r>
          </w:p>
        </w:tc>
        <w:tc>
          <w:tcPr>
            <w:tcW w:w="1584" w:type="dxa"/>
            <w:tcBorders>
              <w:top w:val="nil"/>
              <w:left w:val="nil"/>
              <w:bottom w:val="nil"/>
              <w:right w:val="nil"/>
            </w:tcBorders>
          </w:tcPr>
          <w:p w14:paraId="44F7091A" w14:textId="4BE7BD94" w:rsidR="002E5F35" w:rsidRPr="001001F9" w:rsidRDefault="002E5F35" w:rsidP="00681E2F">
            <w:pPr>
              <w:widowControl w:val="0"/>
              <w:autoSpaceDE w:val="0"/>
              <w:autoSpaceDN w:val="0"/>
              <w:adjustRightInd w:val="0"/>
              <w:jc w:val="center"/>
              <w:rPr>
                <w:sz w:val="20"/>
                <w:szCs w:val="20"/>
              </w:rPr>
            </w:pPr>
            <w:r w:rsidRPr="001001F9">
              <w:rPr>
                <w:sz w:val="20"/>
                <w:szCs w:val="20"/>
              </w:rPr>
              <w:t>0.016</w:t>
            </w:r>
          </w:p>
        </w:tc>
        <w:tc>
          <w:tcPr>
            <w:tcW w:w="1440" w:type="dxa"/>
            <w:tcBorders>
              <w:top w:val="nil"/>
              <w:left w:val="nil"/>
              <w:bottom w:val="nil"/>
              <w:right w:val="nil"/>
            </w:tcBorders>
          </w:tcPr>
          <w:p w14:paraId="54250FE6" w14:textId="1460C3A4" w:rsidR="002E5F35" w:rsidRPr="001001F9" w:rsidRDefault="002E5F35" w:rsidP="00681E2F">
            <w:pPr>
              <w:widowControl w:val="0"/>
              <w:autoSpaceDE w:val="0"/>
              <w:autoSpaceDN w:val="0"/>
              <w:adjustRightInd w:val="0"/>
              <w:jc w:val="center"/>
              <w:rPr>
                <w:sz w:val="20"/>
                <w:szCs w:val="20"/>
              </w:rPr>
            </w:pPr>
            <w:r w:rsidRPr="001001F9">
              <w:rPr>
                <w:sz w:val="20"/>
                <w:szCs w:val="20"/>
              </w:rPr>
              <w:t>0.034</w:t>
            </w:r>
          </w:p>
        </w:tc>
        <w:tc>
          <w:tcPr>
            <w:tcW w:w="1296" w:type="dxa"/>
            <w:tcBorders>
              <w:top w:val="nil"/>
              <w:left w:val="nil"/>
              <w:bottom w:val="nil"/>
              <w:right w:val="nil"/>
            </w:tcBorders>
          </w:tcPr>
          <w:p w14:paraId="2CDFC226"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-0.010</w:t>
            </w:r>
          </w:p>
        </w:tc>
        <w:tc>
          <w:tcPr>
            <w:tcW w:w="1440" w:type="dxa"/>
            <w:tcBorders>
              <w:top w:val="nil"/>
              <w:left w:val="nil"/>
              <w:bottom w:val="nil"/>
              <w:right w:val="nil"/>
            </w:tcBorders>
          </w:tcPr>
          <w:p w14:paraId="599EE874" w14:textId="5F3E1B21" w:rsidR="002E5F35" w:rsidRPr="001001F9" w:rsidRDefault="002E5F35" w:rsidP="00681E2F">
            <w:pPr>
              <w:widowControl w:val="0"/>
              <w:autoSpaceDE w:val="0"/>
              <w:autoSpaceDN w:val="0"/>
              <w:adjustRightInd w:val="0"/>
              <w:jc w:val="center"/>
              <w:rPr>
                <w:sz w:val="20"/>
                <w:szCs w:val="20"/>
              </w:rPr>
            </w:pPr>
            <w:r w:rsidRPr="001001F9">
              <w:rPr>
                <w:sz w:val="20"/>
                <w:szCs w:val="20"/>
              </w:rPr>
              <w:t>-0.036</w:t>
            </w:r>
          </w:p>
        </w:tc>
        <w:tc>
          <w:tcPr>
            <w:tcW w:w="1440" w:type="dxa"/>
            <w:tcBorders>
              <w:top w:val="nil"/>
              <w:left w:val="nil"/>
              <w:bottom w:val="nil"/>
              <w:right w:val="nil"/>
            </w:tcBorders>
          </w:tcPr>
          <w:p w14:paraId="4048937D" w14:textId="6CA3B5CD" w:rsidR="002E5F35" w:rsidRPr="001001F9" w:rsidRDefault="002E5F35" w:rsidP="00681E2F">
            <w:pPr>
              <w:widowControl w:val="0"/>
              <w:autoSpaceDE w:val="0"/>
              <w:autoSpaceDN w:val="0"/>
              <w:adjustRightInd w:val="0"/>
              <w:jc w:val="center"/>
              <w:rPr>
                <w:sz w:val="20"/>
                <w:szCs w:val="20"/>
              </w:rPr>
            </w:pPr>
            <w:r w:rsidRPr="001001F9">
              <w:rPr>
                <w:sz w:val="20"/>
                <w:szCs w:val="20"/>
              </w:rPr>
              <w:t>-0.060</w:t>
            </w:r>
          </w:p>
        </w:tc>
        <w:tc>
          <w:tcPr>
            <w:tcW w:w="1440" w:type="dxa"/>
            <w:tcBorders>
              <w:top w:val="nil"/>
              <w:left w:val="nil"/>
              <w:bottom w:val="nil"/>
              <w:right w:val="nil"/>
            </w:tcBorders>
          </w:tcPr>
          <w:p w14:paraId="3B4F0B16" w14:textId="5F825A21" w:rsidR="002E5F35" w:rsidRPr="001001F9" w:rsidRDefault="002E5F35" w:rsidP="00681E2F">
            <w:pPr>
              <w:widowControl w:val="0"/>
              <w:autoSpaceDE w:val="0"/>
              <w:autoSpaceDN w:val="0"/>
              <w:adjustRightInd w:val="0"/>
              <w:jc w:val="center"/>
              <w:rPr>
                <w:sz w:val="20"/>
                <w:szCs w:val="20"/>
              </w:rPr>
            </w:pPr>
            <w:r w:rsidRPr="001001F9">
              <w:rPr>
                <w:sz w:val="20"/>
                <w:szCs w:val="20"/>
              </w:rPr>
              <w:t>0.106</w:t>
            </w:r>
          </w:p>
        </w:tc>
      </w:tr>
      <w:tr w:rsidR="002E5F35" w:rsidRPr="001001F9" w14:paraId="53789EA2" w14:textId="77777777" w:rsidTr="00111420">
        <w:trPr>
          <w:jc w:val="center"/>
        </w:trPr>
        <w:tc>
          <w:tcPr>
            <w:tcW w:w="3602" w:type="dxa"/>
            <w:tcBorders>
              <w:top w:val="nil"/>
              <w:left w:val="nil"/>
              <w:bottom w:val="nil"/>
              <w:right w:val="nil"/>
            </w:tcBorders>
          </w:tcPr>
          <w:p w14:paraId="7549C179" w14:textId="77777777" w:rsidR="002E5F35" w:rsidRPr="001001F9" w:rsidRDefault="002E5F35" w:rsidP="00681E2F">
            <w:pPr>
              <w:widowControl w:val="0"/>
              <w:autoSpaceDE w:val="0"/>
              <w:autoSpaceDN w:val="0"/>
              <w:adjustRightInd w:val="0"/>
              <w:rPr>
                <w:sz w:val="20"/>
                <w:szCs w:val="20"/>
              </w:rPr>
            </w:pPr>
          </w:p>
        </w:tc>
        <w:tc>
          <w:tcPr>
            <w:tcW w:w="1440" w:type="dxa"/>
            <w:tcBorders>
              <w:top w:val="nil"/>
              <w:left w:val="nil"/>
              <w:bottom w:val="nil"/>
              <w:right w:val="nil"/>
            </w:tcBorders>
          </w:tcPr>
          <w:p w14:paraId="29903100"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(0.005)</w:t>
            </w:r>
          </w:p>
        </w:tc>
        <w:tc>
          <w:tcPr>
            <w:tcW w:w="1584" w:type="dxa"/>
            <w:tcBorders>
              <w:top w:val="nil"/>
              <w:left w:val="nil"/>
              <w:bottom w:val="nil"/>
              <w:right w:val="nil"/>
            </w:tcBorders>
          </w:tcPr>
          <w:p w14:paraId="1BB49229"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(0.002)</w:t>
            </w:r>
          </w:p>
        </w:tc>
        <w:tc>
          <w:tcPr>
            <w:tcW w:w="1440" w:type="dxa"/>
            <w:tcBorders>
              <w:top w:val="nil"/>
              <w:left w:val="nil"/>
              <w:bottom w:val="nil"/>
              <w:right w:val="nil"/>
            </w:tcBorders>
          </w:tcPr>
          <w:p w14:paraId="7957FB78"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(0.008)</w:t>
            </w:r>
          </w:p>
        </w:tc>
        <w:tc>
          <w:tcPr>
            <w:tcW w:w="1296" w:type="dxa"/>
            <w:tcBorders>
              <w:top w:val="nil"/>
              <w:left w:val="nil"/>
              <w:bottom w:val="nil"/>
              <w:right w:val="nil"/>
            </w:tcBorders>
          </w:tcPr>
          <w:p w14:paraId="3F571CDC"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(0.016)</w:t>
            </w:r>
          </w:p>
        </w:tc>
        <w:tc>
          <w:tcPr>
            <w:tcW w:w="1440" w:type="dxa"/>
            <w:tcBorders>
              <w:top w:val="nil"/>
              <w:left w:val="nil"/>
              <w:bottom w:val="nil"/>
              <w:right w:val="nil"/>
            </w:tcBorders>
          </w:tcPr>
          <w:p w14:paraId="36EBB341"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(0.003)</w:t>
            </w:r>
          </w:p>
        </w:tc>
        <w:tc>
          <w:tcPr>
            <w:tcW w:w="1440" w:type="dxa"/>
            <w:tcBorders>
              <w:top w:val="nil"/>
              <w:left w:val="nil"/>
              <w:bottom w:val="nil"/>
              <w:right w:val="nil"/>
            </w:tcBorders>
          </w:tcPr>
          <w:p w14:paraId="0B4895C4"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(0.011)</w:t>
            </w:r>
          </w:p>
        </w:tc>
        <w:tc>
          <w:tcPr>
            <w:tcW w:w="1440" w:type="dxa"/>
            <w:tcBorders>
              <w:top w:val="nil"/>
              <w:left w:val="nil"/>
              <w:bottom w:val="nil"/>
              <w:right w:val="nil"/>
            </w:tcBorders>
          </w:tcPr>
          <w:p w14:paraId="7AA628D0"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(0.021)</w:t>
            </w:r>
          </w:p>
        </w:tc>
      </w:tr>
      <w:tr w:rsidR="002E5F35" w:rsidRPr="001001F9" w14:paraId="13C11162" w14:textId="77777777" w:rsidTr="00111420">
        <w:trPr>
          <w:jc w:val="center"/>
        </w:trPr>
        <w:tc>
          <w:tcPr>
            <w:tcW w:w="3602" w:type="dxa"/>
            <w:tcBorders>
              <w:top w:val="nil"/>
              <w:left w:val="nil"/>
              <w:bottom w:val="nil"/>
              <w:right w:val="nil"/>
            </w:tcBorders>
          </w:tcPr>
          <w:p w14:paraId="556A9C6B" w14:textId="24399A2D" w:rsidR="002E5F35" w:rsidRPr="001001F9" w:rsidRDefault="00D6052A" w:rsidP="00681E2F">
            <w:pPr>
              <w:widowControl w:val="0"/>
              <w:autoSpaceDE w:val="0"/>
              <w:autoSpaceDN w:val="0"/>
              <w:adjustRightInd w:val="0"/>
              <w:rPr>
                <w:sz w:val="20"/>
                <w:szCs w:val="20"/>
              </w:rPr>
            </w:pPr>
            <w:r>
              <w:rPr>
                <w:color w:val="000000"/>
                <w:kern w:val="24"/>
                <w:sz w:val="20"/>
                <w:szCs w:val="20"/>
                <w:lang w:eastAsia="en-GB"/>
              </w:rPr>
              <w:t>Distance</w:t>
            </w:r>
          </w:p>
        </w:tc>
        <w:tc>
          <w:tcPr>
            <w:tcW w:w="1440" w:type="dxa"/>
            <w:tcBorders>
              <w:top w:val="nil"/>
              <w:left w:val="nil"/>
              <w:bottom w:val="nil"/>
              <w:right w:val="nil"/>
            </w:tcBorders>
          </w:tcPr>
          <w:p w14:paraId="75FFA077" w14:textId="26C88A1E" w:rsidR="002E5F35" w:rsidRPr="001001F9" w:rsidRDefault="002E5F35" w:rsidP="00681E2F">
            <w:pPr>
              <w:widowControl w:val="0"/>
              <w:autoSpaceDE w:val="0"/>
              <w:autoSpaceDN w:val="0"/>
              <w:adjustRightInd w:val="0"/>
              <w:jc w:val="center"/>
              <w:rPr>
                <w:sz w:val="20"/>
                <w:szCs w:val="20"/>
              </w:rPr>
            </w:pPr>
            <w:r w:rsidRPr="001001F9">
              <w:rPr>
                <w:sz w:val="20"/>
                <w:szCs w:val="20"/>
              </w:rPr>
              <w:t>3.826</w:t>
            </w:r>
          </w:p>
        </w:tc>
        <w:tc>
          <w:tcPr>
            <w:tcW w:w="1584" w:type="dxa"/>
            <w:tcBorders>
              <w:top w:val="nil"/>
              <w:left w:val="nil"/>
              <w:bottom w:val="nil"/>
              <w:right w:val="nil"/>
            </w:tcBorders>
          </w:tcPr>
          <w:p w14:paraId="6ABBEF23" w14:textId="76676A7A" w:rsidR="002E5F35" w:rsidRPr="001001F9" w:rsidRDefault="002E5F35" w:rsidP="00681E2F">
            <w:pPr>
              <w:widowControl w:val="0"/>
              <w:autoSpaceDE w:val="0"/>
              <w:autoSpaceDN w:val="0"/>
              <w:adjustRightInd w:val="0"/>
              <w:jc w:val="center"/>
              <w:rPr>
                <w:sz w:val="20"/>
                <w:szCs w:val="20"/>
              </w:rPr>
            </w:pPr>
            <w:r w:rsidRPr="001001F9">
              <w:rPr>
                <w:sz w:val="20"/>
                <w:szCs w:val="20"/>
              </w:rPr>
              <w:t>-16.369</w:t>
            </w:r>
          </w:p>
        </w:tc>
        <w:tc>
          <w:tcPr>
            <w:tcW w:w="1440" w:type="dxa"/>
            <w:tcBorders>
              <w:top w:val="nil"/>
              <w:left w:val="nil"/>
              <w:bottom w:val="nil"/>
              <w:right w:val="nil"/>
            </w:tcBorders>
          </w:tcPr>
          <w:p w14:paraId="46D1FFEF" w14:textId="786CB265" w:rsidR="002E5F35" w:rsidRPr="001001F9" w:rsidRDefault="002E5F35" w:rsidP="00681E2F">
            <w:pPr>
              <w:widowControl w:val="0"/>
              <w:autoSpaceDE w:val="0"/>
              <w:autoSpaceDN w:val="0"/>
              <w:adjustRightInd w:val="0"/>
              <w:jc w:val="center"/>
              <w:rPr>
                <w:sz w:val="20"/>
                <w:szCs w:val="20"/>
              </w:rPr>
            </w:pPr>
            <w:r w:rsidRPr="001001F9">
              <w:rPr>
                <w:sz w:val="20"/>
                <w:szCs w:val="20"/>
              </w:rPr>
              <w:t>-2.209</w:t>
            </w:r>
          </w:p>
        </w:tc>
        <w:tc>
          <w:tcPr>
            <w:tcW w:w="1296" w:type="dxa"/>
            <w:tcBorders>
              <w:top w:val="nil"/>
              <w:left w:val="nil"/>
              <w:bottom w:val="nil"/>
              <w:right w:val="nil"/>
            </w:tcBorders>
          </w:tcPr>
          <w:p w14:paraId="01545516"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0.226</w:t>
            </w:r>
          </w:p>
        </w:tc>
        <w:tc>
          <w:tcPr>
            <w:tcW w:w="1440" w:type="dxa"/>
            <w:tcBorders>
              <w:top w:val="nil"/>
              <w:left w:val="nil"/>
              <w:bottom w:val="nil"/>
              <w:right w:val="nil"/>
            </w:tcBorders>
          </w:tcPr>
          <w:p w14:paraId="076CFC88" w14:textId="7D04B211" w:rsidR="002E5F35" w:rsidRPr="001001F9" w:rsidRDefault="002E5F35" w:rsidP="00681E2F">
            <w:pPr>
              <w:widowControl w:val="0"/>
              <w:autoSpaceDE w:val="0"/>
              <w:autoSpaceDN w:val="0"/>
              <w:adjustRightInd w:val="0"/>
              <w:jc w:val="center"/>
              <w:rPr>
                <w:sz w:val="20"/>
                <w:szCs w:val="20"/>
              </w:rPr>
            </w:pPr>
            <w:r w:rsidRPr="001001F9">
              <w:rPr>
                <w:sz w:val="20"/>
                <w:szCs w:val="20"/>
              </w:rPr>
              <w:t>2.303</w:t>
            </w:r>
          </w:p>
        </w:tc>
        <w:tc>
          <w:tcPr>
            <w:tcW w:w="1440" w:type="dxa"/>
            <w:tcBorders>
              <w:top w:val="nil"/>
              <w:left w:val="nil"/>
              <w:bottom w:val="nil"/>
              <w:right w:val="nil"/>
            </w:tcBorders>
          </w:tcPr>
          <w:p w14:paraId="7B209F7E"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0.435</w:t>
            </w:r>
          </w:p>
        </w:tc>
        <w:tc>
          <w:tcPr>
            <w:tcW w:w="1440" w:type="dxa"/>
            <w:tcBorders>
              <w:top w:val="nil"/>
              <w:left w:val="nil"/>
              <w:bottom w:val="nil"/>
              <w:right w:val="nil"/>
            </w:tcBorders>
          </w:tcPr>
          <w:p w14:paraId="2D93A22B" w14:textId="38302D3D" w:rsidR="002E5F35" w:rsidRPr="001001F9" w:rsidRDefault="002E5F35" w:rsidP="00681E2F">
            <w:pPr>
              <w:widowControl w:val="0"/>
              <w:autoSpaceDE w:val="0"/>
              <w:autoSpaceDN w:val="0"/>
              <w:adjustRightInd w:val="0"/>
              <w:jc w:val="center"/>
              <w:rPr>
                <w:sz w:val="20"/>
                <w:szCs w:val="20"/>
              </w:rPr>
            </w:pPr>
            <w:r w:rsidRPr="001001F9">
              <w:rPr>
                <w:sz w:val="20"/>
                <w:szCs w:val="20"/>
              </w:rPr>
              <w:t>-7.571</w:t>
            </w:r>
          </w:p>
        </w:tc>
      </w:tr>
      <w:tr w:rsidR="002E5F35" w:rsidRPr="001001F9" w14:paraId="610B40BF" w14:textId="77777777" w:rsidTr="00111420">
        <w:trPr>
          <w:jc w:val="center"/>
        </w:trPr>
        <w:tc>
          <w:tcPr>
            <w:tcW w:w="3602" w:type="dxa"/>
            <w:tcBorders>
              <w:top w:val="nil"/>
              <w:left w:val="nil"/>
              <w:bottom w:val="nil"/>
              <w:right w:val="nil"/>
            </w:tcBorders>
          </w:tcPr>
          <w:p w14:paraId="70C49432" w14:textId="77777777" w:rsidR="002E5F35" w:rsidRPr="001001F9" w:rsidRDefault="002E5F35" w:rsidP="00681E2F">
            <w:pPr>
              <w:widowControl w:val="0"/>
              <w:autoSpaceDE w:val="0"/>
              <w:autoSpaceDN w:val="0"/>
              <w:adjustRightInd w:val="0"/>
              <w:rPr>
                <w:sz w:val="20"/>
                <w:szCs w:val="20"/>
              </w:rPr>
            </w:pPr>
          </w:p>
        </w:tc>
        <w:tc>
          <w:tcPr>
            <w:tcW w:w="1440" w:type="dxa"/>
            <w:tcBorders>
              <w:top w:val="nil"/>
              <w:left w:val="nil"/>
              <w:bottom w:val="nil"/>
              <w:right w:val="nil"/>
            </w:tcBorders>
          </w:tcPr>
          <w:p w14:paraId="407639D3"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(0.490)</w:t>
            </w:r>
          </w:p>
        </w:tc>
        <w:tc>
          <w:tcPr>
            <w:tcW w:w="1584" w:type="dxa"/>
            <w:tcBorders>
              <w:top w:val="nil"/>
              <w:left w:val="nil"/>
              <w:bottom w:val="nil"/>
              <w:right w:val="nil"/>
            </w:tcBorders>
          </w:tcPr>
          <w:p w14:paraId="129530A4"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(0.522)</w:t>
            </w:r>
          </w:p>
        </w:tc>
        <w:tc>
          <w:tcPr>
            <w:tcW w:w="1440" w:type="dxa"/>
            <w:tcBorders>
              <w:top w:val="nil"/>
              <w:left w:val="nil"/>
              <w:bottom w:val="nil"/>
              <w:right w:val="nil"/>
            </w:tcBorders>
          </w:tcPr>
          <w:p w14:paraId="0077C705"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(0.184)</w:t>
            </w:r>
          </w:p>
        </w:tc>
        <w:tc>
          <w:tcPr>
            <w:tcW w:w="1296" w:type="dxa"/>
            <w:tcBorders>
              <w:top w:val="nil"/>
              <w:left w:val="nil"/>
              <w:bottom w:val="nil"/>
              <w:right w:val="nil"/>
            </w:tcBorders>
          </w:tcPr>
          <w:p w14:paraId="0E1AAA37"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(1.240)</w:t>
            </w:r>
          </w:p>
        </w:tc>
        <w:tc>
          <w:tcPr>
            <w:tcW w:w="1440" w:type="dxa"/>
            <w:tcBorders>
              <w:top w:val="nil"/>
              <w:left w:val="nil"/>
              <w:bottom w:val="nil"/>
              <w:right w:val="nil"/>
            </w:tcBorders>
          </w:tcPr>
          <w:p w14:paraId="268F8591"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(0.116)</w:t>
            </w:r>
          </w:p>
        </w:tc>
        <w:tc>
          <w:tcPr>
            <w:tcW w:w="1440" w:type="dxa"/>
            <w:tcBorders>
              <w:top w:val="nil"/>
              <w:left w:val="nil"/>
              <w:bottom w:val="nil"/>
              <w:right w:val="nil"/>
            </w:tcBorders>
          </w:tcPr>
          <w:p w14:paraId="6B03D0DF"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(0.305)</w:t>
            </w:r>
          </w:p>
        </w:tc>
        <w:tc>
          <w:tcPr>
            <w:tcW w:w="1440" w:type="dxa"/>
            <w:tcBorders>
              <w:top w:val="nil"/>
              <w:left w:val="nil"/>
              <w:bottom w:val="nil"/>
              <w:right w:val="nil"/>
            </w:tcBorders>
          </w:tcPr>
          <w:p w14:paraId="0C70DE42"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(1.092)</w:t>
            </w:r>
          </w:p>
        </w:tc>
      </w:tr>
      <w:tr w:rsidR="002E5F35" w:rsidRPr="001001F9" w14:paraId="7B4AC78D" w14:textId="77777777" w:rsidTr="00111420">
        <w:trPr>
          <w:jc w:val="center"/>
        </w:trPr>
        <w:tc>
          <w:tcPr>
            <w:tcW w:w="3602" w:type="dxa"/>
            <w:tcBorders>
              <w:top w:val="nil"/>
              <w:left w:val="nil"/>
              <w:bottom w:val="nil"/>
              <w:right w:val="nil"/>
            </w:tcBorders>
          </w:tcPr>
          <w:p w14:paraId="07BFD720" w14:textId="50DC81DE" w:rsidR="002E5F35" w:rsidRPr="001001F9" w:rsidRDefault="002E5F35" w:rsidP="00D6052A">
            <w:pPr>
              <w:widowControl w:val="0"/>
              <w:autoSpaceDE w:val="0"/>
              <w:autoSpaceDN w:val="0"/>
              <w:adjustRightInd w:val="0"/>
              <w:rPr>
                <w:sz w:val="20"/>
                <w:szCs w:val="20"/>
              </w:rPr>
            </w:pPr>
            <w:r w:rsidRPr="000A4511">
              <w:rPr>
                <w:color w:val="000000"/>
                <w:kern w:val="24"/>
                <w:sz w:val="20"/>
                <w:szCs w:val="20"/>
                <w:lang w:eastAsia="en-GB"/>
              </w:rPr>
              <w:t>Foreign-born population</w:t>
            </w:r>
          </w:p>
        </w:tc>
        <w:tc>
          <w:tcPr>
            <w:tcW w:w="1440" w:type="dxa"/>
            <w:tcBorders>
              <w:top w:val="nil"/>
              <w:left w:val="nil"/>
              <w:bottom w:val="nil"/>
              <w:right w:val="nil"/>
            </w:tcBorders>
          </w:tcPr>
          <w:p w14:paraId="65ACA424" w14:textId="2B4448C4" w:rsidR="002E5F35" w:rsidRPr="001001F9" w:rsidRDefault="002E5F35" w:rsidP="00681E2F">
            <w:pPr>
              <w:widowControl w:val="0"/>
              <w:autoSpaceDE w:val="0"/>
              <w:autoSpaceDN w:val="0"/>
              <w:adjustRightInd w:val="0"/>
              <w:jc w:val="center"/>
              <w:rPr>
                <w:sz w:val="20"/>
                <w:szCs w:val="20"/>
              </w:rPr>
            </w:pPr>
            <w:r w:rsidRPr="001001F9">
              <w:rPr>
                <w:sz w:val="20"/>
                <w:szCs w:val="20"/>
              </w:rPr>
              <w:t>13.654</w:t>
            </w:r>
          </w:p>
        </w:tc>
        <w:tc>
          <w:tcPr>
            <w:tcW w:w="1584" w:type="dxa"/>
            <w:tcBorders>
              <w:top w:val="nil"/>
              <w:left w:val="nil"/>
              <w:bottom w:val="nil"/>
              <w:right w:val="nil"/>
            </w:tcBorders>
          </w:tcPr>
          <w:p w14:paraId="2B21D7CA" w14:textId="75A8453E" w:rsidR="002E5F35" w:rsidRPr="001001F9" w:rsidRDefault="002E5F35" w:rsidP="00681E2F">
            <w:pPr>
              <w:widowControl w:val="0"/>
              <w:autoSpaceDE w:val="0"/>
              <w:autoSpaceDN w:val="0"/>
              <w:adjustRightInd w:val="0"/>
              <w:jc w:val="center"/>
              <w:rPr>
                <w:sz w:val="20"/>
                <w:szCs w:val="20"/>
              </w:rPr>
            </w:pPr>
            <w:r w:rsidRPr="001001F9">
              <w:rPr>
                <w:sz w:val="20"/>
                <w:szCs w:val="20"/>
              </w:rPr>
              <w:t>6.486</w:t>
            </w:r>
          </w:p>
        </w:tc>
        <w:tc>
          <w:tcPr>
            <w:tcW w:w="1440" w:type="dxa"/>
            <w:tcBorders>
              <w:top w:val="nil"/>
              <w:left w:val="nil"/>
              <w:bottom w:val="nil"/>
              <w:right w:val="nil"/>
            </w:tcBorders>
          </w:tcPr>
          <w:p w14:paraId="4C602AA3" w14:textId="537544A6" w:rsidR="002E5F35" w:rsidRPr="001001F9" w:rsidRDefault="002E5F35" w:rsidP="00681E2F">
            <w:pPr>
              <w:widowControl w:val="0"/>
              <w:autoSpaceDE w:val="0"/>
              <w:autoSpaceDN w:val="0"/>
              <w:adjustRightInd w:val="0"/>
              <w:jc w:val="center"/>
              <w:rPr>
                <w:sz w:val="20"/>
                <w:szCs w:val="20"/>
              </w:rPr>
            </w:pPr>
            <w:r w:rsidRPr="001001F9">
              <w:rPr>
                <w:sz w:val="20"/>
                <w:szCs w:val="20"/>
              </w:rPr>
              <w:t>0.452</w:t>
            </w:r>
          </w:p>
        </w:tc>
        <w:tc>
          <w:tcPr>
            <w:tcW w:w="1296" w:type="dxa"/>
            <w:tcBorders>
              <w:top w:val="nil"/>
              <w:left w:val="nil"/>
              <w:bottom w:val="nil"/>
              <w:right w:val="nil"/>
            </w:tcBorders>
          </w:tcPr>
          <w:p w14:paraId="20508948"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0.475</w:t>
            </w:r>
          </w:p>
        </w:tc>
        <w:tc>
          <w:tcPr>
            <w:tcW w:w="1440" w:type="dxa"/>
            <w:tcBorders>
              <w:top w:val="nil"/>
              <w:left w:val="nil"/>
              <w:bottom w:val="nil"/>
              <w:right w:val="nil"/>
            </w:tcBorders>
          </w:tcPr>
          <w:p w14:paraId="7C84BC89" w14:textId="54D76826" w:rsidR="002E5F35" w:rsidRPr="001001F9" w:rsidRDefault="002E5F35" w:rsidP="00681E2F">
            <w:pPr>
              <w:widowControl w:val="0"/>
              <w:autoSpaceDE w:val="0"/>
              <w:autoSpaceDN w:val="0"/>
              <w:adjustRightInd w:val="0"/>
              <w:jc w:val="center"/>
              <w:rPr>
                <w:sz w:val="20"/>
                <w:szCs w:val="20"/>
              </w:rPr>
            </w:pPr>
            <w:r w:rsidRPr="001001F9">
              <w:rPr>
                <w:sz w:val="20"/>
                <w:szCs w:val="20"/>
              </w:rPr>
              <w:t>1.217</w:t>
            </w:r>
          </w:p>
        </w:tc>
        <w:tc>
          <w:tcPr>
            <w:tcW w:w="1440" w:type="dxa"/>
            <w:tcBorders>
              <w:top w:val="nil"/>
              <w:left w:val="nil"/>
              <w:bottom w:val="nil"/>
              <w:right w:val="nil"/>
            </w:tcBorders>
          </w:tcPr>
          <w:p w14:paraId="0B41C97C" w14:textId="66C35D75" w:rsidR="002E5F35" w:rsidRPr="001001F9" w:rsidRDefault="002E5F35" w:rsidP="00681E2F">
            <w:pPr>
              <w:widowControl w:val="0"/>
              <w:autoSpaceDE w:val="0"/>
              <w:autoSpaceDN w:val="0"/>
              <w:adjustRightInd w:val="0"/>
              <w:jc w:val="center"/>
              <w:rPr>
                <w:sz w:val="20"/>
                <w:szCs w:val="20"/>
              </w:rPr>
            </w:pPr>
            <w:r w:rsidRPr="001001F9">
              <w:rPr>
                <w:sz w:val="20"/>
                <w:szCs w:val="20"/>
              </w:rPr>
              <w:t>1.172</w:t>
            </w:r>
          </w:p>
        </w:tc>
        <w:tc>
          <w:tcPr>
            <w:tcW w:w="1440" w:type="dxa"/>
            <w:tcBorders>
              <w:top w:val="nil"/>
              <w:left w:val="nil"/>
              <w:bottom w:val="nil"/>
              <w:right w:val="nil"/>
            </w:tcBorders>
          </w:tcPr>
          <w:p w14:paraId="75DB5B4E" w14:textId="6FE541AB" w:rsidR="002E5F35" w:rsidRPr="001001F9" w:rsidRDefault="002E5F35" w:rsidP="00681E2F">
            <w:pPr>
              <w:widowControl w:val="0"/>
              <w:autoSpaceDE w:val="0"/>
              <w:autoSpaceDN w:val="0"/>
              <w:adjustRightInd w:val="0"/>
              <w:jc w:val="center"/>
              <w:rPr>
                <w:sz w:val="20"/>
                <w:szCs w:val="20"/>
              </w:rPr>
            </w:pPr>
            <w:r w:rsidRPr="001001F9">
              <w:rPr>
                <w:sz w:val="20"/>
                <w:szCs w:val="20"/>
              </w:rPr>
              <w:t>5.561</w:t>
            </w:r>
          </w:p>
        </w:tc>
      </w:tr>
      <w:tr w:rsidR="002E5F35" w:rsidRPr="001001F9" w14:paraId="3DECA1A8" w14:textId="77777777" w:rsidTr="00111420">
        <w:trPr>
          <w:jc w:val="center"/>
        </w:trPr>
        <w:tc>
          <w:tcPr>
            <w:tcW w:w="3602" w:type="dxa"/>
            <w:tcBorders>
              <w:top w:val="nil"/>
              <w:left w:val="nil"/>
              <w:bottom w:val="nil"/>
              <w:right w:val="nil"/>
            </w:tcBorders>
          </w:tcPr>
          <w:p w14:paraId="7ED6751D" w14:textId="77777777" w:rsidR="002E5F35" w:rsidRPr="001001F9" w:rsidRDefault="002E5F35" w:rsidP="00681E2F">
            <w:pPr>
              <w:widowControl w:val="0"/>
              <w:autoSpaceDE w:val="0"/>
              <w:autoSpaceDN w:val="0"/>
              <w:adjustRightInd w:val="0"/>
              <w:rPr>
                <w:sz w:val="20"/>
                <w:szCs w:val="20"/>
              </w:rPr>
            </w:pPr>
          </w:p>
        </w:tc>
        <w:tc>
          <w:tcPr>
            <w:tcW w:w="1440" w:type="dxa"/>
            <w:tcBorders>
              <w:top w:val="nil"/>
              <w:left w:val="nil"/>
              <w:bottom w:val="nil"/>
              <w:right w:val="nil"/>
            </w:tcBorders>
          </w:tcPr>
          <w:p w14:paraId="0457D459"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(1.480)</w:t>
            </w:r>
          </w:p>
        </w:tc>
        <w:tc>
          <w:tcPr>
            <w:tcW w:w="1584" w:type="dxa"/>
            <w:tcBorders>
              <w:top w:val="nil"/>
              <w:left w:val="nil"/>
              <w:bottom w:val="nil"/>
              <w:right w:val="nil"/>
            </w:tcBorders>
          </w:tcPr>
          <w:p w14:paraId="387A02B8"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(0.193)</w:t>
            </w:r>
          </w:p>
        </w:tc>
        <w:tc>
          <w:tcPr>
            <w:tcW w:w="1440" w:type="dxa"/>
            <w:tcBorders>
              <w:top w:val="nil"/>
              <w:left w:val="nil"/>
              <w:bottom w:val="nil"/>
              <w:right w:val="nil"/>
            </w:tcBorders>
          </w:tcPr>
          <w:p w14:paraId="3BC72303"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(0.198)</w:t>
            </w:r>
          </w:p>
        </w:tc>
        <w:tc>
          <w:tcPr>
            <w:tcW w:w="1296" w:type="dxa"/>
            <w:tcBorders>
              <w:top w:val="nil"/>
              <w:left w:val="nil"/>
              <w:bottom w:val="nil"/>
              <w:right w:val="nil"/>
            </w:tcBorders>
          </w:tcPr>
          <w:p w14:paraId="6196FF95"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(0.420)</w:t>
            </w:r>
          </w:p>
        </w:tc>
        <w:tc>
          <w:tcPr>
            <w:tcW w:w="1440" w:type="dxa"/>
            <w:tcBorders>
              <w:top w:val="nil"/>
              <w:left w:val="nil"/>
              <w:bottom w:val="nil"/>
              <w:right w:val="nil"/>
            </w:tcBorders>
          </w:tcPr>
          <w:p w14:paraId="0BEB5B16"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(0.025)</w:t>
            </w:r>
          </w:p>
        </w:tc>
        <w:tc>
          <w:tcPr>
            <w:tcW w:w="1440" w:type="dxa"/>
            <w:tcBorders>
              <w:top w:val="nil"/>
              <w:left w:val="nil"/>
              <w:bottom w:val="nil"/>
              <w:right w:val="nil"/>
            </w:tcBorders>
          </w:tcPr>
          <w:p w14:paraId="5F121390"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(0.175)</w:t>
            </w:r>
          </w:p>
        </w:tc>
        <w:tc>
          <w:tcPr>
            <w:tcW w:w="1440" w:type="dxa"/>
            <w:tcBorders>
              <w:top w:val="nil"/>
              <w:left w:val="nil"/>
              <w:bottom w:val="nil"/>
              <w:right w:val="nil"/>
            </w:tcBorders>
          </w:tcPr>
          <w:p w14:paraId="53855A78"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(1.663)</w:t>
            </w:r>
          </w:p>
        </w:tc>
      </w:tr>
      <w:tr w:rsidR="002E5F35" w:rsidRPr="001001F9" w14:paraId="7EDDB84B" w14:textId="77777777" w:rsidTr="00111420">
        <w:trPr>
          <w:jc w:val="center"/>
        </w:trPr>
        <w:tc>
          <w:tcPr>
            <w:tcW w:w="3602" w:type="dxa"/>
            <w:tcBorders>
              <w:top w:val="nil"/>
              <w:left w:val="nil"/>
              <w:bottom w:val="nil"/>
              <w:right w:val="nil"/>
            </w:tcBorders>
          </w:tcPr>
          <w:p w14:paraId="3A0291BC" w14:textId="366F1377" w:rsidR="002E5F35" w:rsidRPr="001001F9" w:rsidRDefault="00D6052A" w:rsidP="00681E2F">
            <w:pPr>
              <w:widowControl w:val="0"/>
              <w:autoSpaceDE w:val="0"/>
              <w:autoSpaceDN w:val="0"/>
              <w:adjustRightInd w:val="0"/>
              <w:rPr>
                <w:sz w:val="20"/>
                <w:szCs w:val="20"/>
              </w:rPr>
            </w:pPr>
            <w:r>
              <w:rPr>
                <w:sz w:val="20"/>
                <w:szCs w:val="20"/>
              </w:rPr>
              <w:t>Population</w:t>
            </w:r>
          </w:p>
        </w:tc>
        <w:tc>
          <w:tcPr>
            <w:tcW w:w="1440" w:type="dxa"/>
            <w:tcBorders>
              <w:top w:val="nil"/>
              <w:left w:val="nil"/>
              <w:bottom w:val="nil"/>
              <w:right w:val="nil"/>
            </w:tcBorders>
          </w:tcPr>
          <w:p w14:paraId="0F9D9BC3" w14:textId="49153A1A" w:rsidR="002E5F35" w:rsidRPr="001001F9" w:rsidRDefault="002E5F35" w:rsidP="00681E2F">
            <w:pPr>
              <w:widowControl w:val="0"/>
              <w:autoSpaceDE w:val="0"/>
              <w:autoSpaceDN w:val="0"/>
              <w:adjustRightInd w:val="0"/>
              <w:jc w:val="center"/>
              <w:rPr>
                <w:sz w:val="20"/>
                <w:szCs w:val="20"/>
              </w:rPr>
            </w:pPr>
            <w:r w:rsidRPr="001001F9">
              <w:rPr>
                <w:sz w:val="20"/>
                <w:szCs w:val="20"/>
              </w:rPr>
              <w:t>1.221</w:t>
            </w:r>
          </w:p>
        </w:tc>
        <w:tc>
          <w:tcPr>
            <w:tcW w:w="1584" w:type="dxa"/>
            <w:tcBorders>
              <w:top w:val="nil"/>
              <w:left w:val="nil"/>
              <w:bottom w:val="nil"/>
              <w:right w:val="nil"/>
            </w:tcBorders>
          </w:tcPr>
          <w:p w14:paraId="2C6D3FBD" w14:textId="4E62D062" w:rsidR="002E5F35" w:rsidRPr="001001F9" w:rsidRDefault="002E5F35" w:rsidP="00681E2F">
            <w:pPr>
              <w:widowControl w:val="0"/>
              <w:autoSpaceDE w:val="0"/>
              <w:autoSpaceDN w:val="0"/>
              <w:adjustRightInd w:val="0"/>
              <w:jc w:val="center"/>
              <w:rPr>
                <w:sz w:val="20"/>
                <w:szCs w:val="20"/>
              </w:rPr>
            </w:pPr>
            <w:r w:rsidRPr="001001F9">
              <w:rPr>
                <w:sz w:val="20"/>
                <w:szCs w:val="20"/>
              </w:rPr>
              <w:t>2.935</w:t>
            </w:r>
          </w:p>
        </w:tc>
        <w:tc>
          <w:tcPr>
            <w:tcW w:w="1440" w:type="dxa"/>
            <w:tcBorders>
              <w:top w:val="nil"/>
              <w:left w:val="nil"/>
              <w:bottom w:val="nil"/>
              <w:right w:val="nil"/>
            </w:tcBorders>
          </w:tcPr>
          <w:p w14:paraId="7632FC77" w14:textId="3FE130BE" w:rsidR="002E5F35" w:rsidRPr="001001F9" w:rsidRDefault="002E5F35" w:rsidP="00681E2F">
            <w:pPr>
              <w:widowControl w:val="0"/>
              <w:autoSpaceDE w:val="0"/>
              <w:autoSpaceDN w:val="0"/>
              <w:adjustRightInd w:val="0"/>
              <w:jc w:val="center"/>
              <w:rPr>
                <w:sz w:val="20"/>
                <w:szCs w:val="20"/>
              </w:rPr>
            </w:pPr>
            <w:r w:rsidRPr="001001F9">
              <w:rPr>
                <w:sz w:val="20"/>
                <w:szCs w:val="20"/>
              </w:rPr>
              <w:t>0.795</w:t>
            </w:r>
          </w:p>
        </w:tc>
        <w:tc>
          <w:tcPr>
            <w:tcW w:w="1296" w:type="dxa"/>
            <w:tcBorders>
              <w:top w:val="nil"/>
              <w:left w:val="nil"/>
              <w:bottom w:val="nil"/>
              <w:right w:val="nil"/>
            </w:tcBorders>
          </w:tcPr>
          <w:p w14:paraId="1D0C5406" w14:textId="3D17CD81" w:rsidR="002E5F35" w:rsidRPr="001001F9" w:rsidRDefault="002E5F35" w:rsidP="00681E2F">
            <w:pPr>
              <w:widowControl w:val="0"/>
              <w:autoSpaceDE w:val="0"/>
              <w:autoSpaceDN w:val="0"/>
              <w:adjustRightInd w:val="0"/>
              <w:jc w:val="center"/>
              <w:rPr>
                <w:sz w:val="20"/>
                <w:szCs w:val="20"/>
              </w:rPr>
            </w:pPr>
            <w:r w:rsidRPr="001001F9">
              <w:rPr>
                <w:sz w:val="20"/>
                <w:szCs w:val="20"/>
              </w:rPr>
              <w:t>0.958</w:t>
            </w:r>
          </w:p>
        </w:tc>
        <w:tc>
          <w:tcPr>
            <w:tcW w:w="1440" w:type="dxa"/>
            <w:tcBorders>
              <w:top w:val="nil"/>
              <w:left w:val="nil"/>
              <w:bottom w:val="nil"/>
              <w:right w:val="nil"/>
            </w:tcBorders>
          </w:tcPr>
          <w:p w14:paraId="0A10F59A" w14:textId="55339797" w:rsidR="002E5F35" w:rsidRPr="001001F9" w:rsidRDefault="002E5F35" w:rsidP="00681E2F">
            <w:pPr>
              <w:widowControl w:val="0"/>
              <w:autoSpaceDE w:val="0"/>
              <w:autoSpaceDN w:val="0"/>
              <w:adjustRightInd w:val="0"/>
              <w:jc w:val="center"/>
              <w:rPr>
                <w:sz w:val="20"/>
                <w:szCs w:val="20"/>
              </w:rPr>
            </w:pPr>
            <w:r w:rsidRPr="001001F9">
              <w:rPr>
                <w:sz w:val="20"/>
                <w:szCs w:val="20"/>
              </w:rPr>
              <w:t>0.455</w:t>
            </w:r>
          </w:p>
        </w:tc>
        <w:tc>
          <w:tcPr>
            <w:tcW w:w="1440" w:type="dxa"/>
            <w:tcBorders>
              <w:top w:val="nil"/>
              <w:left w:val="nil"/>
              <w:bottom w:val="nil"/>
              <w:right w:val="nil"/>
            </w:tcBorders>
          </w:tcPr>
          <w:p w14:paraId="47AAC69F" w14:textId="374B71DE" w:rsidR="002E5F35" w:rsidRPr="001001F9" w:rsidRDefault="002E5F35" w:rsidP="00681E2F">
            <w:pPr>
              <w:widowControl w:val="0"/>
              <w:autoSpaceDE w:val="0"/>
              <w:autoSpaceDN w:val="0"/>
              <w:adjustRightInd w:val="0"/>
              <w:jc w:val="center"/>
              <w:rPr>
                <w:sz w:val="20"/>
                <w:szCs w:val="20"/>
              </w:rPr>
            </w:pPr>
            <w:r w:rsidRPr="001001F9">
              <w:rPr>
                <w:sz w:val="20"/>
                <w:szCs w:val="20"/>
              </w:rPr>
              <w:t>1.055</w:t>
            </w:r>
          </w:p>
        </w:tc>
        <w:tc>
          <w:tcPr>
            <w:tcW w:w="1440" w:type="dxa"/>
            <w:tcBorders>
              <w:top w:val="nil"/>
              <w:left w:val="nil"/>
              <w:bottom w:val="nil"/>
              <w:right w:val="nil"/>
            </w:tcBorders>
          </w:tcPr>
          <w:p w14:paraId="7D92AC02" w14:textId="645C2EB5" w:rsidR="002E5F35" w:rsidRPr="001001F9" w:rsidRDefault="002E5F35" w:rsidP="00681E2F">
            <w:pPr>
              <w:widowControl w:val="0"/>
              <w:autoSpaceDE w:val="0"/>
              <w:autoSpaceDN w:val="0"/>
              <w:adjustRightInd w:val="0"/>
              <w:jc w:val="center"/>
              <w:rPr>
                <w:sz w:val="20"/>
                <w:szCs w:val="20"/>
              </w:rPr>
            </w:pPr>
            <w:r w:rsidRPr="001001F9">
              <w:rPr>
                <w:sz w:val="20"/>
                <w:szCs w:val="20"/>
              </w:rPr>
              <w:t>1.375</w:t>
            </w:r>
          </w:p>
        </w:tc>
      </w:tr>
      <w:tr w:rsidR="002E5F35" w:rsidRPr="001001F9" w14:paraId="675504AC" w14:textId="77777777" w:rsidTr="00111420">
        <w:trPr>
          <w:jc w:val="center"/>
        </w:trPr>
        <w:tc>
          <w:tcPr>
            <w:tcW w:w="3602" w:type="dxa"/>
            <w:tcBorders>
              <w:top w:val="nil"/>
              <w:left w:val="nil"/>
              <w:bottom w:val="nil"/>
              <w:right w:val="nil"/>
            </w:tcBorders>
          </w:tcPr>
          <w:p w14:paraId="1AF400EC" w14:textId="77777777" w:rsidR="002E5F35" w:rsidRPr="001001F9" w:rsidRDefault="002E5F35" w:rsidP="00681E2F">
            <w:pPr>
              <w:widowControl w:val="0"/>
              <w:autoSpaceDE w:val="0"/>
              <w:autoSpaceDN w:val="0"/>
              <w:adjustRightInd w:val="0"/>
              <w:rPr>
                <w:sz w:val="20"/>
                <w:szCs w:val="20"/>
              </w:rPr>
            </w:pPr>
          </w:p>
        </w:tc>
        <w:tc>
          <w:tcPr>
            <w:tcW w:w="1440" w:type="dxa"/>
            <w:tcBorders>
              <w:top w:val="nil"/>
              <w:left w:val="nil"/>
              <w:bottom w:val="nil"/>
              <w:right w:val="nil"/>
            </w:tcBorders>
          </w:tcPr>
          <w:p w14:paraId="1DD411F6"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(0.092)</w:t>
            </w:r>
          </w:p>
        </w:tc>
        <w:tc>
          <w:tcPr>
            <w:tcW w:w="1584" w:type="dxa"/>
            <w:tcBorders>
              <w:top w:val="nil"/>
              <w:left w:val="nil"/>
              <w:bottom w:val="nil"/>
              <w:right w:val="nil"/>
            </w:tcBorders>
          </w:tcPr>
          <w:p w14:paraId="6BC1D4FE"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(0.103)</w:t>
            </w:r>
          </w:p>
        </w:tc>
        <w:tc>
          <w:tcPr>
            <w:tcW w:w="1440" w:type="dxa"/>
            <w:tcBorders>
              <w:top w:val="nil"/>
              <w:left w:val="nil"/>
              <w:bottom w:val="nil"/>
              <w:right w:val="nil"/>
            </w:tcBorders>
          </w:tcPr>
          <w:p w14:paraId="0615112F"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(0.056)</w:t>
            </w:r>
          </w:p>
        </w:tc>
        <w:tc>
          <w:tcPr>
            <w:tcW w:w="1296" w:type="dxa"/>
            <w:tcBorders>
              <w:top w:val="nil"/>
              <w:left w:val="nil"/>
              <w:bottom w:val="nil"/>
              <w:right w:val="nil"/>
            </w:tcBorders>
          </w:tcPr>
          <w:p w14:paraId="7140E3C1"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(0.152)</w:t>
            </w:r>
          </w:p>
        </w:tc>
        <w:tc>
          <w:tcPr>
            <w:tcW w:w="1440" w:type="dxa"/>
            <w:tcBorders>
              <w:top w:val="nil"/>
              <w:left w:val="nil"/>
              <w:bottom w:val="nil"/>
              <w:right w:val="nil"/>
            </w:tcBorders>
          </w:tcPr>
          <w:p w14:paraId="624C931A"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(0.039)</w:t>
            </w:r>
          </w:p>
        </w:tc>
        <w:tc>
          <w:tcPr>
            <w:tcW w:w="1440" w:type="dxa"/>
            <w:tcBorders>
              <w:top w:val="nil"/>
              <w:left w:val="nil"/>
              <w:bottom w:val="nil"/>
              <w:right w:val="nil"/>
            </w:tcBorders>
          </w:tcPr>
          <w:p w14:paraId="2EB42802"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(0.079)</w:t>
            </w:r>
          </w:p>
        </w:tc>
        <w:tc>
          <w:tcPr>
            <w:tcW w:w="1440" w:type="dxa"/>
            <w:tcBorders>
              <w:top w:val="nil"/>
              <w:left w:val="nil"/>
              <w:bottom w:val="nil"/>
              <w:right w:val="nil"/>
            </w:tcBorders>
          </w:tcPr>
          <w:p w14:paraId="506FAD37"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(0.163)</w:t>
            </w:r>
          </w:p>
        </w:tc>
      </w:tr>
      <w:tr w:rsidR="002E5F35" w:rsidRPr="001001F9" w14:paraId="0DE889AD" w14:textId="77777777" w:rsidTr="00111420">
        <w:trPr>
          <w:jc w:val="center"/>
        </w:trPr>
        <w:tc>
          <w:tcPr>
            <w:tcW w:w="3602" w:type="dxa"/>
            <w:tcBorders>
              <w:top w:val="nil"/>
              <w:left w:val="nil"/>
              <w:bottom w:val="nil"/>
              <w:right w:val="nil"/>
            </w:tcBorders>
          </w:tcPr>
          <w:p w14:paraId="43A137B1" w14:textId="6610CCFF" w:rsidR="002E5F35" w:rsidRPr="001001F9" w:rsidRDefault="002E5F35" w:rsidP="00681E2F">
            <w:pPr>
              <w:widowControl w:val="0"/>
              <w:autoSpaceDE w:val="0"/>
              <w:autoSpaceDN w:val="0"/>
              <w:adjustRightInd w:val="0"/>
              <w:rPr>
                <w:sz w:val="20"/>
                <w:szCs w:val="20"/>
              </w:rPr>
            </w:pPr>
            <w:r w:rsidRPr="000A4511">
              <w:rPr>
                <w:color w:val="000000"/>
                <w:kern w:val="24"/>
                <w:sz w:val="20"/>
                <w:szCs w:val="20"/>
                <w:lang w:eastAsia="en-GB"/>
              </w:rPr>
              <w:t>GDP Growth</w:t>
            </w:r>
          </w:p>
        </w:tc>
        <w:tc>
          <w:tcPr>
            <w:tcW w:w="1440" w:type="dxa"/>
            <w:tcBorders>
              <w:top w:val="nil"/>
              <w:left w:val="nil"/>
              <w:bottom w:val="nil"/>
              <w:right w:val="nil"/>
            </w:tcBorders>
          </w:tcPr>
          <w:p w14:paraId="1AE248C9" w14:textId="3F78C685" w:rsidR="002E5F35" w:rsidRPr="001001F9" w:rsidRDefault="002E5F35" w:rsidP="00681E2F">
            <w:pPr>
              <w:widowControl w:val="0"/>
              <w:autoSpaceDE w:val="0"/>
              <w:autoSpaceDN w:val="0"/>
              <w:adjustRightInd w:val="0"/>
              <w:jc w:val="center"/>
              <w:rPr>
                <w:sz w:val="20"/>
                <w:szCs w:val="20"/>
              </w:rPr>
            </w:pPr>
            <w:r w:rsidRPr="001001F9">
              <w:rPr>
                <w:sz w:val="20"/>
                <w:szCs w:val="20"/>
              </w:rPr>
              <w:t>-0.174</w:t>
            </w:r>
          </w:p>
        </w:tc>
        <w:tc>
          <w:tcPr>
            <w:tcW w:w="1584" w:type="dxa"/>
            <w:tcBorders>
              <w:top w:val="nil"/>
              <w:left w:val="nil"/>
              <w:bottom w:val="nil"/>
              <w:right w:val="nil"/>
            </w:tcBorders>
          </w:tcPr>
          <w:p w14:paraId="760F056F" w14:textId="1764C452" w:rsidR="002E5F35" w:rsidRPr="001001F9" w:rsidRDefault="002E5F35" w:rsidP="00681E2F">
            <w:pPr>
              <w:widowControl w:val="0"/>
              <w:autoSpaceDE w:val="0"/>
              <w:autoSpaceDN w:val="0"/>
              <w:adjustRightInd w:val="0"/>
              <w:jc w:val="center"/>
              <w:rPr>
                <w:sz w:val="20"/>
                <w:szCs w:val="20"/>
              </w:rPr>
            </w:pPr>
            <w:r w:rsidRPr="001001F9">
              <w:rPr>
                <w:sz w:val="20"/>
                <w:szCs w:val="20"/>
              </w:rPr>
              <w:t>-0.137</w:t>
            </w:r>
          </w:p>
        </w:tc>
        <w:tc>
          <w:tcPr>
            <w:tcW w:w="1440" w:type="dxa"/>
            <w:tcBorders>
              <w:top w:val="nil"/>
              <w:left w:val="nil"/>
              <w:bottom w:val="nil"/>
              <w:right w:val="nil"/>
            </w:tcBorders>
          </w:tcPr>
          <w:p w14:paraId="395058ED" w14:textId="0FCC35C4" w:rsidR="002E5F35" w:rsidRPr="001001F9" w:rsidRDefault="002E5F35" w:rsidP="00681E2F">
            <w:pPr>
              <w:widowControl w:val="0"/>
              <w:autoSpaceDE w:val="0"/>
              <w:autoSpaceDN w:val="0"/>
              <w:adjustRightInd w:val="0"/>
              <w:jc w:val="center"/>
              <w:rPr>
                <w:sz w:val="20"/>
                <w:szCs w:val="20"/>
              </w:rPr>
            </w:pPr>
            <w:r w:rsidRPr="001001F9">
              <w:rPr>
                <w:sz w:val="20"/>
                <w:szCs w:val="20"/>
              </w:rPr>
              <w:t>0.101</w:t>
            </w:r>
          </w:p>
        </w:tc>
        <w:tc>
          <w:tcPr>
            <w:tcW w:w="1296" w:type="dxa"/>
            <w:tcBorders>
              <w:top w:val="nil"/>
              <w:left w:val="nil"/>
              <w:bottom w:val="nil"/>
              <w:right w:val="nil"/>
            </w:tcBorders>
          </w:tcPr>
          <w:p w14:paraId="5A7061A0"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0.064</w:t>
            </w:r>
          </w:p>
        </w:tc>
        <w:tc>
          <w:tcPr>
            <w:tcW w:w="1440" w:type="dxa"/>
            <w:tcBorders>
              <w:top w:val="nil"/>
              <w:left w:val="nil"/>
              <w:bottom w:val="nil"/>
              <w:right w:val="nil"/>
            </w:tcBorders>
          </w:tcPr>
          <w:p w14:paraId="4872BD41" w14:textId="2837479E" w:rsidR="002E5F35" w:rsidRPr="001001F9" w:rsidRDefault="002E5F35" w:rsidP="00681E2F">
            <w:pPr>
              <w:widowControl w:val="0"/>
              <w:autoSpaceDE w:val="0"/>
              <w:autoSpaceDN w:val="0"/>
              <w:adjustRightInd w:val="0"/>
              <w:jc w:val="center"/>
              <w:rPr>
                <w:sz w:val="20"/>
                <w:szCs w:val="20"/>
              </w:rPr>
            </w:pPr>
            <w:r w:rsidRPr="001001F9">
              <w:rPr>
                <w:sz w:val="20"/>
                <w:szCs w:val="20"/>
              </w:rPr>
              <w:t>0.109</w:t>
            </w:r>
          </w:p>
        </w:tc>
        <w:tc>
          <w:tcPr>
            <w:tcW w:w="1440" w:type="dxa"/>
            <w:tcBorders>
              <w:top w:val="nil"/>
              <w:left w:val="nil"/>
              <w:bottom w:val="nil"/>
              <w:right w:val="nil"/>
            </w:tcBorders>
          </w:tcPr>
          <w:p w14:paraId="74D348EB"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0.045</w:t>
            </w:r>
          </w:p>
        </w:tc>
        <w:tc>
          <w:tcPr>
            <w:tcW w:w="1440" w:type="dxa"/>
            <w:tcBorders>
              <w:top w:val="nil"/>
              <w:left w:val="nil"/>
              <w:bottom w:val="nil"/>
              <w:right w:val="nil"/>
            </w:tcBorders>
          </w:tcPr>
          <w:p w14:paraId="68A14532" w14:textId="6BC340B4" w:rsidR="002E5F35" w:rsidRPr="001001F9" w:rsidRDefault="002E5F35" w:rsidP="00681E2F">
            <w:pPr>
              <w:widowControl w:val="0"/>
              <w:autoSpaceDE w:val="0"/>
              <w:autoSpaceDN w:val="0"/>
              <w:adjustRightInd w:val="0"/>
              <w:jc w:val="center"/>
              <w:rPr>
                <w:sz w:val="20"/>
                <w:szCs w:val="20"/>
              </w:rPr>
            </w:pPr>
            <w:r w:rsidRPr="001001F9">
              <w:rPr>
                <w:sz w:val="20"/>
                <w:szCs w:val="20"/>
              </w:rPr>
              <w:t>0.607</w:t>
            </w:r>
          </w:p>
        </w:tc>
      </w:tr>
      <w:tr w:rsidR="002E5F35" w:rsidRPr="001001F9" w14:paraId="0CEF94AA" w14:textId="77777777" w:rsidTr="00111420">
        <w:trPr>
          <w:jc w:val="center"/>
        </w:trPr>
        <w:tc>
          <w:tcPr>
            <w:tcW w:w="3602" w:type="dxa"/>
            <w:tcBorders>
              <w:top w:val="nil"/>
              <w:left w:val="nil"/>
              <w:bottom w:val="nil"/>
              <w:right w:val="nil"/>
            </w:tcBorders>
          </w:tcPr>
          <w:p w14:paraId="2CF664A7" w14:textId="77777777" w:rsidR="002E5F35" w:rsidRPr="001001F9" w:rsidRDefault="002E5F35" w:rsidP="00D0262E">
            <w:pPr>
              <w:widowControl w:val="0"/>
              <w:autoSpaceDE w:val="0"/>
              <w:autoSpaceDN w:val="0"/>
              <w:adjustRightInd w:val="0"/>
              <w:rPr>
                <w:sz w:val="20"/>
                <w:szCs w:val="20"/>
              </w:rPr>
            </w:pPr>
          </w:p>
        </w:tc>
        <w:tc>
          <w:tcPr>
            <w:tcW w:w="1440" w:type="dxa"/>
            <w:tcBorders>
              <w:top w:val="nil"/>
              <w:left w:val="nil"/>
              <w:bottom w:val="nil"/>
              <w:right w:val="nil"/>
            </w:tcBorders>
          </w:tcPr>
          <w:p w14:paraId="038013FE"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(0.039)</w:t>
            </w:r>
          </w:p>
        </w:tc>
        <w:tc>
          <w:tcPr>
            <w:tcW w:w="1584" w:type="dxa"/>
            <w:tcBorders>
              <w:top w:val="nil"/>
              <w:left w:val="nil"/>
              <w:bottom w:val="nil"/>
              <w:right w:val="nil"/>
            </w:tcBorders>
          </w:tcPr>
          <w:p w14:paraId="638BA906"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(0.013)</w:t>
            </w:r>
          </w:p>
        </w:tc>
        <w:tc>
          <w:tcPr>
            <w:tcW w:w="1440" w:type="dxa"/>
            <w:tcBorders>
              <w:top w:val="nil"/>
              <w:left w:val="nil"/>
              <w:bottom w:val="nil"/>
              <w:right w:val="nil"/>
            </w:tcBorders>
          </w:tcPr>
          <w:p w14:paraId="7FE03C65"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(0.040)</w:t>
            </w:r>
          </w:p>
        </w:tc>
        <w:tc>
          <w:tcPr>
            <w:tcW w:w="1296" w:type="dxa"/>
            <w:tcBorders>
              <w:top w:val="nil"/>
              <w:left w:val="nil"/>
              <w:bottom w:val="nil"/>
              <w:right w:val="nil"/>
            </w:tcBorders>
          </w:tcPr>
          <w:p w14:paraId="5879DA23"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(0.097)</w:t>
            </w:r>
          </w:p>
        </w:tc>
        <w:tc>
          <w:tcPr>
            <w:tcW w:w="1440" w:type="dxa"/>
            <w:tcBorders>
              <w:top w:val="nil"/>
              <w:left w:val="nil"/>
              <w:bottom w:val="nil"/>
              <w:right w:val="nil"/>
            </w:tcBorders>
          </w:tcPr>
          <w:p w14:paraId="36A05BB4"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(0.020)</w:t>
            </w:r>
          </w:p>
        </w:tc>
        <w:tc>
          <w:tcPr>
            <w:tcW w:w="1440" w:type="dxa"/>
            <w:tcBorders>
              <w:top w:val="nil"/>
              <w:left w:val="nil"/>
              <w:bottom w:val="nil"/>
              <w:right w:val="nil"/>
            </w:tcBorders>
          </w:tcPr>
          <w:p w14:paraId="40EAD9B0"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(0.035)</w:t>
            </w:r>
          </w:p>
        </w:tc>
        <w:tc>
          <w:tcPr>
            <w:tcW w:w="1440" w:type="dxa"/>
            <w:tcBorders>
              <w:top w:val="nil"/>
              <w:left w:val="nil"/>
              <w:bottom w:val="nil"/>
              <w:right w:val="nil"/>
            </w:tcBorders>
          </w:tcPr>
          <w:p w14:paraId="0CAE11DA"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(0.116)</w:t>
            </w:r>
          </w:p>
        </w:tc>
      </w:tr>
      <w:tr w:rsidR="002E5F35" w:rsidRPr="001001F9" w14:paraId="7E131E97" w14:textId="77777777" w:rsidTr="00111420">
        <w:trPr>
          <w:jc w:val="center"/>
        </w:trPr>
        <w:tc>
          <w:tcPr>
            <w:tcW w:w="3602" w:type="dxa"/>
            <w:tcBorders>
              <w:top w:val="nil"/>
              <w:left w:val="nil"/>
              <w:bottom w:val="nil"/>
              <w:right w:val="nil"/>
            </w:tcBorders>
          </w:tcPr>
          <w:p w14:paraId="7D65AEE1" w14:textId="0BF3067A" w:rsidR="002E5F35" w:rsidRPr="001001F9" w:rsidRDefault="002E5F35" w:rsidP="00681E2F">
            <w:pPr>
              <w:widowControl w:val="0"/>
              <w:autoSpaceDE w:val="0"/>
              <w:autoSpaceDN w:val="0"/>
              <w:adjustRightInd w:val="0"/>
              <w:rPr>
                <w:sz w:val="20"/>
                <w:szCs w:val="20"/>
              </w:rPr>
            </w:pPr>
            <w:r w:rsidRPr="000A4511">
              <w:rPr>
                <w:color w:val="000000"/>
                <w:kern w:val="24"/>
                <w:sz w:val="20"/>
                <w:szCs w:val="20"/>
                <w:lang w:eastAsia="en-GB"/>
              </w:rPr>
              <w:t>GDP per capita</w:t>
            </w:r>
          </w:p>
        </w:tc>
        <w:tc>
          <w:tcPr>
            <w:tcW w:w="1440" w:type="dxa"/>
            <w:tcBorders>
              <w:top w:val="nil"/>
              <w:left w:val="nil"/>
              <w:bottom w:val="nil"/>
              <w:right w:val="nil"/>
            </w:tcBorders>
          </w:tcPr>
          <w:p w14:paraId="40F2F249" w14:textId="3C961E18" w:rsidR="002E5F35" w:rsidRPr="001001F9" w:rsidRDefault="002E5F35" w:rsidP="00681E2F">
            <w:pPr>
              <w:widowControl w:val="0"/>
              <w:autoSpaceDE w:val="0"/>
              <w:autoSpaceDN w:val="0"/>
              <w:adjustRightInd w:val="0"/>
              <w:jc w:val="center"/>
              <w:rPr>
                <w:sz w:val="20"/>
                <w:szCs w:val="20"/>
              </w:rPr>
            </w:pPr>
            <w:r w:rsidRPr="001001F9">
              <w:rPr>
                <w:sz w:val="20"/>
                <w:szCs w:val="20"/>
              </w:rPr>
              <w:t>-0.021</w:t>
            </w:r>
          </w:p>
        </w:tc>
        <w:tc>
          <w:tcPr>
            <w:tcW w:w="1584" w:type="dxa"/>
            <w:tcBorders>
              <w:top w:val="nil"/>
              <w:left w:val="nil"/>
              <w:bottom w:val="nil"/>
              <w:right w:val="nil"/>
            </w:tcBorders>
          </w:tcPr>
          <w:p w14:paraId="4345C0CC" w14:textId="660D5D5A" w:rsidR="002E5F35" w:rsidRPr="001001F9" w:rsidRDefault="002E5F35" w:rsidP="00681E2F">
            <w:pPr>
              <w:widowControl w:val="0"/>
              <w:autoSpaceDE w:val="0"/>
              <w:autoSpaceDN w:val="0"/>
              <w:adjustRightInd w:val="0"/>
              <w:jc w:val="center"/>
              <w:rPr>
                <w:sz w:val="20"/>
                <w:szCs w:val="20"/>
              </w:rPr>
            </w:pPr>
            <w:r w:rsidRPr="001001F9">
              <w:rPr>
                <w:sz w:val="20"/>
                <w:szCs w:val="20"/>
              </w:rPr>
              <w:t>0.012</w:t>
            </w:r>
          </w:p>
        </w:tc>
        <w:tc>
          <w:tcPr>
            <w:tcW w:w="1440" w:type="dxa"/>
            <w:tcBorders>
              <w:top w:val="nil"/>
              <w:left w:val="nil"/>
              <w:bottom w:val="nil"/>
              <w:right w:val="nil"/>
            </w:tcBorders>
          </w:tcPr>
          <w:p w14:paraId="660229A0" w14:textId="29C32F59" w:rsidR="002E5F35" w:rsidRPr="001001F9" w:rsidRDefault="002E5F35" w:rsidP="00681E2F">
            <w:pPr>
              <w:widowControl w:val="0"/>
              <w:autoSpaceDE w:val="0"/>
              <w:autoSpaceDN w:val="0"/>
              <w:adjustRightInd w:val="0"/>
              <w:jc w:val="center"/>
              <w:rPr>
                <w:sz w:val="20"/>
                <w:szCs w:val="20"/>
              </w:rPr>
            </w:pPr>
            <w:r w:rsidRPr="001001F9">
              <w:rPr>
                <w:sz w:val="20"/>
                <w:szCs w:val="20"/>
              </w:rPr>
              <w:t>-0.025</w:t>
            </w:r>
          </w:p>
        </w:tc>
        <w:tc>
          <w:tcPr>
            <w:tcW w:w="1296" w:type="dxa"/>
            <w:tcBorders>
              <w:top w:val="nil"/>
              <w:left w:val="nil"/>
              <w:bottom w:val="nil"/>
              <w:right w:val="nil"/>
            </w:tcBorders>
          </w:tcPr>
          <w:p w14:paraId="7C03BEF4"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0.025</w:t>
            </w:r>
          </w:p>
        </w:tc>
        <w:tc>
          <w:tcPr>
            <w:tcW w:w="1440" w:type="dxa"/>
            <w:tcBorders>
              <w:top w:val="nil"/>
              <w:left w:val="nil"/>
              <w:bottom w:val="nil"/>
              <w:right w:val="nil"/>
            </w:tcBorders>
          </w:tcPr>
          <w:p w14:paraId="3D993936" w14:textId="3FFC2127" w:rsidR="002E5F35" w:rsidRPr="001001F9" w:rsidRDefault="002E5F35" w:rsidP="00681E2F">
            <w:pPr>
              <w:widowControl w:val="0"/>
              <w:autoSpaceDE w:val="0"/>
              <w:autoSpaceDN w:val="0"/>
              <w:adjustRightInd w:val="0"/>
              <w:jc w:val="center"/>
              <w:rPr>
                <w:sz w:val="20"/>
                <w:szCs w:val="20"/>
              </w:rPr>
            </w:pPr>
            <w:r w:rsidRPr="001001F9">
              <w:rPr>
                <w:sz w:val="20"/>
                <w:szCs w:val="20"/>
              </w:rPr>
              <w:t>0.027</w:t>
            </w:r>
          </w:p>
        </w:tc>
        <w:tc>
          <w:tcPr>
            <w:tcW w:w="1440" w:type="dxa"/>
            <w:tcBorders>
              <w:top w:val="nil"/>
              <w:left w:val="nil"/>
              <w:bottom w:val="nil"/>
              <w:right w:val="nil"/>
            </w:tcBorders>
          </w:tcPr>
          <w:p w14:paraId="3A34A063" w14:textId="4690BB5F" w:rsidR="002E5F35" w:rsidRPr="001001F9" w:rsidRDefault="002E5F35" w:rsidP="00681E2F">
            <w:pPr>
              <w:widowControl w:val="0"/>
              <w:autoSpaceDE w:val="0"/>
              <w:autoSpaceDN w:val="0"/>
              <w:adjustRightInd w:val="0"/>
              <w:jc w:val="center"/>
              <w:rPr>
                <w:sz w:val="20"/>
                <w:szCs w:val="20"/>
              </w:rPr>
            </w:pPr>
            <w:r w:rsidRPr="001001F9">
              <w:rPr>
                <w:sz w:val="20"/>
                <w:szCs w:val="20"/>
              </w:rPr>
              <w:t>0.017</w:t>
            </w:r>
          </w:p>
        </w:tc>
        <w:tc>
          <w:tcPr>
            <w:tcW w:w="1440" w:type="dxa"/>
            <w:tcBorders>
              <w:top w:val="nil"/>
              <w:left w:val="nil"/>
              <w:bottom w:val="nil"/>
              <w:right w:val="nil"/>
            </w:tcBorders>
          </w:tcPr>
          <w:p w14:paraId="0FF9D2A8"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-0.020</w:t>
            </w:r>
          </w:p>
        </w:tc>
      </w:tr>
      <w:tr w:rsidR="002E5F35" w:rsidRPr="001001F9" w14:paraId="2E81BDFB" w14:textId="77777777" w:rsidTr="00111420">
        <w:trPr>
          <w:jc w:val="center"/>
        </w:trPr>
        <w:tc>
          <w:tcPr>
            <w:tcW w:w="3602" w:type="dxa"/>
            <w:tcBorders>
              <w:top w:val="nil"/>
              <w:left w:val="nil"/>
              <w:bottom w:val="nil"/>
              <w:right w:val="nil"/>
            </w:tcBorders>
          </w:tcPr>
          <w:p w14:paraId="3E898376" w14:textId="77777777" w:rsidR="002E5F35" w:rsidRPr="001001F9" w:rsidRDefault="002E5F35" w:rsidP="00681E2F">
            <w:pPr>
              <w:widowControl w:val="0"/>
              <w:autoSpaceDE w:val="0"/>
              <w:autoSpaceDN w:val="0"/>
              <w:adjustRightInd w:val="0"/>
              <w:rPr>
                <w:sz w:val="20"/>
                <w:szCs w:val="20"/>
              </w:rPr>
            </w:pPr>
          </w:p>
        </w:tc>
        <w:tc>
          <w:tcPr>
            <w:tcW w:w="1440" w:type="dxa"/>
            <w:tcBorders>
              <w:top w:val="nil"/>
              <w:left w:val="nil"/>
              <w:bottom w:val="nil"/>
              <w:right w:val="nil"/>
            </w:tcBorders>
          </w:tcPr>
          <w:p w14:paraId="3C852267"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(0.008)</w:t>
            </w:r>
          </w:p>
        </w:tc>
        <w:tc>
          <w:tcPr>
            <w:tcW w:w="1584" w:type="dxa"/>
            <w:tcBorders>
              <w:top w:val="nil"/>
              <w:left w:val="nil"/>
              <w:bottom w:val="nil"/>
              <w:right w:val="nil"/>
            </w:tcBorders>
          </w:tcPr>
          <w:p w14:paraId="5A85AFC5"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(0.002)</w:t>
            </w:r>
          </w:p>
        </w:tc>
        <w:tc>
          <w:tcPr>
            <w:tcW w:w="1440" w:type="dxa"/>
            <w:tcBorders>
              <w:top w:val="nil"/>
              <w:left w:val="nil"/>
              <w:bottom w:val="nil"/>
              <w:right w:val="nil"/>
            </w:tcBorders>
          </w:tcPr>
          <w:p w14:paraId="55B4F70D"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(0.007)</w:t>
            </w:r>
          </w:p>
        </w:tc>
        <w:tc>
          <w:tcPr>
            <w:tcW w:w="1296" w:type="dxa"/>
            <w:tcBorders>
              <w:top w:val="nil"/>
              <w:left w:val="nil"/>
              <w:bottom w:val="nil"/>
              <w:right w:val="nil"/>
            </w:tcBorders>
          </w:tcPr>
          <w:p w14:paraId="1A768970"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(0.017)</w:t>
            </w:r>
          </w:p>
        </w:tc>
        <w:tc>
          <w:tcPr>
            <w:tcW w:w="1440" w:type="dxa"/>
            <w:tcBorders>
              <w:top w:val="nil"/>
              <w:left w:val="nil"/>
              <w:bottom w:val="nil"/>
              <w:right w:val="nil"/>
            </w:tcBorders>
          </w:tcPr>
          <w:p w14:paraId="584AA434"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(0.008)</w:t>
            </w:r>
          </w:p>
        </w:tc>
        <w:tc>
          <w:tcPr>
            <w:tcW w:w="1440" w:type="dxa"/>
            <w:tcBorders>
              <w:top w:val="nil"/>
              <w:left w:val="nil"/>
              <w:bottom w:val="nil"/>
              <w:right w:val="nil"/>
            </w:tcBorders>
          </w:tcPr>
          <w:p w14:paraId="428A367B"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(0.006)</w:t>
            </w:r>
          </w:p>
        </w:tc>
        <w:tc>
          <w:tcPr>
            <w:tcW w:w="1440" w:type="dxa"/>
            <w:tcBorders>
              <w:top w:val="nil"/>
              <w:left w:val="nil"/>
              <w:bottom w:val="nil"/>
              <w:right w:val="nil"/>
            </w:tcBorders>
          </w:tcPr>
          <w:p w14:paraId="4B58F37C"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(0.016)</w:t>
            </w:r>
          </w:p>
        </w:tc>
      </w:tr>
      <w:tr w:rsidR="002E5F35" w:rsidRPr="001001F9" w14:paraId="3F3B1147" w14:textId="77777777" w:rsidTr="00111420">
        <w:trPr>
          <w:jc w:val="center"/>
        </w:trPr>
        <w:tc>
          <w:tcPr>
            <w:tcW w:w="3602" w:type="dxa"/>
            <w:tcBorders>
              <w:top w:val="nil"/>
              <w:left w:val="nil"/>
              <w:bottom w:val="nil"/>
              <w:right w:val="nil"/>
            </w:tcBorders>
          </w:tcPr>
          <w:p w14:paraId="73E67E8D" w14:textId="5E3D0DED" w:rsidR="002E5F35" w:rsidRPr="001001F9" w:rsidRDefault="00D6052A" w:rsidP="00681E2F">
            <w:pPr>
              <w:widowControl w:val="0"/>
              <w:autoSpaceDE w:val="0"/>
              <w:autoSpaceDN w:val="0"/>
              <w:adjustRightInd w:val="0"/>
              <w:rPr>
                <w:sz w:val="20"/>
                <w:szCs w:val="20"/>
              </w:rPr>
            </w:pPr>
            <w:r>
              <w:rPr>
                <w:color w:val="000000"/>
                <w:kern w:val="24"/>
                <w:sz w:val="20"/>
                <w:szCs w:val="20"/>
                <w:lang w:eastAsia="en-GB"/>
              </w:rPr>
              <w:t>Agglomeration</w:t>
            </w:r>
          </w:p>
        </w:tc>
        <w:tc>
          <w:tcPr>
            <w:tcW w:w="1440" w:type="dxa"/>
            <w:tcBorders>
              <w:top w:val="nil"/>
              <w:left w:val="nil"/>
              <w:bottom w:val="nil"/>
              <w:right w:val="nil"/>
            </w:tcBorders>
          </w:tcPr>
          <w:p w14:paraId="6C91EB52" w14:textId="3970FC0F" w:rsidR="002E5F35" w:rsidRPr="001001F9" w:rsidRDefault="002E5F35" w:rsidP="00681E2F">
            <w:pPr>
              <w:widowControl w:val="0"/>
              <w:autoSpaceDE w:val="0"/>
              <w:autoSpaceDN w:val="0"/>
              <w:adjustRightInd w:val="0"/>
              <w:jc w:val="center"/>
              <w:rPr>
                <w:sz w:val="20"/>
                <w:szCs w:val="20"/>
              </w:rPr>
            </w:pPr>
            <w:r w:rsidRPr="001001F9">
              <w:rPr>
                <w:sz w:val="20"/>
                <w:szCs w:val="20"/>
              </w:rPr>
              <w:t>-0.149</w:t>
            </w:r>
          </w:p>
        </w:tc>
        <w:tc>
          <w:tcPr>
            <w:tcW w:w="1584" w:type="dxa"/>
            <w:tcBorders>
              <w:top w:val="nil"/>
              <w:left w:val="nil"/>
              <w:bottom w:val="nil"/>
              <w:right w:val="nil"/>
            </w:tcBorders>
          </w:tcPr>
          <w:p w14:paraId="34FD8B9F" w14:textId="3E82AF67" w:rsidR="002E5F35" w:rsidRPr="001001F9" w:rsidRDefault="002E5F35" w:rsidP="00681E2F">
            <w:pPr>
              <w:widowControl w:val="0"/>
              <w:autoSpaceDE w:val="0"/>
              <w:autoSpaceDN w:val="0"/>
              <w:adjustRightInd w:val="0"/>
              <w:jc w:val="center"/>
              <w:rPr>
                <w:sz w:val="20"/>
                <w:szCs w:val="20"/>
              </w:rPr>
            </w:pPr>
            <w:r w:rsidRPr="001001F9">
              <w:rPr>
                <w:sz w:val="20"/>
                <w:szCs w:val="20"/>
              </w:rPr>
              <w:t>-0.287</w:t>
            </w:r>
          </w:p>
        </w:tc>
        <w:tc>
          <w:tcPr>
            <w:tcW w:w="1440" w:type="dxa"/>
            <w:tcBorders>
              <w:top w:val="nil"/>
              <w:left w:val="nil"/>
              <w:bottom w:val="nil"/>
              <w:right w:val="nil"/>
            </w:tcBorders>
          </w:tcPr>
          <w:p w14:paraId="7DE21CB6" w14:textId="368FE819" w:rsidR="002E5F35" w:rsidRPr="001001F9" w:rsidRDefault="002E5F35" w:rsidP="00681E2F">
            <w:pPr>
              <w:widowControl w:val="0"/>
              <w:autoSpaceDE w:val="0"/>
              <w:autoSpaceDN w:val="0"/>
              <w:adjustRightInd w:val="0"/>
              <w:jc w:val="center"/>
              <w:rPr>
                <w:sz w:val="20"/>
                <w:szCs w:val="20"/>
              </w:rPr>
            </w:pPr>
            <w:r w:rsidRPr="001001F9">
              <w:rPr>
                <w:sz w:val="20"/>
                <w:szCs w:val="20"/>
              </w:rPr>
              <w:t>0.180</w:t>
            </w:r>
          </w:p>
        </w:tc>
        <w:tc>
          <w:tcPr>
            <w:tcW w:w="1296" w:type="dxa"/>
            <w:tcBorders>
              <w:top w:val="nil"/>
              <w:left w:val="nil"/>
              <w:bottom w:val="nil"/>
              <w:right w:val="nil"/>
            </w:tcBorders>
          </w:tcPr>
          <w:p w14:paraId="66747D08"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-0.018</w:t>
            </w:r>
          </w:p>
        </w:tc>
        <w:tc>
          <w:tcPr>
            <w:tcW w:w="1440" w:type="dxa"/>
            <w:tcBorders>
              <w:top w:val="nil"/>
              <w:left w:val="nil"/>
              <w:bottom w:val="nil"/>
              <w:right w:val="nil"/>
            </w:tcBorders>
          </w:tcPr>
          <w:p w14:paraId="3E31BF5D" w14:textId="49C7CD37" w:rsidR="002E5F35" w:rsidRPr="001001F9" w:rsidRDefault="002E5F35" w:rsidP="00681E2F">
            <w:pPr>
              <w:widowControl w:val="0"/>
              <w:autoSpaceDE w:val="0"/>
              <w:autoSpaceDN w:val="0"/>
              <w:adjustRightInd w:val="0"/>
              <w:jc w:val="center"/>
              <w:rPr>
                <w:sz w:val="20"/>
                <w:szCs w:val="20"/>
              </w:rPr>
            </w:pPr>
            <w:r w:rsidRPr="001001F9">
              <w:rPr>
                <w:sz w:val="20"/>
                <w:szCs w:val="20"/>
              </w:rPr>
              <w:t>0.099</w:t>
            </w:r>
          </w:p>
        </w:tc>
        <w:tc>
          <w:tcPr>
            <w:tcW w:w="1440" w:type="dxa"/>
            <w:tcBorders>
              <w:top w:val="nil"/>
              <w:left w:val="nil"/>
              <w:bottom w:val="nil"/>
              <w:right w:val="nil"/>
            </w:tcBorders>
          </w:tcPr>
          <w:p w14:paraId="158727FB" w14:textId="1118916C" w:rsidR="002E5F35" w:rsidRPr="001001F9" w:rsidRDefault="002E5F35" w:rsidP="00681E2F">
            <w:pPr>
              <w:widowControl w:val="0"/>
              <w:autoSpaceDE w:val="0"/>
              <w:autoSpaceDN w:val="0"/>
              <w:adjustRightInd w:val="0"/>
              <w:jc w:val="center"/>
              <w:rPr>
                <w:sz w:val="20"/>
                <w:szCs w:val="20"/>
              </w:rPr>
            </w:pPr>
            <w:r w:rsidRPr="001001F9">
              <w:rPr>
                <w:sz w:val="20"/>
                <w:szCs w:val="20"/>
              </w:rPr>
              <w:t>0.156</w:t>
            </w:r>
          </w:p>
        </w:tc>
        <w:tc>
          <w:tcPr>
            <w:tcW w:w="1440" w:type="dxa"/>
            <w:tcBorders>
              <w:top w:val="nil"/>
              <w:left w:val="nil"/>
              <w:bottom w:val="nil"/>
              <w:right w:val="nil"/>
            </w:tcBorders>
          </w:tcPr>
          <w:p w14:paraId="7D158FD0" w14:textId="768F98EC" w:rsidR="002E5F35" w:rsidRPr="001001F9" w:rsidRDefault="002E5F35" w:rsidP="00681E2F">
            <w:pPr>
              <w:widowControl w:val="0"/>
              <w:autoSpaceDE w:val="0"/>
              <w:autoSpaceDN w:val="0"/>
              <w:adjustRightInd w:val="0"/>
              <w:jc w:val="center"/>
              <w:rPr>
                <w:sz w:val="20"/>
                <w:szCs w:val="20"/>
              </w:rPr>
            </w:pPr>
            <w:r w:rsidRPr="001001F9">
              <w:rPr>
                <w:sz w:val="20"/>
                <w:szCs w:val="20"/>
              </w:rPr>
              <w:t>-0.044</w:t>
            </w:r>
          </w:p>
        </w:tc>
      </w:tr>
      <w:tr w:rsidR="002E5F35" w:rsidRPr="001001F9" w14:paraId="64D903F7" w14:textId="77777777" w:rsidTr="00111420">
        <w:trPr>
          <w:jc w:val="center"/>
        </w:trPr>
        <w:tc>
          <w:tcPr>
            <w:tcW w:w="3602" w:type="dxa"/>
            <w:tcBorders>
              <w:top w:val="nil"/>
              <w:left w:val="nil"/>
              <w:bottom w:val="nil"/>
              <w:right w:val="nil"/>
            </w:tcBorders>
          </w:tcPr>
          <w:p w14:paraId="5812AE3A" w14:textId="77777777" w:rsidR="002E5F35" w:rsidRPr="001001F9" w:rsidRDefault="002E5F35" w:rsidP="00681E2F">
            <w:pPr>
              <w:widowControl w:val="0"/>
              <w:autoSpaceDE w:val="0"/>
              <w:autoSpaceDN w:val="0"/>
              <w:adjustRightInd w:val="0"/>
              <w:rPr>
                <w:sz w:val="20"/>
                <w:szCs w:val="20"/>
              </w:rPr>
            </w:pPr>
          </w:p>
        </w:tc>
        <w:tc>
          <w:tcPr>
            <w:tcW w:w="1440" w:type="dxa"/>
            <w:tcBorders>
              <w:top w:val="nil"/>
              <w:left w:val="nil"/>
              <w:bottom w:val="nil"/>
              <w:right w:val="nil"/>
            </w:tcBorders>
          </w:tcPr>
          <w:p w14:paraId="5FB2D450"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(0.027)</w:t>
            </w:r>
          </w:p>
        </w:tc>
        <w:tc>
          <w:tcPr>
            <w:tcW w:w="1584" w:type="dxa"/>
            <w:tcBorders>
              <w:top w:val="nil"/>
              <w:left w:val="nil"/>
              <w:bottom w:val="nil"/>
              <w:right w:val="nil"/>
            </w:tcBorders>
          </w:tcPr>
          <w:p w14:paraId="6A87FAD2"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(0.015)</w:t>
            </w:r>
          </w:p>
        </w:tc>
        <w:tc>
          <w:tcPr>
            <w:tcW w:w="1440" w:type="dxa"/>
            <w:tcBorders>
              <w:top w:val="nil"/>
              <w:left w:val="nil"/>
              <w:bottom w:val="nil"/>
              <w:right w:val="nil"/>
            </w:tcBorders>
          </w:tcPr>
          <w:p w14:paraId="7DAE2A7E"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(0.033)</w:t>
            </w:r>
          </w:p>
        </w:tc>
        <w:tc>
          <w:tcPr>
            <w:tcW w:w="1296" w:type="dxa"/>
            <w:tcBorders>
              <w:top w:val="nil"/>
              <w:left w:val="nil"/>
              <w:bottom w:val="nil"/>
              <w:right w:val="nil"/>
            </w:tcBorders>
          </w:tcPr>
          <w:p w14:paraId="1DA12CAB"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(0.026)</w:t>
            </w:r>
          </w:p>
        </w:tc>
        <w:tc>
          <w:tcPr>
            <w:tcW w:w="1440" w:type="dxa"/>
            <w:tcBorders>
              <w:top w:val="nil"/>
              <w:left w:val="nil"/>
              <w:bottom w:val="nil"/>
              <w:right w:val="nil"/>
            </w:tcBorders>
          </w:tcPr>
          <w:p w14:paraId="425A395A"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(0.019)</w:t>
            </w:r>
          </w:p>
        </w:tc>
        <w:tc>
          <w:tcPr>
            <w:tcW w:w="1440" w:type="dxa"/>
            <w:tcBorders>
              <w:top w:val="nil"/>
              <w:left w:val="nil"/>
              <w:bottom w:val="nil"/>
              <w:right w:val="nil"/>
            </w:tcBorders>
          </w:tcPr>
          <w:p w14:paraId="1A5700E6"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(0.046)</w:t>
            </w:r>
          </w:p>
        </w:tc>
        <w:tc>
          <w:tcPr>
            <w:tcW w:w="1440" w:type="dxa"/>
            <w:tcBorders>
              <w:top w:val="nil"/>
              <w:left w:val="nil"/>
              <w:bottom w:val="nil"/>
              <w:right w:val="nil"/>
            </w:tcBorders>
          </w:tcPr>
          <w:p w14:paraId="16CA2ACF" w14:textId="77777777" w:rsidR="002E5F35" w:rsidRPr="001001F9" w:rsidRDefault="002E5F35" w:rsidP="00681E2F">
            <w:pPr>
              <w:widowControl w:val="0"/>
              <w:autoSpaceDE w:val="0"/>
              <w:autoSpaceDN w:val="0"/>
              <w:adjustRightInd w:val="0"/>
              <w:jc w:val="center"/>
              <w:rPr>
                <w:sz w:val="20"/>
                <w:szCs w:val="20"/>
              </w:rPr>
            </w:pPr>
            <w:r w:rsidRPr="001001F9">
              <w:rPr>
                <w:sz w:val="20"/>
                <w:szCs w:val="20"/>
              </w:rPr>
              <w:t>(0.022)</w:t>
            </w:r>
          </w:p>
        </w:tc>
      </w:tr>
      <w:tr w:rsidR="002E5F35" w:rsidRPr="001001F9" w14:paraId="793B337A" w14:textId="77777777" w:rsidTr="00111420">
        <w:trPr>
          <w:jc w:val="center"/>
        </w:trPr>
        <w:tc>
          <w:tcPr>
            <w:tcW w:w="3602" w:type="dxa"/>
            <w:tcBorders>
              <w:top w:val="nil"/>
              <w:left w:val="nil"/>
              <w:bottom w:val="nil"/>
              <w:right w:val="nil"/>
            </w:tcBorders>
          </w:tcPr>
          <w:p w14:paraId="747A007B" w14:textId="674C20D3" w:rsidR="002E5F35" w:rsidRPr="001001F9" w:rsidRDefault="002E5F35" w:rsidP="00D6052A">
            <w:pPr>
              <w:widowControl w:val="0"/>
              <w:autoSpaceDE w:val="0"/>
              <w:autoSpaceDN w:val="0"/>
              <w:adjustRightInd w:val="0"/>
              <w:rPr>
                <w:sz w:val="20"/>
                <w:szCs w:val="20"/>
              </w:rPr>
            </w:pPr>
            <w:r w:rsidRPr="000A4511">
              <w:rPr>
                <w:color w:val="000000"/>
                <w:kern w:val="24"/>
                <w:sz w:val="20"/>
                <w:szCs w:val="20"/>
                <w:lang w:eastAsia="en-GB"/>
              </w:rPr>
              <w:t>Trade</w:t>
            </w:r>
            <w:r w:rsidR="00D6052A">
              <w:rPr>
                <w:color w:val="000000"/>
                <w:kern w:val="24"/>
                <w:sz w:val="20"/>
                <w:szCs w:val="20"/>
                <w:lang w:eastAsia="en-GB"/>
              </w:rPr>
              <w:t xml:space="preserve"> openness</w:t>
            </w:r>
          </w:p>
        </w:tc>
        <w:tc>
          <w:tcPr>
            <w:tcW w:w="1440" w:type="dxa"/>
            <w:tcBorders>
              <w:top w:val="nil"/>
              <w:left w:val="nil"/>
              <w:bottom w:val="nil"/>
              <w:right w:val="nil"/>
            </w:tcBorders>
          </w:tcPr>
          <w:p w14:paraId="07716227" w14:textId="7DEA9AE1" w:rsidR="002E5F35" w:rsidRPr="001001F9" w:rsidRDefault="002E5F35" w:rsidP="00681E2F">
            <w:pPr>
              <w:widowControl w:val="0"/>
              <w:autoSpaceDE w:val="0"/>
              <w:autoSpaceDN w:val="0"/>
              <w:adjustRightInd w:val="0"/>
              <w:jc w:val="center"/>
              <w:rPr>
                <w:sz w:val="20"/>
                <w:szCs w:val="20"/>
              </w:rPr>
            </w:pPr>
            <w:r w:rsidRPr="001001F9">
              <w:rPr>
                <w:sz w:val="20"/>
                <w:szCs w:val="20"/>
              </w:rPr>
              <w:t>0.022</w:t>
            </w:r>
          </w:p>
        </w:tc>
        <w:tc>
          <w:tcPr>
            <w:tcW w:w="1584" w:type="dxa"/>
            <w:tcBorders>
              <w:top w:val="nil"/>
              <w:left w:val="nil"/>
              <w:bottom w:val="nil"/>
              <w:right w:val="nil"/>
            </w:tcBorders>
          </w:tcPr>
          <w:p w14:paraId="23CF2233" w14:textId="2C44A166" w:rsidR="002E5F35" w:rsidRPr="001001F9" w:rsidRDefault="002E5F35" w:rsidP="00681E2F">
            <w:pPr>
              <w:widowControl w:val="0"/>
              <w:autoSpaceDE w:val="0"/>
              <w:autoSpaceDN w:val="0"/>
              <w:adjustRightInd w:val="0"/>
              <w:jc w:val="center"/>
              <w:rPr>
                <w:sz w:val="20"/>
                <w:szCs w:val="20"/>
              </w:rPr>
            </w:pPr>
            <w:r w:rsidRPr="001001F9">
              <w:rPr>
                <w:sz w:val="20"/>
                <w:szCs w:val="20"/>
              </w:rPr>
              <w:t>0.040</w:t>
            </w:r>
          </w:p>
        </w:tc>
        <w:tc>
          <w:tcPr>
            <w:tcW w:w="1440" w:type="dxa"/>
            <w:tcBorders>
              <w:top w:val="nil"/>
              <w:left w:val="nil"/>
              <w:bottom w:val="nil"/>
              <w:right w:val="nil"/>
            </w:tcBorders>
          </w:tcPr>
          <w:p w14:paraId="5C5FC290" w14:textId="5FF0A30A" w:rsidR="002E5F35" w:rsidRPr="001001F9" w:rsidRDefault="002E5F35" w:rsidP="00681E2F">
            <w:pPr>
              <w:widowControl w:val="0"/>
              <w:autoSpaceDE w:val="0"/>
              <w:autoSpaceDN w:val="0"/>
              <w:adjustRightInd w:val="0"/>
              <w:jc w:val="center"/>
              <w:rPr>
                <w:sz w:val="20"/>
                <w:szCs w:val="20"/>
              </w:rPr>
            </w:pPr>
            <w:r w:rsidRPr="001001F9">
              <w:rPr>
                <w:sz w:val="20"/>
                <w:szCs w:val="20"/>
              </w:rPr>
              <w:t>0.009</w:t>
            </w:r>
          </w:p>
        </w:tc>
        <w:tc>
          <w:tcPr>
            <w:tcW w:w="1296" w:type="dxa"/>
            <w:tcBorders>
              <w:top w:val="nil"/>
              <w:left w:val="nil"/>
              <w:bottom w:val="nil"/>
              <w:right w:val="nil"/>
            </w:tcBorders>
          </w:tcPr>
          <w:p w14:paraId="60B7E574" w14:textId="2DABA06F" w:rsidR="002E5F35" w:rsidRPr="001001F9" w:rsidRDefault="002E5F35" w:rsidP="00681E2F">
            <w:pPr>
              <w:widowControl w:val="0"/>
              <w:autoSpaceDE w:val="0"/>
              <w:autoSpaceDN w:val="0"/>
              <w:adjustRightInd w:val="0"/>
              <w:jc w:val="center"/>
              <w:rPr>
                <w:sz w:val="20"/>
                <w:szCs w:val="20"/>
              </w:rPr>
            </w:pPr>
            <w:r w:rsidRPr="001001F9">
              <w:rPr>
                <w:sz w:val="20"/>
                <w:szCs w:val="20"/>
              </w:rPr>
              <w:t>0.009</w:t>
            </w:r>
          </w:p>
        </w:tc>
        <w:tc>
          <w:tcPr>
            <w:tcW w:w="1440" w:type="dxa"/>
            <w:tcBorders>
              <w:top w:val="nil"/>
              <w:left w:val="nil"/>
              <w:bottom w:val="nil"/>
              <w:right w:val="nil"/>
            </w:tcBorders>
          </w:tcPr>
          <w:p w14:paraId="02D0BA6F" w14:textId="2C368816" w:rsidR="002E5F35" w:rsidRPr="001001F9" w:rsidRDefault="002E5F35" w:rsidP="00681E2F">
            <w:pPr>
              <w:widowControl w:val="0"/>
              <w:autoSpaceDE w:val="0"/>
              <w:autoSpaceDN w:val="0"/>
              <w:adjustRightInd w:val="0"/>
              <w:jc w:val="center"/>
              <w:rPr>
                <w:sz w:val="20"/>
                <w:szCs w:val="20"/>
              </w:rPr>
            </w:pPr>
            <w:r w:rsidRPr="001001F9">
              <w:rPr>
                <w:sz w:val="20"/>
                <w:szCs w:val="20"/>
              </w:rPr>
              <w:t>0.011</w:t>
            </w:r>
          </w:p>
        </w:tc>
        <w:tc>
          <w:tcPr>
            <w:tcW w:w="1440" w:type="dxa"/>
            <w:tcBorders>
              <w:top w:val="nil"/>
              <w:left w:val="nil"/>
              <w:bottom w:val="nil"/>
              <w:right w:val="nil"/>
            </w:tcBorders>
          </w:tcPr>
          <w:p w14:paraId="1C8CF511" w14:textId="430F6B97" w:rsidR="002E5F35" w:rsidRPr="001001F9" w:rsidRDefault="002E5F35" w:rsidP="00681E2F">
            <w:pPr>
              <w:widowControl w:val="0"/>
              <w:autoSpaceDE w:val="0"/>
              <w:autoSpaceDN w:val="0"/>
              <w:adjustRightInd w:val="0"/>
              <w:jc w:val="center"/>
              <w:rPr>
                <w:sz w:val="20"/>
                <w:szCs w:val="20"/>
              </w:rPr>
            </w:pPr>
            <w:r w:rsidRPr="001001F9">
              <w:rPr>
                <w:sz w:val="20"/>
                <w:szCs w:val="20"/>
              </w:rPr>
              <w:t>0.019</w:t>
            </w:r>
          </w:p>
        </w:tc>
        <w:tc>
          <w:tcPr>
            <w:tcW w:w="1440" w:type="dxa"/>
            <w:tcBorders>
              <w:top w:val="nil"/>
              <w:left w:val="nil"/>
              <w:bottom w:val="nil"/>
              <w:right w:val="nil"/>
            </w:tcBorders>
          </w:tcPr>
          <w:p w14:paraId="66A23E41" w14:textId="419F5127" w:rsidR="002E5F35" w:rsidRPr="001001F9" w:rsidRDefault="002E5F35" w:rsidP="00681E2F">
            <w:pPr>
              <w:widowControl w:val="0"/>
              <w:autoSpaceDE w:val="0"/>
              <w:autoSpaceDN w:val="0"/>
              <w:adjustRightInd w:val="0"/>
              <w:jc w:val="center"/>
              <w:rPr>
                <w:sz w:val="20"/>
                <w:szCs w:val="20"/>
              </w:rPr>
            </w:pPr>
            <w:r w:rsidRPr="001001F9">
              <w:rPr>
                <w:sz w:val="20"/>
                <w:szCs w:val="20"/>
              </w:rPr>
              <w:t>0.015</w:t>
            </w:r>
          </w:p>
        </w:tc>
      </w:tr>
      <w:tr w:rsidR="002E5F35" w:rsidRPr="001001F9" w14:paraId="6BBF6024" w14:textId="77777777" w:rsidTr="00111420">
        <w:trPr>
          <w:jc w:val="center"/>
        </w:trPr>
        <w:tc>
          <w:tcPr>
            <w:tcW w:w="3602" w:type="dxa"/>
            <w:tcBorders>
              <w:top w:val="nil"/>
              <w:left w:val="nil"/>
              <w:bottom w:val="nil"/>
              <w:right w:val="nil"/>
            </w:tcBorders>
          </w:tcPr>
          <w:p w14:paraId="6F32D6CA" w14:textId="77777777" w:rsidR="002E5F35" w:rsidRPr="001001F9" w:rsidRDefault="002E5F35" w:rsidP="00D0262E">
            <w:pPr>
              <w:widowControl w:val="0"/>
              <w:autoSpaceDE w:val="0"/>
              <w:autoSpaceDN w:val="0"/>
              <w:adjustRightInd w:val="0"/>
              <w:rPr>
                <w:sz w:val="20"/>
                <w:szCs w:val="20"/>
              </w:rPr>
            </w:pPr>
          </w:p>
        </w:tc>
        <w:tc>
          <w:tcPr>
            <w:tcW w:w="1440" w:type="dxa"/>
            <w:tcBorders>
              <w:top w:val="nil"/>
              <w:left w:val="nil"/>
              <w:bottom w:val="nil"/>
              <w:right w:val="nil"/>
            </w:tcBorders>
          </w:tcPr>
          <w:p w14:paraId="0C66ECCF"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(0.002)</w:t>
            </w:r>
          </w:p>
        </w:tc>
        <w:tc>
          <w:tcPr>
            <w:tcW w:w="1584" w:type="dxa"/>
            <w:tcBorders>
              <w:top w:val="nil"/>
              <w:left w:val="nil"/>
              <w:bottom w:val="nil"/>
              <w:right w:val="nil"/>
            </w:tcBorders>
          </w:tcPr>
          <w:p w14:paraId="63978A8D"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(0.002)</w:t>
            </w:r>
          </w:p>
        </w:tc>
        <w:tc>
          <w:tcPr>
            <w:tcW w:w="1440" w:type="dxa"/>
            <w:tcBorders>
              <w:top w:val="nil"/>
              <w:left w:val="nil"/>
              <w:bottom w:val="nil"/>
              <w:right w:val="nil"/>
            </w:tcBorders>
          </w:tcPr>
          <w:p w14:paraId="47AB3CC2"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(0.001)</w:t>
            </w:r>
          </w:p>
        </w:tc>
        <w:tc>
          <w:tcPr>
            <w:tcW w:w="1296" w:type="dxa"/>
            <w:tcBorders>
              <w:top w:val="nil"/>
              <w:left w:val="nil"/>
              <w:bottom w:val="nil"/>
              <w:right w:val="nil"/>
            </w:tcBorders>
          </w:tcPr>
          <w:p w14:paraId="0F46A9C8"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(0.003)</w:t>
            </w:r>
          </w:p>
        </w:tc>
        <w:tc>
          <w:tcPr>
            <w:tcW w:w="1440" w:type="dxa"/>
            <w:tcBorders>
              <w:top w:val="nil"/>
              <w:left w:val="nil"/>
              <w:bottom w:val="nil"/>
              <w:right w:val="nil"/>
            </w:tcBorders>
          </w:tcPr>
          <w:p w14:paraId="1281D2B0"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(0.002)</w:t>
            </w:r>
          </w:p>
        </w:tc>
        <w:tc>
          <w:tcPr>
            <w:tcW w:w="1440" w:type="dxa"/>
            <w:tcBorders>
              <w:top w:val="nil"/>
              <w:left w:val="nil"/>
              <w:bottom w:val="nil"/>
              <w:right w:val="nil"/>
            </w:tcBorders>
          </w:tcPr>
          <w:p w14:paraId="197C55D9"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(0.002)</w:t>
            </w:r>
          </w:p>
        </w:tc>
        <w:tc>
          <w:tcPr>
            <w:tcW w:w="1440" w:type="dxa"/>
            <w:tcBorders>
              <w:top w:val="nil"/>
              <w:left w:val="nil"/>
              <w:bottom w:val="nil"/>
              <w:right w:val="nil"/>
            </w:tcBorders>
          </w:tcPr>
          <w:p w14:paraId="51F62A3E"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(0.003)</w:t>
            </w:r>
          </w:p>
        </w:tc>
      </w:tr>
      <w:tr w:rsidR="009256EF" w:rsidRPr="001001F9" w14:paraId="5E79A921" w14:textId="77777777" w:rsidTr="00515E1E">
        <w:trPr>
          <w:jc w:val="center"/>
        </w:trPr>
        <w:tc>
          <w:tcPr>
            <w:tcW w:w="3602" w:type="dxa"/>
            <w:tcBorders>
              <w:top w:val="nil"/>
              <w:left w:val="nil"/>
              <w:bottom w:val="nil"/>
              <w:right w:val="nil"/>
            </w:tcBorders>
          </w:tcPr>
          <w:p w14:paraId="4A223406" w14:textId="77777777" w:rsidR="009256EF" w:rsidRPr="001001F9" w:rsidRDefault="009256EF" w:rsidP="00515E1E">
            <w:pPr>
              <w:widowControl w:val="0"/>
              <w:autoSpaceDE w:val="0"/>
              <w:autoSpaceDN w:val="0"/>
              <w:adjustRightInd w:val="0"/>
              <w:rPr>
                <w:sz w:val="20"/>
                <w:szCs w:val="20"/>
              </w:rPr>
            </w:pPr>
            <w:r w:rsidRPr="000A4511">
              <w:rPr>
                <w:color w:val="000000"/>
                <w:kern w:val="24"/>
                <w:sz w:val="20"/>
                <w:szCs w:val="20"/>
                <w:lang w:eastAsia="en-GB"/>
              </w:rPr>
              <w:t>Manufacturing</w:t>
            </w:r>
          </w:p>
        </w:tc>
        <w:tc>
          <w:tcPr>
            <w:tcW w:w="1440" w:type="dxa"/>
            <w:tcBorders>
              <w:top w:val="nil"/>
              <w:left w:val="nil"/>
              <w:bottom w:val="nil"/>
              <w:right w:val="nil"/>
            </w:tcBorders>
          </w:tcPr>
          <w:p w14:paraId="1D32B927" w14:textId="17F92215" w:rsidR="009256EF" w:rsidRPr="001001F9" w:rsidRDefault="009256EF" w:rsidP="00515E1E">
            <w:pPr>
              <w:widowControl w:val="0"/>
              <w:autoSpaceDE w:val="0"/>
              <w:autoSpaceDN w:val="0"/>
              <w:adjustRightInd w:val="0"/>
              <w:jc w:val="center"/>
              <w:rPr>
                <w:sz w:val="20"/>
                <w:szCs w:val="20"/>
              </w:rPr>
            </w:pPr>
            <w:r w:rsidRPr="001001F9">
              <w:rPr>
                <w:sz w:val="20"/>
                <w:szCs w:val="20"/>
              </w:rPr>
              <w:t>-0.062</w:t>
            </w:r>
          </w:p>
        </w:tc>
        <w:tc>
          <w:tcPr>
            <w:tcW w:w="1584" w:type="dxa"/>
            <w:tcBorders>
              <w:top w:val="nil"/>
              <w:left w:val="nil"/>
              <w:bottom w:val="nil"/>
              <w:right w:val="nil"/>
            </w:tcBorders>
          </w:tcPr>
          <w:p w14:paraId="3DF5C105" w14:textId="4B9D3C18" w:rsidR="009256EF" w:rsidRPr="001001F9" w:rsidRDefault="009256EF" w:rsidP="00515E1E">
            <w:pPr>
              <w:widowControl w:val="0"/>
              <w:autoSpaceDE w:val="0"/>
              <w:autoSpaceDN w:val="0"/>
              <w:adjustRightInd w:val="0"/>
              <w:jc w:val="center"/>
              <w:rPr>
                <w:sz w:val="20"/>
                <w:szCs w:val="20"/>
              </w:rPr>
            </w:pPr>
            <w:r w:rsidRPr="001001F9">
              <w:rPr>
                <w:sz w:val="20"/>
                <w:szCs w:val="20"/>
              </w:rPr>
              <w:t>-0.064</w:t>
            </w:r>
          </w:p>
        </w:tc>
        <w:tc>
          <w:tcPr>
            <w:tcW w:w="1440" w:type="dxa"/>
            <w:tcBorders>
              <w:top w:val="nil"/>
              <w:left w:val="nil"/>
              <w:bottom w:val="nil"/>
              <w:right w:val="nil"/>
            </w:tcBorders>
          </w:tcPr>
          <w:p w14:paraId="17FAAAF8" w14:textId="6A1754F6" w:rsidR="009256EF" w:rsidRPr="001001F9" w:rsidRDefault="009256EF" w:rsidP="00515E1E">
            <w:pPr>
              <w:widowControl w:val="0"/>
              <w:autoSpaceDE w:val="0"/>
              <w:autoSpaceDN w:val="0"/>
              <w:adjustRightInd w:val="0"/>
              <w:jc w:val="center"/>
              <w:rPr>
                <w:sz w:val="20"/>
                <w:szCs w:val="20"/>
              </w:rPr>
            </w:pPr>
            <w:r w:rsidRPr="001001F9">
              <w:rPr>
                <w:sz w:val="20"/>
                <w:szCs w:val="20"/>
              </w:rPr>
              <w:t>-0.036</w:t>
            </w:r>
          </w:p>
        </w:tc>
        <w:tc>
          <w:tcPr>
            <w:tcW w:w="1296" w:type="dxa"/>
            <w:tcBorders>
              <w:top w:val="nil"/>
              <w:left w:val="nil"/>
              <w:bottom w:val="nil"/>
              <w:right w:val="nil"/>
            </w:tcBorders>
          </w:tcPr>
          <w:p w14:paraId="067DB0E2" w14:textId="1C233EF5" w:rsidR="009256EF" w:rsidRPr="001001F9" w:rsidRDefault="009256EF" w:rsidP="00515E1E">
            <w:pPr>
              <w:widowControl w:val="0"/>
              <w:autoSpaceDE w:val="0"/>
              <w:autoSpaceDN w:val="0"/>
              <w:adjustRightInd w:val="0"/>
              <w:jc w:val="center"/>
              <w:rPr>
                <w:sz w:val="20"/>
                <w:szCs w:val="20"/>
              </w:rPr>
            </w:pPr>
            <w:r w:rsidRPr="001001F9">
              <w:rPr>
                <w:sz w:val="20"/>
                <w:szCs w:val="20"/>
              </w:rPr>
              <w:t>0.149</w:t>
            </w:r>
          </w:p>
        </w:tc>
        <w:tc>
          <w:tcPr>
            <w:tcW w:w="1440" w:type="dxa"/>
            <w:tcBorders>
              <w:top w:val="nil"/>
              <w:left w:val="nil"/>
              <w:bottom w:val="nil"/>
              <w:right w:val="nil"/>
            </w:tcBorders>
          </w:tcPr>
          <w:p w14:paraId="1EF777D7" w14:textId="0F32EB76" w:rsidR="009256EF" w:rsidRPr="001001F9" w:rsidRDefault="009256EF" w:rsidP="00515E1E">
            <w:pPr>
              <w:widowControl w:val="0"/>
              <w:autoSpaceDE w:val="0"/>
              <w:autoSpaceDN w:val="0"/>
              <w:adjustRightInd w:val="0"/>
              <w:jc w:val="center"/>
              <w:rPr>
                <w:sz w:val="20"/>
                <w:szCs w:val="20"/>
              </w:rPr>
            </w:pPr>
            <w:r w:rsidRPr="001001F9">
              <w:rPr>
                <w:sz w:val="20"/>
                <w:szCs w:val="20"/>
              </w:rPr>
              <w:t>0.582</w:t>
            </w:r>
          </w:p>
        </w:tc>
        <w:tc>
          <w:tcPr>
            <w:tcW w:w="1440" w:type="dxa"/>
            <w:tcBorders>
              <w:top w:val="nil"/>
              <w:left w:val="nil"/>
              <w:bottom w:val="nil"/>
              <w:right w:val="nil"/>
            </w:tcBorders>
          </w:tcPr>
          <w:p w14:paraId="16BD2D41" w14:textId="2F7FD906" w:rsidR="009256EF" w:rsidRPr="001001F9" w:rsidRDefault="009256EF" w:rsidP="00515E1E">
            <w:pPr>
              <w:widowControl w:val="0"/>
              <w:autoSpaceDE w:val="0"/>
              <w:autoSpaceDN w:val="0"/>
              <w:adjustRightInd w:val="0"/>
              <w:jc w:val="center"/>
              <w:rPr>
                <w:sz w:val="20"/>
                <w:szCs w:val="20"/>
              </w:rPr>
            </w:pPr>
            <w:r w:rsidRPr="001001F9">
              <w:rPr>
                <w:sz w:val="20"/>
                <w:szCs w:val="20"/>
              </w:rPr>
              <w:t>0.177</w:t>
            </w:r>
          </w:p>
        </w:tc>
        <w:tc>
          <w:tcPr>
            <w:tcW w:w="1440" w:type="dxa"/>
            <w:tcBorders>
              <w:top w:val="nil"/>
              <w:left w:val="nil"/>
              <w:bottom w:val="nil"/>
              <w:right w:val="nil"/>
            </w:tcBorders>
          </w:tcPr>
          <w:p w14:paraId="727DC84A" w14:textId="56B575C6" w:rsidR="009256EF" w:rsidRPr="001001F9" w:rsidRDefault="009256EF" w:rsidP="00515E1E">
            <w:pPr>
              <w:widowControl w:val="0"/>
              <w:autoSpaceDE w:val="0"/>
              <w:autoSpaceDN w:val="0"/>
              <w:adjustRightInd w:val="0"/>
              <w:jc w:val="center"/>
              <w:rPr>
                <w:sz w:val="20"/>
                <w:szCs w:val="20"/>
              </w:rPr>
            </w:pPr>
            <w:r w:rsidRPr="001001F9">
              <w:rPr>
                <w:sz w:val="20"/>
                <w:szCs w:val="20"/>
              </w:rPr>
              <w:t>-0.051</w:t>
            </w:r>
          </w:p>
        </w:tc>
      </w:tr>
      <w:tr w:rsidR="009256EF" w:rsidRPr="001001F9" w14:paraId="21C9F708" w14:textId="77777777" w:rsidTr="00515E1E">
        <w:trPr>
          <w:jc w:val="center"/>
        </w:trPr>
        <w:tc>
          <w:tcPr>
            <w:tcW w:w="3602" w:type="dxa"/>
            <w:tcBorders>
              <w:top w:val="nil"/>
              <w:left w:val="nil"/>
              <w:bottom w:val="nil"/>
              <w:right w:val="nil"/>
            </w:tcBorders>
          </w:tcPr>
          <w:p w14:paraId="7C5A46B4" w14:textId="77777777" w:rsidR="009256EF" w:rsidRPr="001001F9" w:rsidRDefault="009256EF" w:rsidP="00515E1E">
            <w:pPr>
              <w:widowControl w:val="0"/>
              <w:autoSpaceDE w:val="0"/>
              <w:autoSpaceDN w:val="0"/>
              <w:adjustRightInd w:val="0"/>
              <w:rPr>
                <w:sz w:val="20"/>
                <w:szCs w:val="20"/>
              </w:rPr>
            </w:pPr>
          </w:p>
        </w:tc>
        <w:tc>
          <w:tcPr>
            <w:tcW w:w="1440" w:type="dxa"/>
            <w:tcBorders>
              <w:top w:val="nil"/>
              <w:left w:val="nil"/>
              <w:bottom w:val="nil"/>
              <w:right w:val="nil"/>
            </w:tcBorders>
          </w:tcPr>
          <w:p w14:paraId="2E5760ED"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(0.015)</w:t>
            </w:r>
          </w:p>
        </w:tc>
        <w:tc>
          <w:tcPr>
            <w:tcW w:w="1584" w:type="dxa"/>
            <w:tcBorders>
              <w:top w:val="nil"/>
              <w:left w:val="nil"/>
              <w:bottom w:val="nil"/>
              <w:right w:val="nil"/>
            </w:tcBorders>
          </w:tcPr>
          <w:p w14:paraId="692E2F8C"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(0.010)</w:t>
            </w:r>
          </w:p>
        </w:tc>
        <w:tc>
          <w:tcPr>
            <w:tcW w:w="1440" w:type="dxa"/>
            <w:tcBorders>
              <w:top w:val="nil"/>
              <w:left w:val="nil"/>
              <w:bottom w:val="nil"/>
              <w:right w:val="nil"/>
            </w:tcBorders>
          </w:tcPr>
          <w:p w14:paraId="2BE30AB1"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(0.012)</w:t>
            </w:r>
          </w:p>
        </w:tc>
        <w:tc>
          <w:tcPr>
            <w:tcW w:w="1296" w:type="dxa"/>
            <w:tcBorders>
              <w:top w:val="nil"/>
              <w:left w:val="nil"/>
              <w:bottom w:val="nil"/>
              <w:right w:val="nil"/>
            </w:tcBorders>
          </w:tcPr>
          <w:p w14:paraId="401DF34E"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(0.052)</w:t>
            </w:r>
          </w:p>
        </w:tc>
        <w:tc>
          <w:tcPr>
            <w:tcW w:w="1440" w:type="dxa"/>
            <w:tcBorders>
              <w:top w:val="nil"/>
              <w:left w:val="nil"/>
              <w:bottom w:val="nil"/>
              <w:right w:val="nil"/>
            </w:tcBorders>
          </w:tcPr>
          <w:p w14:paraId="580BCA5B"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(0.015)</w:t>
            </w:r>
          </w:p>
        </w:tc>
        <w:tc>
          <w:tcPr>
            <w:tcW w:w="1440" w:type="dxa"/>
            <w:tcBorders>
              <w:top w:val="nil"/>
              <w:left w:val="nil"/>
              <w:bottom w:val="nil"/>
              <w:right w:val="nil"/>
            </w:tcBorders>
          </w:tcPr>
          <w:p w14:paraId="575EE8C9"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(0.018)</w:t>
            </w:r>
          </w:p>
        </w:tc>
        <w:tc>
          <w:tcPr>
            <w:tcW w:w="1440" w:type="dxa"/>
            <w:tcBorders>
              <w:top w:val="nil"/>
              <w:left w:val="nil"/>
              <w:bottom w:val="nil"/>
              <w:right w:val="nil"/>
            </w:tcBorders>
          </w:tcPr>
          <w:p w14:paraId="6F155E27"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(0.027)</w:t>
            </w:r>
          </w:p>
        </w:tc>
      </w:tr>
      <w:tr w:rsidR="009256EF" w:rsidRPr="001001F9" w14:paraId="11E6697A" w14:textId="77777777" w:rsidTr="00515E1E">
        <w:trPr>
          <w:jc w:val="center"/>
        </w:trPr>
        <w:tc>
          <w:tcPr>
            <w:tcW w:w="3602" w:type="dxa"/>
            <w:tcBorders>
              <w:top w:val="nil"/>
              <w:left w:val="nil"/>
              <w:bottom w:val="nil"/>
              <w:right w:val="nil"/>
            </w:tcBorders>
          </w:tcPr>
          <w:p w14:paraId="69F2BCA8" w14:textId="77777777" w:rsidR="009256EF" w:rsidRPr="001001F9" w:rsidRDefault="009256EF" w:rsidP="00515E1E">
            <w:pPr>
              <w:widowControl w:val="0"/>
              <w:autoSpaceDE w:val="0"/>
              <w:autoSpaceDN w:val="0"/>
              <w:adjustRightInd w:val="0"/>
              <w:rPr>
                <w:sz w:val="20"/>
                <w:szCs w:val="20"/>
              </w:rPr>
            </w:pPr>
            <w:r w:rsidRPr="000A4511">
              <w:rPr>
                <w:sz w:val="20"/>
                <w:szCs w:val="20"/>
              </w:rPr>
              <w:t>Common Language</w:t>
            </w:r>
          </w:p>
        </w:tc>
        <w:tc>
          <w:tcPr>
            <w:tcW w:w="1440" w:type="dxa"/>
            <w:tcBorders>
              <w:top w:val="nil"/>
              <w:left w:val="nil"/>
              <w:bottom w:val="nil"/>
              <w:right w:val="nil"/>
            </w:tcBorders>
          </w:tcPr>
          <w:p w14:paraId="203C5DD0" w14:textId="0A74086C" w:rsidR="009256EF" w:rsidRPr="001001F9" w:rsidRDefault="009256EF" w:rsidP="00515E1E">
            <w:pPr>
              <w:widowControl w:val="0"/>
              <w:autoSpaceDE w:val="0"/>
              <w:autoSpaceDN w:val="0"/>
              <w:adjustRightInd w:val="0"/>
              <w:jc w:val="center"/>
              <w:rPr>
                <w:sz w:val="20"/>
                <w:szCs w:val="20"/>
              </w:rPr>
            </w:pPr>
            <w:r w:rsidRPr="001001F9">
              <w:rPr>
                <w:sz w:val="20"/>
                <w:szCs w:val="20"/>
              </w:rPr>
              <w:t>-2.953</w:t>
            </w:r>
          </w:p>
        </w:tc>
        <w:tc>
          <w:tcPr>
            <w:tcW w:w="1584" w:type="dxa"/>
            <w:tcBorders>
              <w:top w:val="nil"/>
              <w:left w:val="nil"/>
              <w:bottom w:val="nil"/>
              <w:right w:val="nil"/>
            </w:tcBorders>
          </w:tcPr>
          <w:p w14:paraId="46E7B3CD" w14:textId="77777777" w:rsidR="009256EF" w:rsidRPr="001001F9" w:rsidRDefault="009256EF" w:rsidP="00515E1E">
            <w:pPr>
              <w:widowControl w:val="0"/>
              <w:autoSpaceDE w:val="0"/>
              <w:autoSpaceDN w:val="0"/>
              <w:adjustRightInd w:val="0"/>
              <w:jc w:val="center"/>
              <w:rPr>
                <w:sz w:val="20"/>
                <w:szCs w:val="20"/>
              </w:rPr>
            </w:pPr>
          </w:p>
        </w:tc>
        <w:tc>
          <w:tcPr>
            <w:tcW w:w="1440" w:type="dxa"/>
            <w:tcBorders>
              <w:top w:val="nil"/>
              <w:left w:val="nil"/>
              <w:bottom w:val="nil"/>
              <w:right w:val="nil"/>
            </w:tcBorders>
          </w:tcPr>
          <w:p w14:paraId="41E9A500" w14:textId="2073C265" w:rsidR="009256EF" w:rsidRPr="001001F9" w:rsidRDefault="009256EF" w:rsidP="00515E1E">
            <w:pPr>
              <w:widowControl w:val="0"/>
              <w:autoSpaceDE w:val="0"/>
              <w:autoSpaceDN w:val="0"/>
              <w:adjustRightInd w:val="0"/>
              <w:jc w:val="center"/>
              <w:rPr>
                <w:sz w:val="20"/>
                <w:szCs w:val="20"/>
              </w:rPr>
            </w:pPr>
            <w:r w:rsidRPr="001001F9">
              <w:rPr>
                <w:sz w:val="20"/>
                <w:szCs w:val="20"/>
              </w:rPr>
              <w:t>0.491</w:t>
            </w:r>
          </w:p>
        </w:tc>
        <w:tc>
          <w:tcPr>
            <w:tcW w:w="1296" w:type="dxa"/>
            <w:tcBorders>
              <w:top w:val="nil"/>
              <w:left w:val="nil"/>
              <w:bottom w:val="nil"/>
              <w:right w:val="nil"/>
            </w:tcBorders>
          </w:tcPr>
          <w:p w14:paraId="3B6BCF8F" w14:textId="13F56826" w:rsidR="009256EF" w:rsidRPr="001001F9" w:rsidRDefault="009256EF" w:rsidP="00515E1E">
            <w:pPr>
              <w:widowControl w:val="0"/>
              <w:autoSpaceDE w:val="0"/>
              <w:autoSpaceDN w:val="0"/>
              <w:adjustRightInd w:val="0"/>
              <w:jc w:val="center"/>
              <w:rPr>
                <w:sz w:val="20"/>
                <w:szCs w:val="20"/>
              </w:rPr>
            </w:pPr>
            <w:r w:rsidRPr="001001F9">
              <w:rPr>
                <w:sz w:val="20"/>
                <w:szCs w:val="20"/>
              </w:rPr>
              <w:t>2.134</w:t>
            </w:r>
          </w:p>
        </w:tc>
        <w:tc>
          <w:tcPr>
            <w:tcW w:w="1440" w:type="dxa"/>
            <w:tcBorders>
              <w:top w:val="nil"/>
              <w:left w:val="nil"/>
              <w:bottom w:val="nil"/>
              <w:right w:val="nil"/>
            </w:tcBorders>
          </w:tcPr>
          <w:p w14:paraId="320683A2" w14:textId="77777777" w:rsidR="009256EF" w:rsidRPr="001001F9" w:rsidRDefault="009256EF" w:rsidP="00515E1E">
            <w:pPr>
              <w:widowControl w:val="0"/>
              <w:autoSpaceDE w:val="0"/>
              <w:autoSpaceDN w:val="0"/>
              <w:adjustRightInd w:val="0"/>
              <w:jc w:val="center"/>
              <w:rPr>
                <w:sz w:val="20"/>
                <w:szCs w:val="20"/>
              </w:rPr>
            </w:pPr>
          </w:p>
        </w:tc>
        <w:tc>
          <w:tcPr>
            <w:tcW w:w="1440" w:type="dxa"/>
            <w:tcBorders>
              <w:top w:val="nil"/>
              <w:left w:val="nil"/>
              <w:bottom w:val="nil"/>
              <w:right w:val="nil"/>
            </w:tcBorders>
          </w:tcPr>
          <w:p w14:paraId="3EF499CB" w14:textId="77777777" w:rsidR="009256EF" w:rsidRPr="001001F9" w:rsidRDefault="009256EF" w:rsidP="00515E1E">
            <w:pPr>
              <w:widowControl w:val="0"/>
              <w:autoSpaceDE w:val="0"/>
              <w:autoSpaceDN w:val="0"/>
              <w:adjustRightInd w:val="0"/>
              <w:jc w:val="center"/>
              <w:rPr>
                <w:sz w:val="20"/>
                <w:szCs w:val="20"/>
              </w:rPr>
            </w:pPr>
          </w:p>
        </w:tc>
        <w:tc>
          <w:tcPr>
            <w:tcW w:w="1440" w:type="dxa"/>
            <w:tcBorders>
              <w:top w:val="nil"/>
              <w:left w:val="nil"/>
              <w:bottom w:val="nil"/>
              <w:right w:val="nil"/>
            </w:tcBorders>
          </w:tcPr>
          <w:p w14:paraId="48BCE693"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-0.390</w:t>
            </w:r>
          </w:p>
        </w:tc>
      </w:tr>
      <w:tr w:rsidR="009256EF" w:rsidRPr="001001F9" w14:paraId="78BCF557" w14:textId="77777777" w:rsidTr="00515E1E">
        <w:trPr>
          <w:jc w:val="center"/>
        </w:trPr>
        <w:tc>
          <w:tcPr>
            <w:tcW w:w="3602" w:type="dxa"/>
            <w:tcBorders>
              <w:top w:val="nil"/>
              <w:left w:val="nil"/>
              <w:bottom w:val="nil"/>
              <w:right w:val="nil"/>
            </w:tcBorders>
          </w:tcPr>
          <w:p w14:paraId="4F691927" w14:textId="77777777" w:rsidR="009256EF" w:rsidRPr="001001F9" w:rsidRDefault="009256EF" w:rsidP="00515E1E">
            <w:pPr>
              <w:widowControl w:val="0"/>
              <w:autoSpaceDE w:val="0"/>
              <w:autoSpaceDN w:val="0"/>
              <w:adjustRightInd w:val="0"/>
              <w:rPr>
                <w:sz w:val="20"/>
                <w:szCs w:val="20"/>
              </w:rPr>
            </w:pPr>
          </w:p>
        </w:tc>
        <w:tc>
          <w:tcPr>
            <w:tcW w:w="1440" w:type="dxa"/>
            <w:tcBorders>
              <w:top w:val="nil"/>
              <w:left w:val="nil"/>
              <w:bottom w:val="nil"/>
              <w:right w:val="nil"/>
            </w:tcBorders>
          </w:tcPr>
          <w:p w14:paraId="0DF6D0FA"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(0.669)</w:t>
            </w:r>
          </w:p>
        </w:tc>
        <w:tc>
          <w:tcPr>
            <w:tcW w:w="1584" w:type="dxa"/>
            <w:tcBorders>
              <w:top w:val="nil"/>
              <w:left w:val="nil"/>
              <w:bottom w:val="nil"/>
              <w:right w:val="nil"/>
            </w:tcBorders>
          </w:tcPr>
          <w:p w14:paraId="50BBB833" w14:textId="77777777" w:rsidR="009256EF" w:rsidRPr="001001F9" w:rsidRDefault="009256EF" w:rsidP="00515E1E">
            <w:pPr>
              <w:widowControl w:val="0"/>
              <w:autoSpaceDE w:val="0"/>
              <w:autoSpaceDN w:val="0"/>
              <w:adjustRightInd w:val="0"/>
              <w:jc w:val="center"/>
              <w:rPr>
                <w:sz w:val="20"/>
                <w:szCs w:val="20"/>
              </w:rPr>
            </w:pPr>
          </w:p>
        </w:tc>
        <w:tc>
          <w:tcPr>
            <w:tcW w:w="1440" w:type="dxa"/>
            <w:tcBorders>
              <w:top w:val="nil"/>
              <w:left w:val="nil"/>
              <w:bottom w:val="nil"/>
              <w:right w:val="nil"/>
            </w:tcBorders>
          </w:tcPr>
          <w:p w14:paraId="4C964AE7"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(0.124)</w:t>
            </w:r>
          </w:p>
        </w:tc>
        <w:tc>
          <w:tcPr>
            <w:tcW w:w="1296" w:type="dxa"/>
            <w:tcBorders>
              <w:top w:val="nil"/>
              <w:left w:val="nil"/>
              <w:bottom w:val="nil"/>
              <w:right w:val="nil"/>
            </w:tcBorders>
          </w:tcPr>
          <w:p w14:paraId="3CC4599C"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(0.396)</w:t>
            </w:r>
          </w:p>
        </w:tc>
        <w:tc>
          <w:tcPr>
            <w:tcW w:w="1440" w:type="dxa"/>
            <w:tcBorders>
              <w:top w:val="nil"/>
              <w:left w:val="nil"/>
              <w:bottom w:val="nil"/>
              <w:right w:val="nil"/>
            </w:tcBorders>
          </w:tcPr>
          <w:p w14:paraId="53AE7968" w14:textId="77777777" w:rsidR="009256EF" w:rsidRPr="001001F9" w:rsidRDefault="009256EF" w:rsidP="00515E1E">
            <w:pPr>
              <w:widowControl w:val="0"/>
              <w:autoSpaceDE w:val="0"/>
              <w:autoSpaceDN w:val="0"/>
              <w:adjustRightInd w:val="0"/>
              <w:jc w:val="center"/>
              <w:rPr>
                <w:sz w:val="20"/>
                <w:szCs w:val="20"/>
              </w:rPr>
            </w:pPr>
          </w:p>
        </w:tc>
        <w:tc>
          <w:tcPr>
            <w:tcW w:w="1440" w:type="dxa"/>
            <w:tcBorders>
              <w:top w:val="nil"/>
              <w:left w:val="nil"/>
              <w:bottom w:val="nil"/>
              <w:right w:val="nil"/>
            </w:tcBorders>
          </w:tcPr>
          <w:p w14:paraId="67746C69" w14:textId="77777777" w:rsidR="009256EF" w:rsidRPr="001001F9" w:rsidRDefault="009256EF" w:rsidP="00515E1E">
            <w:pPr>
              <w:widowControl w:val="0"/>
              <w:autoSpaceDE w:val="0"/>
              <w:autoSpaceDN w:val="0"/>
              <w:adjustRightInd w:val="0"/>
              <w:jc w:val="center"/>
              <w:rPr>
                <w:sz w:val="20"/>
                <w:szCs w:val="20"/>
              </w:rPr>
            </w:pPr>
          </w:p>
        </w:tc>
        <w:tc>
          <w:tcPr>
            <w:tcW w:w="1440" w:type="dxa"/>
            <w:tcBorders>
              <w:top w:val="nil"/>
              <w:left w:val="nil"/>
              <w:bottom w:val="nil"/>
              <w:right w:val="nil"/>
            </w:tcBorders>
          </w:tcPr>
          <w:p w14:paraId="786FEBFB" w14:textId="77777777" w:rsidR="009256EF" w:rsidRPr="001001F9" w:rsidRDefault="009256EF" w:rsidP="00515E1E">
            <w:pPr>
              <w:widowControl w:val="0"/>
              <w:autoSpaceDE w:val="0"/>
              <w:autoSpaceDN w:val="0"/>
              <w:adjustRightInd w:val="0"/>
              <w:jc w:val="center"/>
              <w:rPr>
                <w:sz w:val="20"/>
                <w:szCs w:val="20"/>
              </w:rPr>
            </w:pPr>
            <w:r w:rsidRPr="001001F9">
              <w:rPr>
                <w:sz w:val="20"/>
                <w:szCs w:val="20"/>
              </w:rPr>
              <w:t>(0.547)</w:t>
            </w:r>
          </w:p>
        </w:tc>
      </w:tr>
      <w:tr w:rsidR="009256EF" w:rsidRPr="001001F9" w14:paraId="589D6A29" w14:textId="77777777" w:rsidTr="00111420">
        <w:trPr>
          <w:jc w:val="center"/>
        </w:trPr>
        <w:tc>
          <w:tcPr>
            <w:tcW w:w="3602" w:type="dxa"/>
            <w:tcBorders>
              <w:top w:val="nil"/>
              <w:left w:val="nil"/>
              <w:bottom w:val="nil"/>
              <w:right w:val="nil"/>
            </w:tcBorders>
          </w:tcPr>
          <w:p w14:paraId="399A9E07" w14:textId="77777777" w:rsidR="009256EF" w:rsidRPr="001001F9" w:rsidRDefault="009256EF" w:rsidP="00D0262E">
            <w:pPr>
              <w:widowControl w:val="0"/>
              <w:autoSpaceDE w:val="0"/>
              <w:autoSpaceDN w:val="0"/>
              <w:adjustRightInd w:val="0"/>
              <w:rPr>
                <w:sz w:val="20"/>
                <w:szCs w:val="20"/>
              </w:rPr>
            </w:pPr>
          </w:p>
        </w:tc>
        <w:tc>
          <w:tcPr>
            <w:tcW w:w="1440" w:type="dxa"/>
            <w:tcBorders>
              <w:top w:val="nil"/>
              <w:left w:val="nil"/>
              <w:bottom w:val="nil"/>
              <w:right w:val="nil"/>
            </w:tcBorders>
          </w:tcPr>
          <w:p w14:paraId="7BAD3BD2" w14:textId="77777777" w:rsidR="009256EF" w:rsidRPr="001001F9" w:rsidRDefault="009256EF" w:rsidP="00D0262E">
            <w:pPr>
              <w:widowControl w:val="0"/>
              <w:autoSpaceDE w:val="0"/>
              <w:autoSpaceDN w:val="0"/>
              <w:adjustRightInd w:val="0"/>
              <w:jc w:val="center"/>
              <w:rPr>
                <w:sz w:val="20"/>
                <w:szCs w:val="20"/>
              </w:rPr>
            </w:pPr>
          </w:p>
        </w:tc>
        <w:tc>
          <w:tcPr>
            <w:tcW w:w="1584" w:type="dxa"/>
            <w:tcBorders>
              <w:top w:val="nil"/>
              <w:left w:val="nil"/>
              <w:bottom w:val="nil"/>
              <w:right w:val="nil"/>
            </w:tcBorders>
          </w:tcPr>
          <w:p w14:paraId="3FDCD9DB" w14:textId="77777777" w:rsidR="009256EF" w:rsidRPr="001001F9" w:rsidRDefault="009256EF"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169E760F" w14:textId="77777777" w:rsidR="009256EF" w:rsidRPr="001001F9" w:rsidRDefault="009256EF" w:rsidP="00D0262E">
            <w:pPr>
              <w:widowControl w:val="0"/>
              <w:autoSpaceDE w:val="0"/>
              <w:autoSpaceDN w:val="0"/>
              <w:adjustRightInd w:val="0"/>
              <w:jc w:val="center"/>
              <w:rPr>
                <w:sz w:val="20"/>
                <w:szCs w:val="20"/>
              </w:rPr>
            </w:pPr>
          </w:p>
        </w:tc>
        <w:tc>
          <w:tcPr>
            <w:tcW w:w="1296" w:type="dxa"/>
            <w:tcBorders>
              <w:top w:val="nil"/>
              <w:left w:val="nil"/>
              <w:bottom w:val="nil"/>
              <w:right w:val="nil"/>
            </w:tcBorders>
          </w:tcPr>
          <w:p w14:paraId="5823EC93" w14:textId="77777777" w:rsidR="009256EF" w:rsidRPr="001001F9" w:rsidRDefault="009256EF"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7537960C" w14:textId="77777777" w:rsidR="009256EF" w:rsidRPr="001001F9" w:rsidRDefault="009256EF"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7084319C" w14:textId="77777777" w:rsidR="009256EF" w:rsidRPr="001001F9" w:rsidRDefault="009256EF"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1A701334" w14:textId="77777777" w:rsidR="009256EF" w:rsidRPr="001001F9" w:rsidRDefault="009256EF" w:rsidP="00D0262E">
            <w:pPr>
              <w:widowControl w:val="0"/>
              <w:autoSpaceDE w:val="0"/>
              <w:autoSpaceDN w:val="0"/>
              <w:adjustRightInd w:val="0"/>
              <w:jc w:val="center"/>
              <w:rPr>
                <w:sz w:val="20"/>
                <w:szCs w:val="20"/>
              </w:rPr>
            </w:pPr>
          </w:p>
        </w:tc>
      </w:tr>
      <w:tr w:rsidR="002E5F35" w:rsidRPr="001001F9" w14:paraId="613D9844" w14:textId="77777777" w:rsidTr="00111420">
        <w:trPr>
          <w:jc w:val="center"/>
        </w:trPr>
        <w:tc>
          <w:tcPr>
            <w:tcW w:w="3602" w:type="dxa"/>
            <w:tcBorders>
              <w:top w:val="nil"/>
              <w:left w:val="nil"/>
              <w:bottom w:val="nil"/>
              <w:right w:val="nil"/>
            </w:tcBorders>
          </w:tcPr>
          <w:p w14:paraId="27D83A31" w14:textId="77777777" w:rsidR="002E5F35" w:rsidRPr="001001F9" w:rsidRDefault="002E5F35" w:rsidP="00D0262E">
            <w:pPr>
              <w:widowControl w:val="0"/>
              <w:autoSpaceDE w:val="0"/>
              <w:autoSpaceDN w:val="0"/>
              <w:adjustRightInd w:val="0"/>
              <w:rPr>
                <w:sz w:val="20"/>
                <w:szCs w:val="20"/>
              </w:rPr>
            </w:pPr>
            <w:r w:rsidRPr="001001F9">
              <w:rPr>
                <w:sz w:val="20"/>
                <w:szCs w:val="20"/>
              </w:rPr>
              <w:t>Observations</w:t>
            </w:r>
          </w:p>
        </w:tc>
        <w:tc>
          <w:tcPr>
            <w:tcW w:w="1440" w:type="dxa"/>
            <w:tcBorders>
              <w:top w:val="nil"/>
              <w:left w:val="nil"/>
              <w:bottom w:val="nil"/>
              <w:right w:val="nil"/>
            </w:tcBorders>
          </w:tcPr>
          <w:p w14:paraId="2D3D400B"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10,296</w:t>
            </w:r>
          </w:p>
        </w:tc>
        <w:tc>
          <w:tcPr>
            <w:tcW w:w="1584" w:type="dxa"/>
            <w:tcBorders>
              <w:top w:val="nil"/>
              <w:left w:val="nil"/>
              <w:bottom w:val="nil"/>
              <w:right w:val="nil"/>
            </w:tcBorders>
          </w:tcPr>
          <w:p w14:paraId="21CEC276"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107,436</w:t>
            </w:r>
          </w:p>
        </w:tc>
        <w:tc>
          <w:tcPr>
            <w:tcW w:w="1440" w:type="dxa"/>
            <w:tcBorders>
              <w:top w:val="nil"/>
              <w:left w:val="nil"/>
              <w:bottom w:val="nil"/>
              <w:right w:val="nil"/>
            </w:tcBorders>
          </w:tcPr>
          <w:p w14:paraId="1406E1E4"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34,749</w:t>
            </w:r>
          </w:p>
        </w:tc>
        <w:tc>
          <w:tcPr>
            <w:tcW w:w="1296" w:type="dxa"/>
            <w:tcBorders>
              <w:top w:val="nil"/>
              <w:left w:val="nil"/>
              <w:bottom w:val="nil"/>
              <w:right w:val="nil"/>
            </w:tcBorders>
          </w:tcPr>
          <w:p w14:paraId="6714A412"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2,225</w:t>
            </w:r>
          </w:p>
        </w:tc>
        <w:tc>
          <w:tcPr>
            <w:tcW w:w="1440" w:type="dxa"/>
            <w:tcBorders>
              <w:top w:val="nil"/>
              <w:left w:val="nil"/>
              <w:bottom w:val="nil"/>
              <w:right w:val="nil"/>
            </w:tcBorders>
          </w:tcPr>
          <w:p w14:paraId="470B7853"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216,580</w:t>
            </w:r>
          </w:p>
        </w:tc>
        <w:tc>
          <w:tcPr>
            <w:tcW w:w="1440" w:type="dxa"/>
            <w:tcBorders>
              <w:top w:val="nil"/>
              <w:left w:val="nil"/>
              <w:bottom w:val="nil"/>
              <w:right w:val="nil"/>
            </w:tcBorders>
          </w:tcPr>
          <w:p w14:paraId="1E13DBDA"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18,876</w:t>
            </w:r>
          </w:p>
        </w:tc>
        <w:tc>
          <w:tcPr>
            <w:tcW w:w="1440" w:type="dxa"/>
            <w:tcBorders>
              <w:top w:val="nil"/>
              <w:left w:val="nil"/>
              <w:bottom w:val="nil"/>
              <w:right w:val="nil"/>
            </w:tcBorders>
          </w:tcPr>
          <w:p w14:paraId="7AE5E98C" w14:textId="77777777" w:rsidR="002E5F35" w:rsidRPr="001001F9" w:rsidRDefault="002E5F35" w:rsidP="00D0262E">
            <w:pPr>
              <w:widowControl w:val="0"/>
              <w:autoSpaceDE w:val="0"/>
              <w:autoSpaceDN w:val="0"/>
              <w:adjustRightInd w:val="0"/>
              <w:jc w:val="center"/>
              <w:rPr>
                <w:sz w:val="20"/>
                <w:szCs w:val="20"/>
              </w:rPr>
            </w:pPr>
            <w:r w:rsidRPr="001001F9">
              <w:rPr>
                <w:sz w:val="20"/>
                <w:szCs w:val="20"/>
              </w:rPr>
              <w:t>10,948</w:t>
            </w:r>
          </w:p>
        </w:tc>
      </w:tr>
      <w:tr w:rsidR="002E5F35" w:rsidRPr="001001F9" w14:paraId="5CA20EFF" w14:textId="77777777" w:rsidTr="00111420">
        <w:tblPrEx>
          <w:tblBorders>
            <w:bottom w:val="single" w:sz="6" w:space="0" w:color="auto"/>
          </w:tblBorders>
        </w:tblPrEx>
        <w:trPr>
          <w:jc w:val="center"/>
        </w:trPr>
        <w:tc>
          <w:tcPr>
            <w:tcW w:w="3602" w:type="dxa"/>
            <w:tcBorders>
              <w:top w:val="nil"/>
              <w:left w:val="nil"/>
              <w:bottom w:val="single" w:sz="6" w:space="0" w:color="auto"/>
              <w:right w:val="nil"/>
            </w:tcBorders>
          </w:tcPr>
          <w:p w14:paraId="13076503" w14:textId="77777777" w:rsidR="002E5F35" w:rsidRPr="001001F9" w:rsidRDefault="002E5F35" w:rsidP="003E04A7">
            <w:pPr>
              <w:widowControl w:val="0"/>
              <w:autoSpaceDE w:val="0"/>
              <w:autoSpaceDN w:val="0"/>
              <w:adjustRightInd w:val="0"/>
              <w:rPr>
                <w:sz w:val="20"/>
                <w:szCs w:val="20"/>
              </w:rPr>
            </w:pPr>
            <w:r w:rsidRPr="001001F9">
              <w:rPr>
                <w:sz w:val="20"/>
                <w:szCs w:val="20"/>
              </w:rPr>
              <w:t>Pseudo R2</w:t>
            </w:r>
          </w:p>
        </w:tc>
        <w:tc>
          <w:tcPr>
            <w:tcW w:w="1440" w:type="dxa"/>
            <w:tcBorders>
              <w:top w:val="nil"/>
              <w:left w:val="nil"/>
              <w:bottom w:val="single" w:sz="6" w:space="0" w:color="auto"/>
              <w:right w:val="nil"/>
            </w:tcBorders>
          </w:tcPr>
          <w:p w14:paraId="1DBAE4AE" w14:textId="124AE4FA" w:rsidR="002E5F35" w:rsidRPr="001001F9" w:rsidRDefault="002E5F35" w:rsidP="003E04A7">
            <w:pPr>
              <w:widowControl w:val="0"/>
              <w:autoSpaceDE w:val="0"/>
              <w:autoSpaceDN w:val="0"/>
              <w:adjustRightInd w:val="0"/>
              <w:jc w:val="center"/>
              <w:rPr>
                <w:sz w:val="20"/>
                <w:szCs w:val="20"/>
              </w:rPr>
            </w:pPr>
            <w:r>
              <w:rPr>
                <w:sz w:val="20"/>
                <w:szCs w:val="20"/>
              </w:rPr>
              <w:t>0.166</w:t>
            </w:r>
          </w:p>
        </w:tc>
        <w:tc>
          <w:tcPr>
            <w:tcW w:w="1584" w:type="dxa"/>
            <w:tcBorders>
              <w:top w:val="nil"/>
              <w:left w:val="nil"/>
              <w:bottom w:val="single" w:sz="6" w:space="0" w:color="auto"/>
              <w:right w:val="nil"/>
            </w:tcBorders>
          </w:tcPr>
          <w:p w14:paraId="25E3B0B8" w14:textId="3BAF667F" w:rsidR="002E5F35" w:rsidRPr="001001F9" w:rsidRDefault="002E5F35" w:rsidP="003E04A7">
            <w:pPr>
              <w:widowControl w:val="0"/>
              <w:autoSpaceDE w:val="0"/>
              <w:autoSpaceDN w:val="0"/>
              <w:adjustRightInd w:val="0"/>
              <w:jc w:val="center"/>
              <w:rPr>
                <w:sz w:val="20"/>
                <w:szCs w:val="20"/>
              </w:rPr>
            </w:pPr>
            <w:r>
              <w:rPr>
                <w:sz w:val="20"/>
                <w:szCs w:val="20"/>
              </w:rPr>
              <w:t>0.363</w:t>
            </w:r>
          </w:p>
        </w:tc>
        <w:tc>
          <w:tcPr>
            <w:tcW w:w="1440" w:type="dxa"/>
            <w:tcBorders>
              <w:top w:val="nil"/>
              <w:left w:val="nil"/>
              <w:bottom w:val="single" w:sz="6" w:space="0" w:color="auto"/>
              <w:right w:val="nil"/>
            </w:tcBorders>
          </w:tcPr>
          <w:p w14:paraId="2AFF3D97" w14:textId="620AE192" w:rsidR="002E5F35" w:rsidRPr="001001F9" w:rsidRDefault="002E5F35" w:rsidP="003E04A7">
            <w:pPr>
              <w:widowControl w:val="0"/>
              <w:autoSpaceDE w:val="0"/>
              <w:autoSpaceDN w:val="0"/>
              <w:adjustRightInd w:val="0"/>
              <w:jc w:val="center"/>
              <w:rPr>
                <w:sz w:val="20"/>
                <w:szCs w:val="20"/>
              </w:rPr>
            </w:pPr>
            <w:r>
              <w:rPr>
                <w:sz w:val="20"/>
                <w:szCs w:val="20"/>
              </w:rPr>
              <w:t>0.221</w:t>
            </w:r>
          </w:p>
        </w:tc>
        <w:tc>
          <w:tcPr>
            <w:tcW w:w="1296" w:type="dxa"/>
            <w:tcBorders>
              <w:top w:val="nil"/>
              <w:left w:val="nil"/>
              <w:bottom w:val="single" w:sz="6" w:space="0" w:color="auto"/>
              <w:right w:val="nil"/>
            </w:tcBorders>
          </w:tcPr>
          <w:p w14:paraId="1CEA8CEB" w14:textId="7FF5E592" w:rsidR="002E5F35" w:rsidRPr="001001F9" w:rsidRDefault="002E5F35" w:rsidP="003E04A7">
            <w:pPr>
              <w:widowControl w:val="0"/>
              <w:autoSpaceDE w:val="0"/>
              <w:autoSpaceDN w:val="0"/>
              <w:adjustRightInd w:val="0"/>
              <w:jc w:val="center"/>
              <w:rPr>
                <w:sz w:val="20"/>
                <w:szCs w:val="20"/>
              </w:rPr>
            </w:pPr>
            <w:r>
              <w:rPr>
                <w:sz w:val="20"/>
                <w:szCs w:val="20"/>
              </w:rPr>
              <w:t>0.271</w:t>
            </w:r>
          </w:p>
        </w:tc>
        <w:tc>
          <w:tcPr>
            <w:tcW w:w="1440" w:type="dxa"/>
            <w:tcBorders>
              <w:top w:val="nil"/>
              <w:left w:val="nil"/>
              <w:bottom w:val="single" w:sz="6" w:space="0" w:color="auto"/>
              <w:right w:val="nil"/>
            </w:tcBorders>
          </w:tcPr>
          <w:p w14:paraId="6D19BEDE" w14:textId="0C848DD4" w:rsidR="002E5F35" w:rsidRPr="001001F9" w:rsidRDefault="002E5F35" w:rsidP="003E04A7">
            <w:pPr>
              <w:widowControl w:val="0"/>
              <w:autoSpaceDE w:val="0"/>
              <w:autoSpaceDN w:val="0"/>
              <w:adjustRightInd w:val="0"/>
              <w:jc w:val="center"/>
              <w:rPr>
                <w:sz w:val="20"/>
                <w:szCs w:val="20"/>
              </w:rPr>
            </w:pPr>
            <w:r>
              <w:rPr>
                <w:sz w:val="20"/>
                <w:szCs w:val="20"/>
              </w:rPr>
              <w:t>0.494</w:t>
            </w:r>
          </w:p>
        </w:tc>
        <w:tc>
          <w:tcPr>
            <w:tcW w:w="1440" w:type="dxa"/>
            <w:tcBorders>
              <w:top w:val="nil"/>
              <w:left w:val="nil"/>
              <w:bottom w:val="single" w:sz="6" w:space="0" w:color="auto"/>
              <w:right w:val="nil"/>
            </w:tcBorders>
          </w:tcPr>
          <w:p w14:paraId="0FBC4084" w14:textId="5441AAF9" w:rsidR="002E5F35" w:rsidRPr="001001F9" w:rsidRDefault="002E5F35" w:rsidP="003E04A7">
            <w:pPr>
              <w:widowControl w:val="0"/>
              <w:autoSpaceDE w:val="0"/>
              <w:autoSpaceDN w:val="0"/>
              <w:adjustRightInd w:val="0"/>
              <w:jc w:val="center"/>
              <w:rPr>
                <w:sz w:val="20"/>
                <w:szCs w:val="20"/>
              </w:rPr>
            </w:pPr>
            <w:r>
              <w:rPr>
                <w:sz w:val="20"/>
                <w:szCs w:val="20"/>
              </w:rPr>
              <w:t>0.421</w:t>
            </w:r>
          </w:p>
        </w:tc>
        <w:tc>
          <w:tcPr>
            <w:tcW w:w="1440" w:type="dxa"/>
            <w:tcBorders>
              <w:top w:val="nil"/>
              <w:left w:val="nil"/>
              <w:bottom w:val="single" w:sz="6" w:space="0" w:color="auto"/>
              <w:right w:val="nil"/>
            </w:tcBorders>
          </w:tcPr>
          <w:p w14:paraId="4403B0CA" w14:textId="7648EBB2" w:rsidR="002E5F35" w:rsidRPr="001001F9" w:rsidRDefault="002E5F35" w:rsidP="003E04A7">
            <w:pPr>
              <w:widowControl w:val="0"/>
              <w:autoSpaceDE w:val="0"/>
              <w:autoSpaceDN w:val="0"/>
              <w:adjustRightInd w:val="0"/>
              <w:jc w:val="center"/>
              <w:rPr>
                <w:sz w:val="20"/>
                <w:szCs w:val="20"/>
              </w:rPr>
            </w:pPr>
            <w:r>
              <w:rPr>
                <w:sz w:val="20"/>
                <w:szCs w:val="20"/>
              </w:rPr>
              <w:t>0.357</w:t>
            </w:r>
          </w:p>
        </w:tc>
      </w:tr>
    </w:tbl>
    <w:p w14:paraId="6F521F1A" w14:textId="0AC944E3" w:rsidR="00681E2F" w:rsidRPr="001001F9" w:rsidRDefault="00681E2F" w:rsidP="00645CCF">
      <w:pPr>
        <w:widowControl w:val="0"/>
        <w:autoSpaceDE w:val="0"/>
        <w:autoSpaceDN w:val="0"/>
        <w:adjustRightInd w:val="0"/>
        <w:jc w:val="center"/>
        <w:rPr>
          <w:sz w:val="20"/>
          <w:szCs w:val="20"/>
        </w:rPr>
      </w:pPr>
      <w:r w:rsidRPr="001001F9">
        <w:rPr>
          <w:sz w:val="20"/>
          <w:szCs w:val="20"/>
        </w:rPr>
        <w:t>Robust standard errors in parentheses</w:t>
      </w:r>
      <w:r w:rsidR="00623157">
        <w:rPr>
          <w:sz w:val="20"/>
          <w:szCs w:val="20"/>
        </w:rPr>
        <w:t>,</w:t>
      </w:r>
      <w:r w:rsidR="00623157" w:rsidRPr="00737E0A">
        <w:rPr>
          <w:sz w:val="20"/>
          <w:szCs w:val="20"/>
        </w:rPr>
        <w:t xml:space="preserve"> clustered at the firm level. </w:t>
      </w:r>
    </w:p>
    <w:p w14:paraId="5CD7F488" w14:textId="77777777" w:rsidR="00F23571" w:rsidRDefault="00F23571" w:rsidP="00F23571">
      <w:pPr>
        <w:rPr>
          <w:noProof/>
          <w:sz w:val="20"/>
          <w:szCs w:val="20"/>
          <w:lang w:val="en-GB" w:eastAsia="en-GB"/>
        </w:rPr>
      </w:pPr>
    </w:p>
    <w:p w14:paraId="37C59E49" w14:textId="77777777" w:rsidR="00645CCF" w:rsidRDefault="00645CCF" w:rsidP="00F23571">
      <w:pPr>
        <w:rPr>
          <w:noProof/>
          <w:sz w:val="20"/>
          <w:szCs w:val="20"/>
          <w:lang w:val="en-GB" w:eastAsia="en-GB"/>
        </w:rPr>
      </w:pPr>
    </w:p>
    <w:p w14:paraId="33561828" w14:textId="77777777" w:rsidR="00645CCF" w:rsidRDefault="00645CCF" w:rsidP="00F23571">
      <w:pPr>
        <w:rPr>
          <w:noProof/>
          <w:sz w:val="20"/>
          <w:szCs w:val="20"/>
          <w:lang w:val="en-GB" w:eastAsia="en-GB"/>
        </w:rPr>
      </w:pPr>
    </w:p>
    <w:p w14:paraId="08E994DF" w14:textId="77777777" w:rsidR="00645CCF" w:rsidRDefault="00645CCF" w:rsidP="00F23571">
      <w:pPr>
        <w:rPr>
          <w:noProof/>
          <w:sz w:val="20"/>
          <w:szCs w:val="20"/>
          <w:lang w:val="en-GB" w:eastAsia="en-GB"/>
        </w:rPr>
      </w:pPr>
    </w:p>
    <w:p w14:paraId="0400D66E" w14:textId="77777777" w:rsidR="00645CCF" w:rsidRDefault="00645CCF" w:rsidP="00F23571">
      <w:pPr>
        <w:rPr>
          <w:noProof/>
          <w:sz w:val="20"/>
          <w:szCs w:val="20"/>
          <w:lang w:val="en-GB" w:eastAsia="en-GB"/>
        </w:rPr>
      </w:pPr>
    </w:p>
    <w:p w14:paraId="2F2EDBE8" w14:textId="77777777" w:rsidR="00645CCF" w:rsidRDefault="00645CCF" w:rsidP="00F23571">
      <w:pPr>
        <w:rPr>
          <w:noProof/>
          <w:sz w:val="20"/>
          <w:szCs w:val="20"/>
          <w:lang w:val="en-GB" w:eastAsia="en-GB"/>
        </w:rPr>
      </w:pPr>
    </w:p>
    <w:p w14:paraId="33B7119F" w14:textId="77777777" w:rsidR="00645CCF" w:rsidRDefault="00645CCF" w:rsidP="00F23571">
      <w:pPr>
        <w:rPr>
          <w:noProof/>
          <w:sz w:val="20"/>
          <w:szCs w:val="20"/>
          <w:lang w:val="en-GB" w:eastAsia="en-GB"/>
        </w:rPr>
      </w:pPr>
    </w:p>
    <w:p w14:paraId="112BDF66" w14:textId="77777777" w:rsidR="00645CCF" w:rsidRDefault="00645CCF" w:rsidP="00F23571">
      <w:pPr>
        <w:rPr>
          <w:noProof/>
          <w:sz w:val="20"/>
          <w:szCs w:val="20"/>
          <w:lang w:val="en-GB" w:eastAsia="en-GB"/>
        </w:rPr>
      </w:pPr>
    </w:p>
    <w:p w14:paraId="2E43D7F3" w14:textId="77777777" w:rsidR="001222A8" w:rsidRDefault="001222A8" w:rsidP="00F23571">
      <w:pPr>
        <w:rPr>
          <w:noProof/>
          <w:sz w:val="20"/>
          <w:szCs w:val="20"/>
          <w:lang w:val="en-GB" w:eastAsia="en-GB"/>
        </w:rPr>
      </w:pPr>
    </w:p>
    <w:p w14:paraId="1654B164" w14:textId="6E9A4751" w:rsidR="001222A8" w:rsidRDefault="001222A8" w:rsidP="001222A8">
      <w:pPr>
        <w:rPr>
          <w:b/>
        </w:rPr>
      </w:pPr>
      <w:r>
        <w:rPr>
          <w:b/>
        </w:rPr>
        <w:t>Table 6b</w:t>
      </w:r>
      <w:r w:rsidRPr="001222A8">
        <w:rPr>
          <w:b/>
        </w:rPr>
        <w:t xml:space="preserve"> – </w:t>
      </w:r>
      <w:r w:rsidRPr="00C71239">
        <w:rPr>
          <w:b/>
        </w:rPr>
        <w:t xml:space="preserve">Determinants of location choice </w:t>
      </w:r>
      <w:r>
        <w:rPr>
          <w:b/>
        </w:rPr>
        <w:t>– Country by country regressions. Advanced</w:t>
      </w:r>
      <w:r w:rsidRPr="001222A8">
        <w:rPr>
          <w:b/>
        </w:rPr>
        <w:t xml:space="preserve"> Economies</w:t>
      </w:r>
    </w:p>
    <w:p w14:paraId="6E60E597" w14:textId="77777777" w:rsidR="001222A8" w:rsidRDefault="001222A8" w:rsidP="00F23571">
      <w:pPr>
        <w:rPr>
          <w:noProof/>
          <w:sz w:val="20"/>
          <w:szCs w:val="20"/>
          <w:lang w:val="en-GB" w:eastAsia="en-GB"/>
        </w:rPr>
      </w:pPr>
    </w:p>
    <w:tbl>
      <w:tblPr>
        <w:tblW w:w="14883" w:type="dxa"/>
        <w:jc w:val="center"/>
        <w:tblLayout w:type="fixed"/>
        <w:tblCellMar>
          <w:left w:w="75" w:type="dxa"/>
          <w:right w:w="75" w:type="dxa"/>
        </w:tblCellMar>
        <w:tblLook w:val="0000" w:firstRow="0" w:lastRow="0" w:firstColumn="0" w:lastColumn="0" w:noHBand="0" w:noVBand="0"/>
      </w:tblPr>
      <w:tblGrid>
        <w:gridCol w:w="4803"/>
        <w:gridCol w:w="1440"/>
        <w:gridCol w:w="1440"/>
        <w:gridCol w:w="1440"/>
        <w:gridCol w:w="1440"/>
        <w:gridCol w:w="1440"/>
        <w:gridCol w:w="1440"/>
        <w:gridCol w:w="1440"/>
      </w:tblGrid>
      <w:tr w:rsidR="00737E0A" w:rsidRPr="00737E0A" w14:paraId="6E0FBF60" w14:textId="77777777" w:rsidTr="00D0262E">
        <w:trPr>
          <w:jc w:val="center"/>
        </w:trPr>
        <w:tc>
          <w:tcPr>
            <w:tcW w:w="4803" w:type="dxa"/>
            <w:tcBorders>
              <w:top w:val="single" w:sz="6" w:space="0" w:color="auto"/>
              <w:left w:val="nil"/>
              <w:bottom w:val="nil"/>
              <w:right w:val="nil"/>
            </w:tcBorders>
          </w:tcPr>
          <w:p w14:paraId="5EB7C111" w14:textId="77777777" w:rsidR="00737E0A" w:rsidRPr="00737E0A" w:rsidRDefault="00737E0A" w:rsidP="00D0262E">
            <w:pPr>
              <w:widowControl w:val="0"/>
              <w:autoSpaceDE w:val="0"/>
              <w:autoSpaceDN w:val="0"/>
              <w:adjustRightInd w:val="0"/>
              <w:rPr>
                <w:sz w:val="20"/>
                <w:szCs w:val="20"/>
              </w:rPr>
            </w:pPr>
          </w:p>
        </w:tc>
        <w:tc>
          <w:tcPr>
            <w:tcW w:w="1440" w:type="dxa"/>
            <w:tcBorders>
              <w:top w:val="single" w:sz="6" w:space="0" w:color="auto"/>
              <w:left w:val="nil"/>
              <w:bottom w:val="nil"/>
              <w:right w:val="nil"/>
            </w:tcBorders>
          </w:tcPr>
          <w:p w14:paraId="4A768915"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(1)</w:t>
            </w:r>
          </w:p>
        </w:tc>
        <w:tc>
          <w:tcPr>
            <w:tcW w:w="1440" w:type="dxa"/>
            <w:tcBorders>
              <w:top w:val="single" w:sz="6" w:space="0" w:color="auto"/>
              <w:left w:val="nil"/>
              <w:bottom w:val="nil"/>
              <w:right w:val="nil"/>
            </w:tcBorders>
          </w:tcPr>
          <w:p w14:paraId="4075D7A6"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(2)</w:t>
            </w:r>
          </w:p>
        </w:tc>
        <w:tc>
          <w:tcPr>
            <w:tcW w:w="1440" w:type="dxa"/>
            <w:tcBorders>
              <w:top w:val="single" w:sz="6" w:space="0" w:color="auto"/>
              <w:left w:val="nil"/>
              <w:bottom w:val="nil"/>
              <w:right w:val="nil"/>
            </w:tcBorders>
          </w:tcPr>
          <w:p w14:paraId="03DEE02A"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(3)</w:t>
            </w:r>
          </w:p>
        </w:tc>
        <w:tc>
          <w:tcPr>
            <w:tcW w:w="1440" w:type="dxa"/>
            <w:tcBorders>
              <w:top w:val="single" w:sz="6" w:space="0" w:color="auto"/>
              <w:left w:val="nil"/>
              <w:bottom w:val="nil"/>
              <w:right w:val="nil"/>
            </w:tcBorders>
          </w:tcPr>
          <w:p w14:paraId="184A4B1B"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(4)</w:t>
            </w:r>
          </w:p>
        </w:tc>
        <w:tc>
          <w:tcPr>
            <w:tcW w:w="1440" w:type="dxa"/>
            <w:tcBorders>
              <w:top w:val="single" w:sz="6" w:space="0" w:color="auto"/>
              <w:left w:val="nil"/>
              <w:bottom w:val="nil"/>
              <w:right w:val="nil"/>
            </w:tcBorders>
          </w:tcPr>
          <w:p w14:paraId="753005D9"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(5)</w:t>
            </w:r>
          </w:p>
        </w:tc>
        <w:tc>
          <w:tcPr>
            <w:tcW w:w="1440" w:type="dxa"/>
            <w:tcBorders>
              <w:top w:val="single" w:sz="6" w:space="0" w:color="auto"/>
              <w:left w:val="nil"/>
              <w:bottom w:val="nil"/>
              <w:right w:val="nil"/>
            </w:tcBorders>
          </w:tcPr>
          <w:p w14:paraId="4E5D5B21"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(6)</w:t>
            </w:r>
          </w:p>
        </w:tc>
        <w:tc>
          <w:tcPr>
            <w:tcW w:w="1440" w:type="dxa"/>
            <w:tcBorders>
              <w:top w:val="single" w:sz="6" w:space="0" w:color="auto"/>
              <w:left w:val="nil"/>
              <w:bottom w:val="nil"/>
              <w:right w:val="nil"/>
            </w:tcBorders>
          </w:tcPr>
          <w:p w14:paraId="6E7DE038"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(7)</w:t>
            </w:r>
          </w:p>
        </w:tc>
      </w:tr>
      <w:tr w:rsidR="00737E0A" w:rsidRPr="00737E0A" w14:paraId="0DBB4300" w14:textId="77777777" w:rsidTr="00D0262E">
        <w:trPr>
          <w:jc w:val="center"/>
        </w:trPr>
        <w:tc>
          <w:tcPr>
            <w:tcW w:w="4803" w:type="dxa"/>
            <w:tcBorders>
              <w:top w:val="nil"/>
              <w:left w:val="nil"/>
              <w:bottom w:val="single" w:sz="6" w:space="0" w:color="auto"/>
              <w:right w:val="nil"/>
            </w:tcBorders>
          </w:tcPr>
          <w:p w14:paraId="6D2DA99A" w14:textId="77777777" w:rsidR="00737E0A" w:rsidRPr="00737E0A" w:rsidRDefault="00737E0A" w:rsidP="00D0262E">
            <w:pPr>
              <w:widowControl w:val="0"/>
              <w:autoSpaceDE w:val="0"/>
              <w:autoSpaceDN w:val="0"/>
              <w:adjustRightInd w:val="0"/>
              <w:rPr>
                <w:sz w:val="20"/>
                <w:szCs w:val="20"/>
              </w:rPr>
            </w:pPr>
            <w:r w:rsidRPr="00737E0A">
              <w:rPr>
                <w:sz w:val="20"/>
                <w:szCs w:val="20"/>
              </w:rPr>
              <w:t>VARIABLES</w:t>
            </w:r>
          </w:p>
        </w:tc>
        <w:tc>
          <w:tcPr>
            <w:tcW w:w="1440" w:type="dxa"/>
            <w:tcBorders>
              <w:top w:val="nil"/>
              <w:left w:val="nil"/>
              <w:bottom w:val="single" w:sz="6" w:space="0" w:color="auto"/>
              <w:right w:val="nil"/>
            </w:tcBorders>
          </w:tcPr>
          <w:p w14:paraId="0BD07029"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Germany</w:t>
            </w:r>
          </w:p>
        </w:tc>
        <w:tc>
          <w:tcPr>
            <w:tcW w:w="1440" w:type="dxa"/>
            <w:tcBorders>
              <w:top w:val="nil"/>
              <w:left w:val="nil"/>
              <w:bottom w:val="single" w:sz="6" w:space="0" w:color="auto"/>
              <w:right w:val="nil"/>
            </w:tcBorders>
          </w:tcPr>
          <w:p w14:paraId="566B8812"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Spain</w:t>
            </w:r>
          </w:p>
        </w:tc>
        <w:tc>
          <w:tcPr>
            <w:tcW w:w="1440" w:type="dxa"/>
            <w:tcBorders>
              <w:top w:val="nil"/>
              <w:left w:val="nil"/>
              <w:bottom w:val="single" w:sz="6" w:space="0" w:color="auto"/>
              <w:right w:val="nil"/>
            </w:tcBorders>
          </w:tcPr>
          <w:p w14:paraId="764FF6B3"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France</w:t>
            </w:r>
          </w:p>
        </w:tc>
        <w:tc>
          <w:tcPr>
            <w:tcW w:w="1440" w:type="dxa"/>
            <w:tcBorders>
              <w:top w:val="nil"/>
              <w:left w:val="nil"/>
              <w:bottom w:val="single" w:sz="6" w:space="0" w:color="auto"/>
              <w:right w:val="nil"/>
            </w:tcBorders>
          </w:tcPr>
          <w:p w14:paraId="74B81AE6"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UK</w:t>
            </w:r>
          </w:p>
        </w:tc>
        <w:tc>
          <w:tcPr>
            <w:tcW w:w="1440" w:type="dxa"/>
            <w:tcBorders>
              <w:top w:val="nil"/>
              <w:left w:val="nil"/>
              <w:bottom w:val="single" w:sz="6" w:space="0" w:color="auto"/>
              <w:right w:val="nil"/>
            </w:tcBorders>
          </w:tcPr>
          <w:p w14:paraId="55ECDCB8"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Canada</w:t>
            </w:r>
          </w:p>
        </w:tc>
        <w:tc>
          <w:tcPr>
            <w:tcW w:w="1440" w:type="dxa"/>
            <w:tcBorders>
              <w:top w:val="nil"/>
              <w:left w:val="nil"/>
              <w:bottom w:val="single" w:sz="6" w:space="0" w:color="auto"/>
              <w:right w:val="nil"/>
            </w:tcBorders>
          </w:tcPr>
          <w:p w14:paraId="7ADC5FB9"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US</w:t>
            </w:r>
          </w:p>
        </w:tc>
        <w:tc>
          <w:tcPr>
            <w:tcW w:w="1440" w:type="dxa"/>
            <w:tcBorders>
              <w:top w:val="nil"/>
              <w:left w:val="nil"/>
              <w:bottom w:val="single" w:sz="6" w:space="0" w:color="auto"/>
              <w:right w:val="nil"/>
            </w:tcBorders>
          </w:tcPr>
          <w:p w14:paraId="73513716"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Japan</w:t>
            </w:r>
          </w:p>
        </w:tc>
      </w:tr>
      <w:tr w:rsidR="00737E0A" w:rsidRPr="00737E0A" w14:paraId="6F10438A" w14:textId="77777777" w:rsidTr="00D0262E">
        <w:trPr>
          <w:jc w:val="center"/>
        </w:trPr>
        <w:tc>
          <w:tcPr>
            <w:tcW w:w="4803" w:type="dxa"/>
            <w:tcBorders>
              <w:top w:val="nil"/>
              <w:left w:val="nil"/>
              <w:bottom w:val="nil"/>
              <w:right w:val="nil"/>
            </w:tcBorders>
          </w:tcPr>
          <w:p w14:paraId="64062227" w14:textId="77777777" w:rsidR="00737E0A" w:rsidRPr="00737E0A" w:rsidRDefault="00737E0A" w:rsidP="00D0262E">
            <w:pPr>
              <w:widowControl w:val="0"/>
              <w:autoSpaceDE w:val="0"/>
              <w:autoSpaceDN w:val="0"/>
              <w:adjustRightInd w:val="0"/>
              <w:rPr>
                <w:sz w:val="20"/>
                <w:szCs w:val="20"/>
              </w:rPr>
            </w:pPr>
          </w:p>
        </w:tc>
        <w:tc>
          <w:tcPr>
            <w:tcW w:w="1440" w:type="dxa"/>
            <w:tcBorders>
              <w:top w:val="nil"/>
              <w:left w:val="nil"/>
              <w:bottom w:val="nil"/>
              <w:right w:val="nil"/>
            </w:tcBorders>
          </w:tcPr>
          <w:p w14:paraId="5A591320"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263F8E1D"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6F3BC00E"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6243CAE6"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5DCBD675"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6FEF3ED6"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484A8D01" w14:textId="77777777" w:rsidR="00737E0A" w:rsidRPr="00737E0A" w:rsidRDefault="00737E0A" w:rsidP="00D0262E">
            <w:pPr>
              <w:widowControl w:val="0"/>
              <w:autoSpaceDE w:val="0"/>
              <w:autoSpaceDN w:val="0"/>
              <w:adjustRightInd w:val="0"/>
              <w:jc w:val="center"/>
              <w:rPr>
                <w:sz w:val="20"/>
                <w:szCs w:val="20"/>
              </w:rPr>
            </w:pPr>
          </w:p>
        </w:tc>
      </w:tr>
      <w:tr w:rsidR="00737E0A" w:rsidRPr="00737E0A" w14:paraId="4FB95CAC" w14:textId="77777777" w:rsidTr="00D0262E">
        <w:trPr>
          <w:jc w:val="center"/>
        </w:trPr>
        <w:tc>
          <w:tcPr>
            <w:tcW w:w="4803" w:type="dxa"/>
            <w:tcBorders>
              <w:top w:val="nil"/>
              <w:left w:val="nil"/>
              <w:bottom w:val="nil"/>
              <w:right w:val="nil"/>
            </w:tcBorders>
          </w:tcPr>
          <w:p w14:paraId="5DFBFFB7" w14:textId="312CDCBC" w:rsidR="00737E0A" w:rsidRPr="00737E0A" w:rsidRDefault="00D6052A" w:rsidP="00737E0A">
            <w:pPr>
              <w:widowControl w:val="0"/>
              <w:autoSpaceDE w:val="0"/>
              <w:autoSpaceDN w:val="0"/>
              <w:adjustRightInd w:val="0"/>
              <w:rPr>
                <w:sz w:val="20"/>
                <w:szCs w:val="20"/>
              </w:rPr>
            </w:pPr>
            <w:r>
              <w:rPr>
                <w:color w:val="000000"/>
                <w:kern w:val="24"/>
                <w:sz w:val="20"/>
                <w:szCs w:val="20"/>
                <w:lang w:eastAsia="en-GB"/>
              </w:rPr>
              <w:t>IPR protection</w:t>
            </w:r>
          </w:p>
        </w:tc>
        <w:tc>
          <w:tcPr>
            <w:tcW w:w="1440" w:type="dxa"/>
            <w:tcBorders>
              <w:top w:val="nil"/>
              <w:left w:val="nil"/>
              <w:bottom w:val="nil"/>
              <w:right w:val="nil"/>
            </w:tcBorders>
          </w:tcPr>
          <w:p w14:paraId="278DEF9E" w14:textId="666462DF" w:rsidR="00737E0A" w:rsidRPr="00737E0A" w:rsidRDefault="00737E0A" w:rsidP="00737E0A">
            <w:pPr>
              <w:widowControl w:val="0"/>
              <w:autoSpaceDE w:val="0"/>
              <w:autoSpaceDN w:val="0"/>
              <w:adjustRightInd w:val="0"/>
              <w:jc w:val="center"/>
              <w:rPr>
                <w:sz w:val="20"/>
                <w:szCs w:val="20"/>
              </w:rPr>
            </w:pPr>
            <w:r w:rsidRPr="00737E0A">
              <w:rPr>
                <w:sz w:val="20"/>
                <w:szCs w:val="20"/>
              </w:rPr>
              <w:t>-0.003</w:t>
            </w:r>
          </w:p>
        </w:tc>
        <w:tc>
          <w:tcPr>
            <w:tcW w:w="1440" w:type="dxa"/>
            <w:tcBorders>
              <w:top w:val="nil"/>
              <w:left w:val="nil"/>
              <w:bottom w:val="nil"/>
              <w:right w:val="nil"/>
            </w:tcBorders>
          </w:tcPr>
          <w:p w14:paraId="0B2E359A"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06CB0713"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-0.000</w:t>
            </w:r>
          </w:p>
        </w:tc>
        <w:tc>
          <w:tcPr>
            <w:tcW w:w="1440" w:type="dxa"/>
            <w:tcBorders>
              <w:top w:val="nil"/>
              <w:left w:val="nil"/>
              <w:bottom w:val="nil"/>
              <w:right w:val="nil"/>
            </w:tcBorders>
          </w:tcPr>
          <w:p w14:paraId="35DB2B3C" w14:textId="3431FDDF" w:rsidR="00737E0A" w:rsidRPr="00737E0A" w:rsidRDefault="00737E0A" w:rsidP="00737E0A">
            <w:pPr>
              <w:widowControl w:val="0"/>
              <w:autoSpaceDE w:val="0"/>
              <w:autoSpaceDN w:val="0"/>
              <w:adjustRightInd w:val="0"/>
              <w:jc w:val="center"/>
              <w:rPr>
                <w:sz w:val="20"/>
                <w:szCs w:val="20"/>
              </w:rPr>
            </w:pPr>
            <w:r w:rsidRPr="00737E0A">
              <w:rPr>
                <w:sz w:val="20"/>
                <w:szCs w:val="20"/>
              </w:rPr>
              <w:t>0.017</w:t>
            </w:r>
          </w:p>
        </w:tc>
        <w:tc>
          <w:tcPr>
            <w:tcW w:w="1440" w:type="dxa"/>
            <w:tcBorders>
              <w:top w:val="nil"/>
              <w:left w:val="nil"/>
              <w:bottom w:val="nil"/>
              <w:right w:val="nil"/>
            </w:tcBorders>
          </w:tcPr>
          <w:p w14:paraId="341673A4" w14:textId="7CE52D53" w:rsidR="00737E0A" w:rsidRPr="00737E0A" w:rsidRDefault="00737E0A" w:rsidP="00737E0A">
            <w:pPr>
              <w:widowControl w:val="0"/>
              <w:autoSpaceDE w:val="0"/>
              <w:autoSpaceDN w:val="0"/>
              <w:adjustRightInd w:val="0"/>
              <w:jc w:val="center"/>
              <w:rPr>
                <w:sz w:val="20"/>
                <w:szCs w:val="20"/>
              </w:rPr>
            </w:pPr>
            <w:r w:rsidRPr="00737E0A">
              <w:rPr>
                <w:sz w:val="20"/>
                <w:szCs w:val="20"/>
              </w:rPr>
              <w:t>0.052</w:t>
            </w:r>
          </w:p>
        </w:tc>
        <w:tc>
          <w:tcPr>
            <w:tcW w:w="1440" w:type="dxa"/>
            <w:tcBorders>
              <w:top w:val="nil"/>
              <w:left w:val="nil"/>
              <w:bottom w:val="nil"/>
              <w:right w:val="nil"/>
            </w:tcBorders>
          </w:tcPr>
          <w:p w14:paraId="5C5F220F" w14:textId="7F08B6C5" w:rsidR="00737E0A" w:rsidRPr="00737E0A" w:rsidRDefault="00737E0A" w:rsidP="00737E0A">
            <w:pPr>
              <w:widowControl w:val="0"/>
              <w:autoSpaceDE w:val="0"/>
              <w:autoSpaceDN w:val="0"/>
              <w:adjustRightInd w:val="0"/>
              <w:jc w:val="center"/>
              <w:rPr>
                <w:sz w:val="20"/>
                <w:szCs w:val="20"/>
              </w:rPr>
            </w:pPr>
            <w:r w:rsidRPr="00737E0A">
              <w:rPr>
                <w:sz w:val="20"/>
                <w:szCs w:val="20"/>
              </w:rPr>
              <w:t>0.022</w:t>
            </w:r>
          </w:p>
        </w:tc>
        <w:tc>
          <w:tcPr>
            <w:tcW w:w="1440" w:type="dxa"/>
            <w:tcBorders>
              <w:top w:val="nil"/>
              <w:left w:val="nil"/>
              <w:bottom w:val="nil"/>
              <w:right w:val="nil"/>
            </w:tcBorders>
          </w:tcPr>
          <w:p w14:paraId="48AA7E3A" w14:textId="0C5899E2" w:rsidR="00737E0A" w:rsidRPr="00737E0A" w:rsidRDefault="00737E0A" w:rsidP="00737E0A">
            <w:pPr>
              <w:widowControl w:val="0"/>
              <w:autoSpaceDE w:val="0"/>
              <w:autoSpaceDN w:val="0"/>
              <w:adjustRightInd w:val="0"/>
              <w:jc w:val="center"/>
              <w:rPr>
                <w:sz w:val="20"/>
                <w:szCs w:val="20"/>
              </w:rPr>
            </w:pPr>
            <w:r w:rsidRPr="00737E0A">
              <w:rPr>
                <w:sz w:val="20"/>
                <w:szCs w:val="20"/>
              </w:rPr>
              <w:t>0.020</w:t>
            </w:r>
          </w:p>
        </w:tc>
      </w:tr>
      <w:tr w:rsidR="00737E0A" w:rsidRPr="00737E0A" w14:paraId="2B349516" w14:textId="77777777" w:rsidTr="00D0262E">
        <w:trPr>
          <w:jc w:val="center"/>
        </w:trPr>
        <w:tc>
          <w:tcPr>
            <w:tcW w:w="4803" w:type="dxa"/>
            <w:tcBorders>
              <w:top w:val="nil"/>
              <w:left w:val="nil"/>
              <w:bottom w:val="nil"/>
              <w:right w:val="nil"/>
            </w:tcBorders>
          </w:tcPr>
          <w:p w14:paraId="15251804" w14:textId="77777777" w:rsidR="00737E0A" w:rsidRPr="00737E0A" w:rsidRDefault="00737E0A" w:rsidP="00737E0A">
            <w:pPr>
              <w:widowControl w:val="0"/>
              <w:autoSpaceDE w:val="0"/>
              <w:autoSpaceDN w:val="0"/>
              <w:adjustRightInd w:val="0"/>
              <w:rPr>
                <w:sz w:val="20"/>
                <w:szCs w:val="20"/>
              </w:rPr>
            </w:pPr>
          </w:p>
        </w:tc>
        <w:tc>
          <w:tcPr>
            <w:tcW w:w="1440" w:type="dxa"/>
            <w:tcBorders>
              <w:top w:val="nil"/>
              <w:left w:val="nil"/>
              <w:bottom w:val="nil"/>
              <w:right w:val="nil"/>
            </w:tcBorders>
          </w:tcPr>
          <w:p w14:paraId="4B1709A6"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4DDA07FC"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(0.004)</w:t>
            </w:r>
          </w:p>
        </w:tc>
        <w:tc>
          <w:tcPr>
            <w:tcW w:w="1440" w:type="dxa"/>
            <w:tcBorders>
              <w:top w:val="nil"/>
              <w:left w:val="nil"/>
              <w:bottom w:val="nil"/>
              <w:right w:val="nil"/>
            </w:tcBorders>
          </w:tcPr>
          <w:p w14:paraId="407130DA"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516C0106"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37701740"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(0.008)</w:t>
            </w:r>
          </w:p>
        </w:tc>
        <w:tc>
          <w:tcPr>
            <w:tcW w:w="1440" w:type="dxa"/>
            <w:tcBorders>
              <w:top w:val="nil"/>
              <w:left w:val="nil"/>
              <w:bottom w:val="nil"/>
              <w:right w:val="nil"/>
            </w:tcBorders>
          </w:tcPr>
          <w:p w14:paraId="6238C472"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(0.002)</w:t>
            </w:r>
          </w:p>
        </w:tc>
        <w:tc>
          <w:tcPr>
            <w:tcW w:w="1440" w:type="dxa"/>
            <w:tcBorders>
              <w:top w:val="nil"/>
              <w:left w:val="nil"/>
              <w:bottom w:val="nil"/>
              <w:right w:val="nil"/>
            </w:tcBorders>
          </w:tcPr>
          <w:p w14:paraId="36D52D38"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(0.005)</w:t>
            </w:r>
          </w:p>
        </w:tc>
      </w:tr>
      <w:tr w:rsidR="00737E0A" w:rsidRPr="00737E0A" w14:paraId="6DCAB150" w14:textId="77777777" w:rsidTr="00D0262E">
        <w:trPr>
          <w:jc w:val="center"/>
        </w:trPr>
        <w:tc>
          <w:tcPr>
            <w:tcW w:w="4803" w:type="dxa"/>
            <w:tcBorders>
              <w:top w:val="nil"/>
              <w:left w:val="nil"/>
              <w:bottom w:val="nil"/>
              <w:right w:val="nil"/>
            </w:tcBorders>
          </w:tcPr>
          <w:p w14:paraId="1B483B5F" w14:textId="6C2EF528" w:rsidR="00737E0A" w:rsidRPr="00737E0A" w:rsidRDefault="00D6052A" w:rsidP="00737E0A">
            <w:pPr>
              <w:widowControl w:val="0"/>
              <w:autoSpaceDE w:val="0"/>
              <w:autoSpaceDN w:val="0"/>
              <w:adjustRightInd w:val="0"/>
              <w:rPr>
                <w:sz w:val="20"/>
                <w:szCs w:val="20"/>
              </w:rPr>
            </w:pPr>
            <w:r>
              <w:rPr>
                <w:color w:val="000000"/>
                <w:kern w:val="24"/>
                <w:sz w:val="20"/>
                <w:szCs w:val="20"/>
                <w:lang w:eastAsia="en-GB"/>
              </w:rPr>
              <w:t>Distance</w:t>
            </w:r>
          </w:p>
        </w:tc>
        <w:tc>
          <w:tcPr>
            <w:tcW w:w="1440" w:type="dxa"/>
            <w:tcBorders>
              <w:top w:val="nil"/>
              <w:left w:val="nil"/>
              <w:bottom w:val="nil"/>
              <w:right w:val="nil"/>
            </w:tcBorders>
          </w:tcPr>
          <w:p w14:paraId="3D1A5ED7" w14:textId="3E141F62" w:rsidR="00737E0A" w:rsidRPr="00737E0A" w:rsidRDefault="00737E0A" w:rsidP="00737E0A">
            <w:pPr>
              <w:widowControl w:val="0"/>
              <w:autoSpaceDE w:val="0"/>
              <w:autoSpaceDN w:val="0"/>
              <w:adjustRightInd w:val="0"/>
              <w:jc w:val="center"/>
              <w:rPr>
                <w:sz w:val="20"/>
                <w:szCs w:val="20"/>
              </w:rPr>
            </w:pPr>
            <w:r w:rsidRPr="00737E0A">
              <w:rPr>
                <w:sz w:val="20"/>
                <w:szCs w:val="20"/>
              </w:rPr>
              <w:t>-0.636</w:t>
            </w:r>
          </w:p>
        </w:tc>
        <w:tc>
          <w:tcPr>
            <w:tcW w:w="1440" w:type="dxa"/>
            <w:tcBorders>
              <w:top w:val="nil"/>
              <w:left w:val="nil"/>
              <w:bottom w:val="nil"/>
              <w:right w:val="nil"/>
            </w:tcBorders>
          </w:tcPr>
          <w:p w14:paraId="37B521D7" w14:textId="2504D9DB" w:rsidR="00737E0A" w:rsidRPr="00737E0A" w:rsidRDefault="00737E0A" w:rsidP="00737E0A">
            <w:pPr>
              <w:widowControl w:val="0"/>
              <w:autoSpaceDE w:val="0"/>
              <w:autoSpaceDN w:val="0"/>
              <w:adjustRightInd w:val="0"/>
              <w:jc w:val="center"/>
              <w:rPr>
                <w:sz w:val="20"/>
                <w:szCs w:val="20"/>
              </w:rPr>
            </w:pPr>
            <w:r w:rsidRPr="00737E0A">
              <w:rPr>
                <w:sz w:val="20"/>
                <w:szCs w:val="20"/>
              </w:rPr>
              <w:t>-1.453</w:t>
            </w:r>
          </w:p>
        </w:tc>
        <w:tc>
          <w:tcPr>
            <w:tcW w:w="1440" w:type="dxa"/>
            <w:tcBorders>
              <w:top w:val="nil"/>
              <w:left w:val="nil"/>
              <w:bottom w:val="nil"/>
              <w:right w:val="nil"/>
            </w:tcBorders>
          </w:tcPr>
          <w:p w14:paraId="3AE016BD" w14:textId="46266593" w:rsidR="00737E0A" w:rsidRPr="00737E0A" w:rsidRDefault="00737E0A" w:rsidP="00737E0A">
            <w:pPr>
              <w:widowControl w:val="0"/>
              <w:autoSpaceDE w:val="0"/>
              <w:autoSpaceDN w:val="0"/>
              <w:adjustRightInd w:val="0"/>
              <w:jc w:val="center"/>
              <w:rPr>
                <w:sz w:val="20"/>
                <w:szCs w:val="20"/>
              </w:rPr>
            </w:pPr>
            <w:r w:rsidRPr="00737E0A">
              <w:rPr>
                <w:sz w:val="20"/>
                <w:szCs w:val="20"/>
              </w:rPr>
              <w:t>-1.167</w:t>
            </w:r>
          </w:p>
        </w:tc>
        <w:tc>
          <w:tcPr>
            <w:tcW w:w="1440" w:type="dxa"/>
            <w:tcBorders>
              <w:top w:val="nil"/>
              <w:left w:val="nil"/>
              <w:bottom w:val="nil"/>
              <w:right w:val="nil"/>
            </w:tcBorders>
          </w:tcPr>
          <w:p w14:paraId="41D51E23" w14:textId="4A138906" w:rsidR="00737E0A" w:rsidRPr="00737E0A" w:rsidRDefault="00737E0A" w:rsidP="00737E0A">
            <w:pPr>
              <w:widowControl w:val="0"/>
              <w:autoSpaceDE w:val="0"/>
              <w:autoSpaceDN w:val="0"/>
              <w:adjustRightInd w:val="0"/>
              <w:jc w:val="center"/>
              <w:rPr>
                <w:sz w:val="20"/>
                <w:szCs w:val="20"/>
              </w:rPr>
            </w:pPr>
            <w:r w:rsidRPr="00737E0A">
              <w:rPr>
                <w:sz w:val="20"/>
                <w:szCs w:val="20"/>
              </w:rPr>
              <w:t>0.306</w:t>
            </w:r>
          </w:p>
        </w:tc>
        <w:tc>
          <w:tcPr>
            <w:tcW w:w="1440" w:type="dxa"/>
            <w:tcBorders>
              <w:top w:val="nil"/>
              <w:left w:val="nil"/>
              <w:bottom w:val="nil"/>
              <w:right w:val="nil"/>
            </w:tcBorders>
          </w:tcPr>
          <w:p w14:paraId="27F1F783"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0.142</w:t>
            </w:r>
          </w:p>
        </w:tc>
        <w:tc>
          <w:tcPr>
            <w:tcW w:w="1440" w:type="dxa"/>
            <w:tcBorders>
              <w:top w:val="nil"/>
              <w:left w:val="nil"/>
              <w:bottom w:val="nil"/>
              <w:right w:val="nil"/>
            </w:tcBorders>
          </w:tcPr>
          <w:p w14:paraId="08B12B6B" w14:textId="6A7C961A" w:rsidR="00737E0A" w:rsidRPr="00737E0A" w:rsidRDefault="00737E0A" w:rsidP="00737E0A">
            <w:pPr>
              <w:widowControl w:val="0"/>
              <w:autoSpaceDE w:val="0"/>
              <w:autoSpaceDN w:val="0"/>
              <w:adjustRightInd w:val="0"/>
              <w:jc w:val="center"/>
              <w:rPr>
                <w:sz w:val="20"/>
                <w:szCs w:val="20"/>
              </w:rPr>
            </w:pPr>
            <w:r w:rsidRPr="00737E0A">
              <w:rPr>
                <w:sz w:val="20"/>
                <w:szCs w:val="20"/>
              </w:rPr>
              <w:t>-0.148</w:t>
            </w:r>
          </w:p>
        </w:tc>
        <w:tc>
          <w:tcPr>
            <w:tcW w:w="1440" w:type="dxa"/>
            <w:tcBorders>
              <w:top w:val="nil"/>
              <w:left w:val="nil"/>
              <w:bottom w:val="nil"/>
              <w:right w:val="nil"/>
            </w:tcBorders>
          </w:tcPr>
          <w:p w14:paraId="0FDB5EA6" w14:textId="48974500" w:rsidR="00737E0A" w:rsidRPr="00737E0A" w:rsidRDefault="00737E0A" w:rsidP="00737E0A">
            <w:pPr>
              <w:widowControl w:val="0"/>
              <w:autoSpaceDE w:val="0"/>
              <w:autoSpaceDN w:val="0"/>
              <w:adjustRightInd w:val="0"/>
              <w:jc w:val="center"/>
              <w:rPr>
                <w:sz w:val="20"/>
                <w:szCs w:val="20"/>
              </w:rPr>
            </w:pPr>
            <w:r w:rsidRPr="00737E0A">
              <w:rPr>
                <w:sz w:val="20"/>
                <w:szCs w:val="20"/>
              </w:rPr>
              <w:t>-7.506</w:t>
            </w:r>
          </w:p>
        </w:tc>
      </w:tr>
      <w:tr w:rsidR="00737E0A" w:rsidRPr="00737E0A" w14:paraId="6752A06C" w14:textId="77777777" w:rsidTr="00D0262E">
        <w:trPr>
          <w:jc w:val="center"/>
        </w:trPr>
        <w:tc>
          <w:tcPr>
            <w:tcW w:w="4803" w:type="dxa"/>
            <w:tcBorders>
              <w:top w:val="nil"/>
              <w:left w:val="nil"/>
              <w:bottom w:val="nil"/>
              <w:right w:val="nil"/>
            </w:tcBorders>
          </w:tcPr>
          <w:p w14:paraId="14012DF2" w14:textId="77777777" w:rsidR="00737E0A" w:rsidRPr="00737E0A" w:rsidRDefault="00737E0A" w:rsidP="00737E0A">
            <w:pPr>
              <w:widowControl w:val="0"/>
              <w:autoSpaceDE w:val="0"/>
              <w:autoSpaceDN w:val="0"/>
              <w:adjustRightInd w:val="0"/>
              <w:rPr>
                <w:sz w:val="20"/>
                <w:szCs w:val="20"/>
              </w:rPr>
            </w:pPr>
          </w:p>
        </w:tc>
        <w:tc>
          <w:tcPr>
            <w:tcW w:w="1440" w:type="dxa"/>
            <w:tcBorders>
              <w:top w:val="nil"/>
              <w:left w:val="nil"/>
              <w:bottom w:val="nil"/>
              <w:right w:val="nil"/>
            </w:tcBorders>
          </w:tcPr>
          <w:p w14:paraId="0C4C5557"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(0.021)</w:t>
            </w:r>
          </w:p>
        </w:tc>
        <w:tc>
          <w:tcPr>
            <w:tcW w:w="1440" w:type="dxa"/>
            <w:tcBorders>
              <w:top w:val="nil"/>
              <w:left w:val="nil"/>
              <w:bottom w:val="nil"/>
              <w:right w:val="nil"/>
            </w:tcBorders>
          </w:tcPr>
          <w:p w14:paraId="67729576"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(0.098)</w:t>
            </w:r>
          </w:p>
        </w:tc>
        <w:tc>
          <w:tcPr>
            <w:tcW w:w="1440" w:type="dxa"/>
            <w:tcBorders>
              <w:top w:val="nil"/>
              <w:left w:val="nil"/>
              <w:bottom w:val="nil"/>
              <w:right w:val="nil"/>
            </w:tcBorders>
          </w:tcPr>
          <w:p w14:paraId="31DCCC2D"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(0.035)</w:t>
            </w:r>
          </w:p>
        </w:tc>
        <w:tc>
          <w:tcPr>
            <w:tcW w:w="1440" w:type="dxa"/>
            <w:tcBorders>
              <w:top w:val="nil"/>
              <w:left w:val="nil"/>
              <w:bottom w:val="nil"/>
              <w:right w:val="nil"/>
            </w:tcBorders>
          </w:tcPr>
          <w:p w14:paraId="7E919AEF"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(0.016)</w:t>
            </w:r>
          </w:p>
        </w:tc>
        <w:tc>
          <w:tcPr>
            <w:tcW w:w="1440" w:type="dxa"/>
            <w:tcBorders>
              <w:top w:val="nil"/>
              <w:left w:val="nil"/>
              <w:bottom w:val="nil"/>
              <w:right w:val="nil"/>
            </w:tcBorders>
          </w:tcPr>
          <w:p w14:paraId="32F1B2B1"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(0.119)</w:t>
            </w:r>
          </w:p>
        </w:tc>
        <w:tc>
          <w:tcPr>
            <w:tcW w:w="1440" w:type="dxa"/>
            <w:tcBorders>
              <w:top w:val="nil"/>
              <w:left w:val="nil"/>
              <w:bottom w:val="nil"/>
              <w:right w:val="nil"/>
            </w:tcBorders>
          </w:tcPr>
          <w:p w14:paraId="7D61117B"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(0.045)</w:t>
            </w:r>
          </w:p>
        </w:tc>
        <w:tc>
          <w:tcPr>
            <w:tcW w:w="1440" w:type="dxa"/>
            <w:tcBorders>
              <w:top w:val="nil"/>
              <w:left w:val="nil"/>
              <w:bottom w:val="nil"/>
              <w:right w:val="nil"/>
            </w:tcBorders>
          </w:tcPr>
          <w:p w14:paraId="0FE88C14"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(0.627)</w:t>
            </w:r>
          </w:p>
        </w:tc>
      </w:tr>
      <w:tr w:rsidR="00737E0A" w:rsidRPr="00737E0A" w14:paraId="3A1A2F04" w14:textId="77777777" w:rsidTr="00D0262E">
        <w:trPr>
          <w:jc w:val="center"/>
        </w:trPr>
        <w:tc>
          <w:tcPr>
            <w:tcW w:w="4803" w:type="dxa"/>
            <w:tcBorders>
              <w:top w:val="nil"/>
              <w:left w:val="nil"/>
              <w:bottom w:val="nil"/>
              <w:right w:val="nil"/>
            </w:tcBorders>
          </w:tcPr>
          <w:p w14:paraId="67E1422C" w14:textId="1039ACA2" w:rsidR="00737E0A" w:rsidRPr="00737E0A" w:rsidRDefault="00737E0A" w:rsidP="00737E0A">
            <w:pPr>
              <w:widowControl w:val="0"/>
              <w:autoSpaceDE w:val="0"/>
              <w:autoSpaceDN w:val="0"/>
              <w:adjustRightInd w:val="0"/>
              <w:rPr>
                <w:sz w:val="20"/>
                <w:szCs w:val="20"/>
              </w:rPr>
            </w:pPr>
            <w:r w:rsidRPr="000A4511">
              <w:rPr>
                <w:color w:val="000000"/>
                <w:kern w:val="24"/>
                <w:sz w:val="20"/>
                <w:szCs w:val="20"/>
                <w:lang w:eastAsia="en-GB"/>
              </w:rPr>
              <w:t>Foreign-born population</w:t>
            </w:r>
          </w:p>
        </w:tc>
        <w:tc>
          <w:tcPr>
            <w:tcW w:w="1440" w:type="dxa"/>
            <w:tcBorders>
              <w:top w:val="nil"/>
              <w:left w:val="nil"/>
              <w:bottom w:val="nil"/>
              <w:right w:val="nil"/>
            </w:tcBorders>
          </w:tcPr>
          <w:p w14:paraId="47B48440" w14:textId="6E3EFDDE" w:rsidR="00737E0A" w:rsidRPr="00737E0A" w:rsidRDefault="00737E0A" w:rsidP="00737E0A">
            <w:pPr>
              <w:widowControl w:val="0"/>
              <w:autoSpaceDE w:val="0"/>
              <w:autoSpaceDN w:val="0"/>
              <w:adjustRightInd w:val="0"/>
              <w:jc w:val="center"/>
              <w:rPr>
                <w:sz w:val="20"/>
                <w:szCs w:val="20"/>
              </w:rPr>
            </w:pPr>
            <w:r w:rsidRPr="00737E0A">
              <w:rPr>
                <w:sz w:val="20"/>
                <w:szCs w:val="20"/>
              </w:rPr>
              <w:t>1.012</w:t>
            </w:r>
          </w:p>
        </w:tc>
        <w:tc>
          <w:tcPr>
            <w:tcW w:w="1440" w:type="dxa"/>
            <w:tcBorders>
              <w:top w:val="nil"/>
              <w:left w:val="nil"/>
              <w:bottom w:val="nil"/>
              <w:right w:val="nil"/>
            </w:tcBorders>
          </w:tcPr>
          <w:p w14:paraId="73426529" w14:textId="019E2AEF" w:rsidR="00737E0A" w:rsidRPr="00737E0A" w:rsidRDefault="00737E0A" w:rsidP="00737E0A">
            <w:pPr>
              <w:widowControl w:val="0"/>
              <w:autoSpaceDE w:val="0"/>
              <w:autoSpaceDN w:val="0"/>
              <w:adjustRightInd w:val="0"/>
              <w:jc w:val="center"/>
              <w:rPr>
                <w:sz w:val="20"/>
                <w:szCs w:val="20"/>
              </w:rPr>
            </w:pPr>
            <w:r w:rsidRPr="00737E0A">
              <w:rPr>
                <w:sz w:val="20"/>
                <w:szCs w:val="20"/>
              </w:rPr>
              <w:t>-1.231</w:t>
            </w:r>
          </w:p>
        </w:tc>
        <w:tc>
          <w:tcPr>
            <w:tcW w:w="1440" w:type="dxa"/>
            <w:tcBorders>
              <w:top w:val="nil"/>
              <w:left w:val="nil"/>
              <w:bottom w:val="nil"/>
              <w:right w:val="nil"/>
            </w:tcBorders>
          </w:tcPr>
          <w:p w14:paraId="552FD4E6" w14:textId="2BE1BAEA" w:rsidR="00737E0A" w:rsidRPr="00737E0A" w:rsidRDefault="00737E0A" w:rsidP="00737E0A">
            <w:pPr>
              <w:widowControl w:val="0"/>
              <w:autoSpaceDE w:val="0"/>
              <w:autoSpaceDN w:val="0"/>
              <w:adjustRightInd w:val="0"/>
              <w:jc w:val="center"/>
              <w:rPr>
                <w:sz w:val="20"/>
                <w:szCs w:val="20"/>
              </w:rPr>
            </w:pPr>
            <w:r w:rsidRPr="00737E0A">
              <w:rPr>
                <w:sz w:val="20"/>
                <w:szCs w:val="20"/>
              </w:rPr>
              <w:t>1.551</w:t>
            </w:r>
          </w:p>
        </w:tc>
        <w:tc>
          <w:tcPr>
            <w:tcW w:w="1440" w:type="dxa"/>
            <w:tcBorders>
              <w:top w:val="nil"/>
              <w:left w:val="nil"/>
              <w:bottom w:val="nil"/>
              <w:right w:val="nil"/>
            </w:tcBorders>
          </w:tcPr>
          <w:p w14:paraId="270750E6" w14:textId="0DCC5D4E" w:rsidR="00737E0A" w:rsidRPr="00737E0A" w:rsidRDefault="00737E0A" w:rsidP="00737E0A">
            <w:pPr>
              <w:widowControl w:val="0"/>
              <w:autoSpaceDE w:val="0"/>
              <w:autoSpaceDN w:val="0"/>
              <w:adjustRightInd w:val="0"/>
              <w:jc w:val="center"/>
              <w:rPr>
                <w:sz w:val="20"/>
                <w:szCs w:val="20"/>
              </w:rPr>
            </w:pPr>
            <w:r w:rsidRPr="00737E0A">
              <w:rPr>
                <w:sz w:val="20"/>
                <w:szCs w:val="20"/>
              </w:rPr>
              <w:t>0.818</w:t>
            </w:r>
          </w:p>
        </w:tc>
        <w:tc>
          <w:tcPr>
            <w:tcW w:w="1440" w:type="dxa"/>
            <w:tcBorders>
              <w:top w:val="nil"/>
              <w:left w:val="nil"/>
              <w:bottom w:val="nil"/>
              <w:right w:val="nil"/>
            </w:tcBorders>
          </w:tcPr>
          <w:p w14:paraId="5EB75D1F"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0.037</w:t>
            </w:r>
          </w:p>
        </w:tc>
        <w:tc>
          <w:tcPr>
            <w:tcW w:w="1440" w:type="dxa"/>
            <w:tcBorders>
              <w:top w:val="nil"/>
              <w:left w:val="nil"/>
              <w:bottom w:val="nil"/>
              <w:right w:val="nil"/>
            </w:tcBorders>
          </w:tcPr>
          <w:p w14:paraId="3B7C58BC" w14:textId="74244473" w:rsidR="00737E0A" w:rsidRPr="00737E0A" w:rsidRDefault="00737E0A" w:rsidP="00737E0A">
            <w:pPr>
              <w:widowControl w:val="0"/>
              <w:autoSpaceDE w:val="0"/>
              <w:autoSpaceDN w:val="0"/>
              <w:adjustRightInd w:val="0"/>
              <w:jc w:val="center"/>
              <w:rPr>
                <w:sz w:val="20"/>
                <w:szCs w:val="20"/>
              </w:rPr>
            </w:pPr>
            <w:r w:rsidRPr="00737E0A">
              <w:rPr>
                <w:sz w:val="20"/>
                <w:szCs w:val="20"/>
              </w:rPr>
              <w:t>-5.072</w:t>
            </w:r>
          </w:p>
        </w:tc>
        <w:tc>
          <w:tcPr>
            <w:tcW w:w="1440" w:type="dxa"/>
            <w:tcBorders>
              <w:top w:val="nil"/>
              <w:left w:val="nil"/>
              <w:bottom w:val="nil"/>
              <w:right w:val="nil"/>
            </w:tcBorders>
          </w:tcPr>
          <w:p w14:paraId="2C650269"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-1.479</w:t>
            </w:r>
          </w:p>
        </w:tc>
      </w:tr>
      <w:tr w:rsidR="00737E0A" w:rsidRPr="00737E0A" w14:paraId="1381918C" w14:textId="77777777" w:rsidTr="00D0262E">
        <w:trPr>
          <w:jc w:val="center"/>
        </w:trPr>
        <w:tc>
          <w:tcPr>
            <w:tcW w:w="4803" w:type="dxa"/>
            <w:tcBorders>
              <w:top w:val="nil"/>
              <w:left w:val="nil"/>
              <w:bottom w:val="nil"/>
              <w:right w:val="nil"/>
            </w:tcBorders>
          </w:tcPr>
          <w:p w14:paraId="198A8120" w14:textId="77777777" w:rsidR="00737E0A" w:rsidRPr="00737E0A" w:rsidRDefault="00737E0A" w:rsidP="00737E0A">
            <w:pPr>
              <w:widowControl w:val="0"/>
              <w:autoSpaceDE w:val="0"/>
              <w:autoSpaceDN w:val="0"/>
              <w:adjustRightInd w:val="0"/>
              <w:rPr>
                <w:sz w:val="20"/>
                <w:szCs w:val="20"/>
              </w:rPr>
            </w:pPr>
          </w:p>
        </w:tc>
        <w:tc>
          <w:tcPr>
            <w:tcW w:w="1440" w:type="dxa"/>
            <w:tcBorders>
              <w:top w:val="nil"/>
              <w:left w:val="nil"/>
              <w:bottom w:val="nil"/>
              <w:right w:val="nil"/>
            </w:tcBorders>
          </w:tcPr>
          <w:p w14:paraId="718865D7"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(0.026)</w:t>
            </w:r>
          </w:p>
        </w:tc>
        <w:tc>
          <w:tcPr>
            <w:tcW w:w="1440" w:type="dxa"/>
            <w:tcBorders>
              <w:top w:val="nil"/>
              <w:left w:val="nil"/>
              <w:bottom w:val="nil"/>
              <w:right w:val="nil"/>
            </w:tcBorders>
          </w:tcPr>
          <w:p w14:paraId="18B7D24F"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(0.261)</w:t>
            </w:r>
          </w:p>
        </w:tc>
        <w:tc>
          <w:tcPr>
            <w:tcW w:w="1440" w:type="dxa"/>
            <w:tcBorders>
              <w:top w:val="nil"/>
              <w:left w:val="nil"/>
              <w:bottom w:val="nil"/>
              <w:right w:val="nil"/>
            </w:tcBorders>
          </w:tcPr>
          <w:p w14:paraId="5F0BD513"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(0.059)</w:t>
            </w:r>
          </w:p>
        </w:tc>
        <w:tc>
          <w:tcPr>
            <w:tcW w:w="1440" w:type="dxa"/>
            <w:tcBorders>
              <w:top w:val="nil"/>
              <w:left w:val="nil"/>
              <w:bottom w:val="nil"/>
              <w:right w:val="nil"/>
            </w:tcBorders>
          </w:tcPr>
          <w:p w14:paraId="63FA1277"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(0.016)</w:t>
            </w:r>
          </w:p>
        </w:tc>
        <w:tc>
          <w:tcPr>
            <w:tcW w:w="1440" w:type="dxa"/>
            <w:tcBorders>
              <w:top w:val="nil"/>
              <w:left w:val="nil"/>
              <w:bottom w:val="nil"/>
              <w:right w:val="nil"/>
            </w:tcBorders>
          </w:tcPr>
          <w:p w14:paraId="0BA353E6"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(0.968)</w:t>
            </w:r>
          </w:p>
        </w:tc>
        <w:tc>
          <w:tcPr>
            <w:tcW w:w="1440" w:type="dxa"/>
            <w:tcBorders>
              <w:top w:val="nil"/>
              <w:left w:val="nil"/>
              <w:bottom w:val="nil"/>
              <w:right w:val="nil"/>
            </w:tcBorders>
          </w:tcPr>
          <w:p w14:paraId="13D64AEA"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(0.255)</w:t>
            </w:r>
          </w:p>
        </w:tc>
        <w:tc>
          <w:tcPr>
            <w:tcW w:w="1440" w:type="dxa"/>
            <w:tcBorders>
              <w:top w:val="nil"/>
              <w:left w:val="nil"/>
              <w:bottom w:val="nil"/>
              <w:right w:val="nil"/>
            </w:tcBorders>
          </w:tcPr>
          <w:p w14:paraId="1F04BADE"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(1.044)</w:t>
            </w:r>
          </w:p>
        </w:tc>
      </w:tr>
      <w:tr w:rsidR="00737E0A" w:rsidRPr="00737E0A" w14:paraId="23C1D95E" w14:textId="77777777" w:rsidTr="00D0262E">
        <w:trPr>
          <w:jc w:val="center"/>
        </w:trPr>
        <w:tc>
          <w:tcPr>
            <w:tcW w:w="4803" w:type="dxa"/>
            <w:tcBorders>
              <w:top w:val="nil"/>
              <w:left w:val="nil"/>
              <w:bottom w:val="nil"/>
              <w:right w:val="nil"/>
            </w:tcBorders>
          </w:tcPr>
          <w:p w14:paraId="6CB9527E" w14:textId="0FA08D8F" w:rsidR="00737E0A" w:rsidRPr="00737E0A" w:rsidRDefault="00D6052A" w:rsidP="00737E0A">
            <w:pPr>
              <w:widowControl w:val="0"/>
              <w:autoSpaceDE w:val="0"/>
              <w:autoSpaceDN w:val="0"/>
              <w:adjustRightInd w:val="0"/>
              <w:rPr>
                <w:sz w:val="20"/>
                <w:szCs w:val="20"/>
              </w:rPr>
            </w:pPr>
            <w:r>
              <w:rPr>
                <w:sz w:val="20"/>
                <w:szCs w:val="20"/>
              </w:rPr>
              <w:t>Population</w:t>
            </w:r>
          </w:p>
        </w:tc>
        <w:tc>
          <w:tcPr>
            <w:tcW w:w="1440" w:type="dxa"/>
            <w:tcBorders>
              <w:top w:val="nil"/>
              <w:left w:val="nil"/>
              <w:bottom w:val="nil"/>
              <w:right w:val="nil"/>
            </w:tcBorders>
          </w:tcPr>
          <w:p w14:paraId="1C9E932D" w14:textId="2E62E06F" w:rsidR="00737E0A" w:rsidRPr="00737E0A" w:rsidRDefault="00737E0A" w:rsidP="00737E0A">
            <w:pPr>
              <w:widowControl w:val="0"/>
              <w:autoSpaceDE w:val="0"/>
              <w:autoSpaceDN w:val="0"/>
              <w:adjustRightInd w:val="0"/>
              <w:jc w:val="center"/>
              <w:rPr>
                <w:sz w:val="20"/>
                <w:szCs w:val="20"/>
              </w:rPr>
            </w:pPr>
            <w:r w:rsidRPr="00737E0A">
              <w:rPr>
                <w:sz w:val="20"/>
                <w:szCs w:val="20"/>
              </w:rPr>
              <w:t>0.182</w:t>
            </w:r>
          </w:p>
        </w:tc>
        <w:tc>
          <w:tcPr>
            <w:tcW w:w="1440" w:type="dxa"/>
            <w:tcBorders>
              <w:top w:val="nil"/>
              <w:left w:val="nil"/>
              <w:bottom w:val="nil"/>
              <w:right w:val="nil"/>
            </w:tcBorders>
          </w:tcPr>
          <w:p w14:paraId="0A80F24D" w14:textId="2248CCBB" w:rsidR="00737E0A" w:rsidRPr="00737E0A" w:rsidRDefault="00737E0A" w:rsidP="00737E0A">
            <w:pPr>
              <w:widowControl w:val="0"/>
              <w:autoSpaceDE w:val="0"/>
              <w:autoSpaceDN w:val="0"/>
              <w:adjustRightInd w:val="0"/>
              <w:jc w:val="center"/>
              <w:rPr>
                <w:sz w:val="20"/>
                <w:szCs w:val="20"/>
              </w:rPr>
            </w:pPr>
            <w:r w:rsidRPr="00737E0A">
              <w:rPr>
                <w:sz w:val="20"/>
                <w:szCs w:val="20"/>
              </w:rPr>
              <w:t>0.694</w:t>
            </w:r>
          </w:p>
        </w:tc>
        <w:tc>
          <w:tcPr>
            <w:tcW w:w="1440" w:type="dxa"/>
            <w:tcBorders>
              <w:top w:val="nil"/>
              <w:left w:val="nil"/>
              <w:bottom w:val="nil"/>
              <w:right w:val="nil"/>
            </w:tcBorders>
          </w:tcPr>
          <w:p w14:paraId="0FDC3C5B" w14:textId="5DE2E392" w:rsidR="00737E0A" w:rsidRPr="00737E0A" w:rsidRDefault="00737E0A" w:rsidP="00737E0A">
            <w:pPr>
              <w:widowControl w:val="0"/>
              <w:autoSpaceDE w:val="0"/>
              <w:autoSpaceDN w:val="0"/>
              <w:adjustRightInd w:val="0"/>
              <w:jc w:val="center"/>
              <w:rPr>
                <w:sz w:val="20"/>
                <w:szCs w:val="20"/>
              </w:rPr>
            </w:pPr>
            <w:r w:rsidRPr="00737E0A">
              <w:rPr>
                <w:sz w:val="20"/>
                <w:szCs w:val="20"/>
              </w:rPr>
              <w:t>2.021</w:t>
            </w:r>
          </w:p>
        </w:tc>
        <w:tc>
          <w:tcPr>
            <w:tcW w:w="1440" w:type="dxa"/>
            <w:tcBorders>
              <w:top w:val="nil"/>
              <w:left w:val="nil"/>
              <w:bottom w:val="nil"/>
              <w:right w:val="nil"/>
            </w:tcBorders>
          </w:tcPr>
          <w:p w14:paraId="0F04345F" w14:textId="6441365F" w:rsidR="00737E0A" w:rsidRPr="00737E0A" w:rsidRDefault="00737E0A" w:rsidP="00737E0A">
            <w:pPr>
              <w:widowControl w:val="0"/>
              <w:autoSpaceDE w:val="0"/>
              <w:autoSpaceDN w:val="0"/>
              <w:adjustRightInd w:val="0"/>
              <w:jc w:val="center"/>
              <w:rPr>
                <w:sz w:val="20"/>
                <w:szCs w:val="20"/>
              </w:rPr>
            </w:pPr>
            <w:r w:rsidRPr="00737E0A">
              <w:rPr>
                <w:sz w:val="20"/>
                <w:szCs w:val="20"/>
              </w:rPr>
              <w:t>1.968</w:t>
            </w:r>
          </w:p>
        </w:tc>
        <w:tc>
          <w:tcPr>
            <w:tcW w:w="1440" w:type="dxa"/>
            <w:tcBorders>
              <w:top w:val="nil"/>
              <w:left w:val="nil"/>
              <w:bottom w:val="nil"/>
              <w:right w:val="nil"/>
            </w:tcBorders>
          </w:tcPr>
          <w:p w14:paraId="2F59D4AA" w14:textId="34CFCEA7" w:rsidR="00737E0A" w:rsidRPr="00737E0A" w:rsidRDefault="00737E0A" w:rsidP="00737E0A">
            <w:pPr>
              <w:widowControl w:val="0"/>
              <w:autoSpaceDE w:val="0"/>
              <w:autoSpaceDN w:val="0"/>
              <w:adjustRightInd w:val="0"/>
              <w:jc w:val="center"/>
              <w:rPr>
                <w:sz w:val="20"/>
                <w:szCs w:val="20"/>
              </w:rPr>
            </w:pPr>
            <w:r w:rsidRPr="00737E0A">
              <w:rPr>
                <w:sz w:val="20"/>
                <w:szCs w:val="20"/>
              </w:rPr>
              <w:t>1.116</w:t>
            </w:r>
          </w:p>
        </w:tc>
        <w:tc>
          <w:tcPr>
            <w:tcW w:w="1440" w:type="dxa"/>
            <w:tcBorders>
              <w:top w:val="nil"/>
              <w:left w:val="nil"/>
              <w:bottom w:val="nil"/>
              <w:right w:val="nil"/>
            </w:tcBorders>
          </w:tcPr>
          <w:p w14:paraId="2440416C" w14:textId="2337A4FA" w:rsidR="00737E0A" w:rsidRPr="00737E0A" w:rsidRDefault="00737E0A" w:rsidP="00737E0A">
            <w:pPr>
              <w:widowControl w:val="0"/>
              <w:autoSpaceDE w:val="0"/>
              <w:autoSpaceDN w:val="0"/>
              <w:adjustRightInd w:val="0"/>
              <w:jc w:val="center"/>
              <w:rPr>
                <w:sz w:val="20"/>
                <w:szCs w:val="20"/>
              </w:rPr>
            </w:pPr>
            <w:r w:rsidRPr="00737E0A">
              <w:rPr>
                <w:sz w:val="20"/>
                <w:szCs w:val="20"/>
              </w:rPr>
              <w:t>0.677</w:t>
            </w:r>
          </w:p>
        </w:tc>
        <w:tc>
          <w:tcPr>
            <w:tcW w:w="1440" w:type="dxa"/>
            <w:tcBorders>
              <w:top w:val="nil"/>
              <w:left w:val="nil"/>
              <w:bottom w:val="nil"/>
              <w:right w:val="nil"/>
            </w:tcBorders>
          </w:tcPr>
          <w:p w14:paraId="501A8089" w14:textId="28C0C92A" w:rsidR="00737E0A" w:rsidRPr="00737E0A" w:rsidRDefault="00737E0A" w:rsidP="00737E0A">
            <w:pPr>
              <w:widowControl w:val="0"/>
              <w:autoSpaceDE w:val="0"/>
              <w:autoSpaceDN w:val="0"/>
              <w:adjustRightInd w:val="0"/>
              <w:jc w:val="center"/>
              <w:rPr>
                <w:sz w:val="20"/>
                <w:szCs w:val="20"/>
              </w:rPr>
            </w:pPr>
            <w:r w:rsidRPr="00737E0A">
              <w:rPr>
                <w:sz w:val="20"/>
                <w:szCs w:val="20"/>
              </w:rPr>
              <w:t>0.808</w:t>
            </w:r>
          </w:p>
        </w:tc>
      </w:tr>
      <w:tr w:rsidR="00737E0A" w:rsidRPr="00737E0A" w14:paraId="7C00418D" w14:textId="77777777" w:rsidTr="00D0262E">
        <w:trPr>
          <w:jc w:val="center"/>
        </w:trPr>
        <w:tc>
          <w:tcPr>
            <w:tcW w:w="4803" w:type="dxa"/>
            <w:tcBorders>
              <w:top w:val="nil"/>
              <w:left w:val="nil"/>
              <w:bottom w:val="nil"/>
              <w:right w:val="nil"/>
            </w:tcBorders>
          </w:tcPr>
          <w:p w14:paraId="5EBCBD91" w14:textId="77777777" w:rsidR="00737E0A" w:rsidRPr="00737E0A" w:rsidRDefault="00737E0A" w:rsidP="00737E0A">
            <w:pPr>
              <w:widowControl w:val="0"/>
              <w:autoSpaceDE w:val="0"/>
              <w:autoSpaceDN w:val="0"/>
              <w:adjustRightInd w:val="0"/>
              <w:rPr>
                <w:sz w:val="20"/>
                <w:szCs w:val="20"/>
              </w:rPr>
            </w:pPr>
          </w:p>
        </w:tc>
        <w:tc>
          <w:tcPr>
            <w:tcW w:w="1440" w:type="dxa"/>
            <w:tcBorders>
              <w:top w:val="nil"/>
              <w:left w:val="nil"/>
              <w:bottom w:val="nil"/>
              <w:right w:val="nil"/>
            </w:tcBorders>
          </w:tcPr>
          <w:p w14:paraId="09C15C64"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(0.034)</w:t>
            </w:r>
          </w:p>
        </w:tc>
        <w:tc>
          <w:tcPr>
            <w:tcW w:w="1440" w:type="dxa"/>
            <w:tcBorders>
              <w:top w:val="nil"/>
              <w:left w:val="nil"/>
              <w:bottom w:val="nil"/>
              <w:right w:val="nil"/>
            </w:tcBorders>
          </w:tcPr>
          <w:p w14:paraId="5A020D57"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(0.044)</w:t>
            </w:r>
          </w:p>
        </w:tc>
        <w:tc>
          <w:tcPr>
            <w:tcW w:w="1440" w:type="dxa"/>
            <w:tcBorders>
              <w:top w:val="nil"/>
              <w:left w:val="nil"/>
              <w:bottom w:val="nil"/>
              <w:right w:val="nil"/>
            </w:tcBorders>
          </w:tcPr>
          <w:p w14:paraId="1BC6B878"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(0.079)</w:t>
            </w:r>
          </w:p>
        </w:tc>
        <w:tc>
          <w:tcPr>
            <w:tcW w:w="1440" w:type="dxa"/>
            <w:tcBorders>
              <w:top w:val="nil"/>
              <w:left w:val="nil"/>
              <w:bottom w:val="nil"/>
              <w:right w:val="nil"/>
            </w:tcBorders>
          </w:tcPr>
          <w:p w14:paraId="319FA2B8"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(0.030)</w:t>
            </w:r>
          </w:p>
        </w:tc>
        <w:tc>
          <w:tcPr>
            <w:tcW w:w="1440" w:type="dxa"/>
            <w:tcBorders>
              <w:top w:val="nil"/>
              <w:left w:val="nil"/>
              <w:bottom w:val="nil"/>
              <w:right w:val="nil"/>
            </w:tcBorders>
          </w:tcPr>
          <w:p w14:paraId="54323F7D"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(0.072)</w:t>
            </w:r>
          </w:p>
        </w:tc>
        <w:tc>
          <w:tcPr>
            <w:tcW w:w="1440" w:type="dxa"/>
            <w:tcBorders>
              <w:top w:val="nil"/>
              <w:left w:val="nil"/>
              <w:bottom w:val="nil"/>
              <w:right w:val="nil"/>
            </w:tcBorders>
          </w:tcPr>
          <w:p w14:paraId="26BA85AA"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(0.045)</w:t>
            </w:r>
          </w:p>
        </w:tc>
        <w:tc>
          <w:tcPr>
            <w:tcW w:w="1440" w:type="dxa"/>
            <w:tcBorders>
              <w:top w:val="nil"/>
              <w:left w:val="nil"/>
              <w:bottom w:val="nil"/>
              <w:right w:val="nil"/>
            </w:tcBorders>
          </w:tcPr>
          <w:p w14:paraId="5CA689C5"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(0.085)</w:t>
            </w:r>
          </w:p>
        </w:tc>
      </w:tr>
      <w:tr w:rsidR="00737E0A" w:rsidRPr="00737E0A" w14:paraId="0C99A735" w14:textId="77777777" w:rsidTr="00D0262E">
        <w:trPr>
          <w:jc w:val="center"/>
        </w:trPr>
        <w:tc>
          <w:tcPr>
            <w:tcW w:w="4803" w:type="dxa"/>
            <w:tcBorders>
              <w:top w:val="nil"/>
              <w:left w:val="nil"/>
              <w:bottom w:val="nil"/>
              <w:right w:val="nil"/>
            </w:tcBorders>
          </w:tcPr>
          <w:p w14:paraId="30DFA926" w14:textId="0683FCD9" w:rsidR="00737E0A" w:rsidRPr="00737E0A" w:rsidRDefault="00737E0A" w:rsidP="00737E0A">
            <w:pPr>
              <w:widowControl w:val="0"/>
              <w:autoSpaceDE w:val="0"/>
              <w:autoSpaceDN w:val="0"/>
              <w:adjustRightInd w:val="0"/>
              <w:rPr>
                <w:sz w:val="20"/>
                <w:szCs w:val="20"/>
              </w:rPr>
            </w:pPr>
            <w:r w:rsidRPr="000A4511">
              <w:rPr>
                <w:color w:val="000000"/>
                <w:kern w:val="24"/>
                <w:sz w:val="20"/>
                <w:szCs w:val="20"/>
                <w:lang w:eastAsia="en-GB"/>
              </w:rPr>
              <w:t>GDP Growth</w:t>
            </w:r>
          </w:p>
        </w:tc>
        <w:tc>
          <w:tcPr>
            <w:tcW w:w="1440" w:type="dxa"/>
            <w:tcBorders>
              <w:top w:val="nil"/>
              <w:left w:val="nil"/>
              <w:bottom w:val="nil"/>
              <w:right w:val="nil"/>
            </w:tcBorders>
          </w:tcPr>
          <w:p w14:paraId="0F68D214" w14:textId="06F20888" w:rsidR="00737E0A" w:rsidRPr="00737E0A" w:rsidRDefault="00737E0A" w:rsidP="00737E0A">
            <w:pPr>
              <w:widowControl w:val="0"/>
              <w:autoSpaceDE w:val="0"/>
              <w:autoSpaceDN w:val="0"/>
              <w:adjustRightInd w:val="0"/>
              <w:jc w:val="center"/>
              <w:rPr>
                <w:sz w:val="20"/>
                <w:szCs w:val="20"/>
              </w:rPr>
            </w:pPr>
            <w:r w:rsidRPr="00737E0A">
              <w:rPr>
                <w:sz w:val="20"/>
                <w:szCs w:val="20"/>
              </w:rPr>
              <w:t>-0.068</w:t>
            </w:r>
          </w:p>
        </w:tc>
        <w:tc>
          <w:tcPr>
            <w:tcW w:w="1440" w:type="dxa"/>
            <w:tcBorders>
              <w:top w:val="nil"/>
              <w:left w:val="nil"/>
              <w:bottom w:val="nil"/>
              <w:right w:val="nil"/>
            </w:tcBorders>
          </w:tcPr>
          <w:p w14:paraId="434FF061" w14:textId="0E3E0CB2" w:rsidR="00737E0A" w:rsidRPr="00737E0A" w:rsidRDefault="00737E0A" w:rsidP="00737E0A">
            <w:pPr>
              <w:widowControl w:val="0"/>
              <w:autoSpaceDE w:val="0"/>
              <w:autoSpaceDN w:val="0"/>
              <w:adjustRightInd w:val="0"/>
              <w:jc w:val="center"/>
              <w:rPr>
                <w:sz w:val="20"/>
                <w:szCs w:val="20"/>
              </w:rPr>
            </w:pPr>
            <w:r w:rsidRPr="00737E0A">
              <w:rPr>
                <w:sz w:val="20"/>
                <w:szCs w:val="20"/>
              </w:rPr>
              <w:t>0.044</w:t>
            </w:r>
          </w:p>
        </w:tc>
        <w:tc>
          <w:tcPr>
            <w:tcW w:w="1440" w:type="dxa"/>
            <w:tcBorders>
              <w:top w:val="nil"/>
              <w:left w:val="nil"/>
              <w:bottom w:val="nil"/>
              <w:right w:val="nil"/>
            </w:tcBorders>
          </w:tcPr>
          <w:p w14:paraId="6CC58C08" w14:textId="7D79C07B" w:rsidR="00737E0A" w:rsidRPr="00737E0A" w:rsidRDefault="00737E0A" w:rsidP="00737E0A">
            <w:pPr>
              <w:widowControl w:val="0"/>
              <w:autoSpaceDE w:val="0"/>
              <w:autoSpaceDN w:val="0"/>
              <w:adjustRightInd w:val="0"/>
              <w:jc w:val="center"/>
              <w:rPr>
                <w:sz w:val="20"/>
                <w:szCs w:val="20"/>
              </w:rPr>
            </w:pPr>
            <w:r w:rsidRPr="00737E0A">
              <w:rPr>
                <w:sz w:val="20"/>
                <w:szCs w:val="20"/>
              </w:rPr>
              <w:t>0.049</w:t>
            </w:r>
          </w:p>
        </w:tc>
        <w:tc>
          <w:tcPr>
            <w:tcW w:w="1440" w:type="dxa"/>
            <w:tcBorders>
              <w:top w:val="nil"/>
              <w:left w:val="nil"/>
              <w:bottom w:val="nil"/>
              <w:right w:val="nil"/>
            </w:tcBorders>
          </w:tcPr>
          <w:p w14:paraId="719A0417" w14:textId="42DA3B40" w:rsidR="00737E0A" w:rsidRPr="00737E0A" w:rsidRDefault="00737E0A" w:rsidP="00737E0A">
            <w:pPr>
              <w:widowControl w:val="0"/>
              <w:autoSpaceDE w:val="0"/>
              <w:autoSpaceDN w:val="0"/>
              <w:adjustRightInd w:val="0"/>
              <w:jc w:val="center"/>
              <w:rPr>
                <w:sz w:val="20"/>
                <w:szCs w:val="20"/>
              </w:rPr>
            </w:pPr>
            <w:r w:rsidRPr="00737E0A">
              <w:rPr>
                <w:sz w:val="20"/>
                <w:szCs w:val="20"/>
              </w:rPr>
              <w:t>-0.123</w:t>
            </w:r>
          </w:p>
        </w:tc>
        <w:tc>
          <w:tcPr>
            <w:tcW w:w="1440" w:type="dxa"/>
            <w:tcBorders>
              <w:top w:val="nil"/>
              <w:left w:val="nil"/>
              <w:bottom w:val="nil"/>
              <w:right w:val="nil"/>
            </w:tcBorders>
          </w:tcPr>
          <w:p w14:paraId="3C9BE9DB"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0.005</w:t>
            </w:r>
          </w:p>
        </w:tc>
        <w:tc>
          <w:tcPr>
            <w:tcW w:w="1440" w:type="dxa"/>
            <w:tcBorders>
              <w:top w:val="nil"/>
              <w:left w:val="nil"/>
              <w:bottom w:val="nil"/>
              <w:right w:val="nil"/>
            </w:tcBorders>
          </w:tcPr>
          <w:p w14:paraId="44674801" w14:textId="491FD6CC" w:rsidR="00737E0A" w:rsidRPr="00737E0A" w:rsidRDefault="00737E0A" w:rsidP="00737E0A">
            <w:pPr>
              <w:widowControl w:val="0"/>
              <w:autoSpaceDE w:val="0"/>
              <w:autoSpaceDN w:val="0"/>
              <w:adjustRightInd w:val="0"/>
              <w:jc w:val="center"/>
              <w:rPr>
                <w:sz w:val="20"/>
                <w:szCs w:val="20"/>
              </w:rPr>
            </w:pPr>
            <w:r w:rsidRPr="00737E0A">
              <w:rPr>
                <w:sz w:val="20"/>
                <w:szCs w:val="20"/>
              </w:rPr>
              <w:t>0.024</w:t>
            </w:r>
          </w:p>
        </w:tc>
        <w:tc>
          <w:tcPr>
            <w:tcW w:w="1440" w:type="dxa"/>
            <w:tcBorders>
              <w:top w:val="nil"/>
              <w:left w:val="nil"/>
              <w:bottom w:val="nil"/>
              <w:right w:val="nil"/>
            </w:tcBorders>
          </w:tcPr>
          <w:p w14:paraId="49423936"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0.005</w:t>
            </w:r>
          </w:p>
        </w:tc>
      </w:tr>
      <w:tr w:rsidR="00737E0A" w:rsidRPr="00737E0A" w14:paraId="3E05A515" w14:textId="77777777" w:rsidTr="00D0262E">
        <w:trPr>
          <w:jc w:val="center"/>
        </w:trPr>
        <w:tc>
          <w:tcPr>
            <w:tcW w:w="4803" w:type="dxa"/>
            <w:tcBorders>
              <w:top w:val="nil"/>
              <w:left w:val="nil"/>
              <w:bottom w:val="nil"/>
              <w:right w:val="nil"/>
            </w:tcBorders>
          </w:tcPr>
          <w:p w14:paraId="7DB066E1" w14:textId="77777777" w:rsidR="00737E0A" w:rsidRPr="00737E0A" w:rsidRDefault="00737E0A" w:rsidP="00737E0A">
            <w:pPr>
              <w:widowControl w:val="0"/>
              <w:autoSpaceDE w:val="0"/>
              <w:autoSpaceDN w:val="0"/>
              <w:adjustRightInd w:val="0"/>
              <w:rPr>
                <w:sz w:val="20"/>
                <w:szCs w:val="20"/>
              </w:rPr>
            </w:pPr>
          </w:p>
        </w:tc>
        <w:tc>
          <w:tcPr>
            <w:tcW w:w="1440" w:type="dxa"/>
            <w:tcBorders>
              <w:top w:val="nil"/>
              <w:left w:val="nil"/>
              <w:bottom w:val="nil"/>
              <w:right w:val="nil"/>
            </w:tcBorders>
          </w:tcPr>
          <w:p w14:paraId="7367C2A4"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(0.008)</w:t>
            </w:r>
          </w:p>
        </w:tc>
        <w:tc>
          <w:tcPr>
            <w:tcW w:w="1440" w:type="dxa"/>
            <w:tcBorders>
              <w:top w:val="nil"/>
              <w:left w:val="nil"/>
              <w:bottom w:val="nil"/>
              <w:right w:val="nil"/>
            </w:tcBorders>
          </w:tcPr>
          <w:p w14:paraId="6EA305FC"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(0.023)</w:t>
            </w:r>
          </w:p>
        </w:tc>
        <w:tc>
          <w:tcPr>
            <w:tcW w:w="1440" w:type="dxa"/>
            <w:tcBorders>
              <w:top w:val="nil"/>
              <w:left w:val="nil"/>
              <w:bottom w:val="nil"/>
              <w:right w:val="nil"/>
            </w:tcBorders>
          </w:tcPr>
          <w:p w14:paraId="7F2990D9"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(0.011)</w:t>
            </w:r>
          </w:p>
        </w:tc>
        <w:tc>
          <w:tcPr>
            <w:tcW w:w="1440" w:type="dxa"/>
            <w:tcBorders>
              <w:top w:val="nil"/>
              <w:left w:val="nil"/>
              <w:bottom w:val="nil"/>
              <w:right w:val="nil"/>
            </w:tcBorders>
          </w:tcPr>
          <w:p w14:paraId="78A6E238"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(0.009)</w:t>
            </w:r>
          </w:p>
        </w:tc>
        <w:tc>
          <w:tcPr>
            <w:tcW w:w="1440" w:type="dxa"/>
            <w:tcBorders>
              <w:top w:val="nil"/>
              <w:left w:val="nil"/>
              <w:bottom w:val="nil"/>
              <w:right w:val="nil"/>
            </w:tcBorders>
          </w:tcPr>
          <w:p w14:paraId="35417542"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(0.034)</w:t>
            </w:r>
          </w:p>
        </w:tc>
        <w:tc>
          <w:tcPr>
            <w:tcW w:w="1440" w:type="dxa"/>
            <w:tcBorders>
              <w:top w:val="nil"/>
              <w:left w:val="nil"/>
              <w:bottom w:val="nil"/>
              <w:right w:val="nil"/>
            </w:tcBorders>
          </w:tcPr>
          <w:p w14:paraId="2B3C22A5"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(0.009)</w:t>
            </w:r>
          </w:p>
        </w:tc>
        <w:tc>
          <w:tcPr>
            <w:tcW w:w="1440" w:type="dxa"/>
            <w:tcBorders>
              <w:top w:val="nil"/>
              <w:left w:val="nil"/>
              <w:bottom w:val="nil"/>
              <w:right w:val="nil"/>
            </w:tcBorders>
          </w:tcPr>
          <w:p w14:paraId="3D09DA3A"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(0.034)</w:t>
            </w:r>
          </w:p>
        </w:tc>
      </w:tr>
      <w:tr w:rsidR="00737E0A" w:rsidRPr="00737E0A" w14:paraId="3220940F" w14:textId="77777777" w:rsidTr="00D0262E">
        <w:trPr>
          <w:jc w:val="center"/>
        </w:trPr>
        <w:tc>
          <w:tcPr>
            <w:tcW w:w="4803" w:type="dxa"/>
            <w:tcBorders>
              <w:top w:val="nil"/>
              <w:left w:val="nil"/>
              <w:bottom w:val="nil"/>
              <w:right w:val="nil"/>
            </w:tcBorders>
          </w:tcPr>
          <w:p w14:paraId="43EEC595" w14:textId="2990C851" w:rsidR="00737E0A" w:rsidRPr="00737E0A" w:rsidRDefault="00737E0A" w:rsidP="00737E0A">
            <w:pPr>
              <w:widowControl w:val="0"/>
              <w:autoSpaceDE w:val="0"/>
              <w:autoSpaceDN w:val="0"/>
              <w:adjustRightInd w:val="0"/>
              <w:rPr>
                <w:sz w:val="20"/>
                <w:szCs w:val="20"/>
              </w:rPr>
            </w:pPr>
            <w:r w:rsidRPr="000A4511">
              <w:rPr>
                <w:color w:val="000000"/>
                <w:kern w:val="24"/>
                <w:sz w:val="20"/>
                <w:szCs w:val="20"/>
                <w:lang w:eastAsia="en-GB"/>
              </w:rPr>
              <w:t>GDP per capita</w:t>
            </w:r>
          </w:p>
        </w:tc>
        <w:tc>
          <w:tcPr>
            <w:tcW w:w="1440" w:type="dxa"/>
            <w:tcBorders>
              <w:top w:val="nil"/>
              <w:left w:val="nil"/>
              <w:bottom w:val="nil"/>
              <w:right w:val="nil"/>
            </w:tcBorders>
          </w:tcPr>
          <w:p w14:paraId="3A1EC38A" w14:textId="65803410" w:rsidR="00737E0A" w:rsidRPr="00737E0A" w:rsidRDefault="00737E0A" w:rsidP="00737E0A">
            <w:pPr>
              <w:widowControl w:val="0"/>
              <w:autoSpaceDE w:val="0"/>
              <w:autoSpaceDN w:val="0"/>
              <w:adjustRightInd w:val="0"/>
              <w:jc w:val="center"/>
              <w:rPr>
                <w:sz w:val="20"/>
                <w:szCs w:val="20"/>
              </w:rPr>
            </w:pPr>
            <w:r w:rsidRPr="00737E0A">
              <w:rPr>
                <w:sz w:val="20"/>
                <w:szCs w:val="20"/>
              </w:rPr>
              <w:t>-0.023</w:t>
            </w:r>
          </w:p>
        </w:tc>
        <w:tc>
          <w:tcPr>
            <w:tcW w:w="1440" w:type="dxa"/>
            <w:tcBorders>
              <w:top w:val="nil"/>
              <w:left w:val="nil"/>
              <w:bottom w:val="nil"/>
              <w:right w:val="nil"/>
            </w:tcBorders>
          </w:tcPr>
          <w:p w14:paraId="494059E0" w14:textId="025A2F7F" w:rsidR="00737E0A" w:rsidRPr="00737E0A" w:rsidRDefault="00737E0A" w:rsidP="00737E0A">
            <w:pPr>
              <w:widowControl w:val="0"/>
              <w:autoSpaceDE w:val="0"/>
              <w:autoSpaceDN w:val="0"/>
              <w:adjustRightInd w:val="0"/>
              <w:jc w:val="center"/>
              <w:rPr>
                <w:sz w:val="20"/>
                <w:szCs w:val="20"/>
              </w:rPr>
            </w:pPr>
            <w:r w:rsidRPr="00737E0A">
              <w:rPr>
                <w:sz w:val="20"/>
                <w:szCs w:val="20"/>
              </w:rPr>
              <w:t>-0.018</w:t>
            </w:r>
          </w:p>
        </w:tc>
        <w:tc>
          <w:tcPr>
            <w:tcW w:w="1440" w:type="dxa"/>
            <w:tcBorders>
              <w:top w:val="nil"/>
              <w:left w:val="nil"/>
              <w:bottom w:val="nil"/>
              <w:right w:val="nil"/>
            </w:tcBorders>
          </w:tcPr>
          <w:p w14:paraId="44C4D0EC" w14:textId="58DCBAE8" w:rsidR="00737E0A" w:rsidRPr="00737E0A" w:rsidRDefault="00737E0A" w:rsidP="00737E0A">
            <w:pPr>
              <w:widowControl w:val="0"/>
              <w:autoSpaceDE w:val="0"/>
              <w:autoSpaceDN w:val="0"/>
              <w:adjustRightInd w:val="0"/>
              <w:jc w:val="center"/>
              <w:rPr>
                <w:sz w:val="20"/>
                <w:szCs w:val="20"/>
              </w:rPr>
            </w:pPr>
            <w:r w:rsidRPr="00737E0A">
              <w:rPr>
                <w:sz w:val="20"/>
                <w:szCs w:val="20"/>
              </w:rPr>
              <w:t>0.026</w:t>
            </w:r>
          </w:p>
        </w:tc>
        <w:tc>
          <w:tcPr>
            <w:tcW w:w="1440" w:type="dxa"/>
            <w:tcBorders>
              <w:top w:val="nil"/>
              <w:left w:val="nil"/>
              <w:bottom w:val="nil"/>
              <w:right w:val="nil"/>
            </w:tcBorders>
          </w:tcPr>
          <w:p w14:paraId="4D8FD2D0" w14:textId="26FB30B9" w:rsidR="00737E0A" w:rsidRPr="00737E0A" w:rsidRDefault="00737E0A" w:rsidP="00737E0A">
            <w:pPr>
              <w:widowControl w:val="0"/>
              <w:autoSpaceDE w:val="0"/>
              <w:autoSpaceDN w:val="0"/>
              <w:adjustRightInd w:val="0"/>
              <w:jc w:val="center"/>
              <w:rPr>
                <w:sz w:val="20"/>
                <w:szCs w:val="20"/>
              </w:rPr>
            </w:pPr>
            <w:r w:rsidRPr="00737E0A">
              <w:rPr>
                <w:sz w:val="20"/>
                <w:szCs w:val="20"/>
              </w:rPr>
              <w:t>0.040</w:t>
            </w:r>
          </w:p>
        </w:tc>
        <w:tc>
          <w:tcPr>
            <w:tcW w:w="1440" w:type="dxa"/>
            <w:tcBorders>
              <w:top w:val="nil"/>
              <w:left w:val="nil"/>
              <w:bottom w:val="nil"/>
              <w:right w:val="nil"/>
            </w:tcBorders>
          </w:tcPr>
          <w:p w14:paraId="219750AD" w14:textId="0D88FCE8" w:rsidR="00737E0A" w:rsidRPr="00737E0A" w:rsidRDefault="00737E0A" w:rsidP="00737E0A">
            <w:pPr>
              <w:widowControl w:val="0"/>
              <w:autoSpaceDE w:val="0"/>
              <w:autoSpaceDN w:val="0"/>
              <w:adjustRightInd w:val="0"/>
              <w:jc w:val="center"/>
              <w:rPr>
                <w:sz w:val="20"/>
                <w:szCs w:val="20"/>
              </w:rPr>
            </w:pPr>
            <w:r w:rsidRPr="00737E0A">
              <w:rPr>
                <w:sz w:val="20"/>
                <w:szCs w:val="20"/>
              </w:rPr>
              <w:t>-0.021</w:t>
            </w:r>
          </w:p>
        </w:tc>
        <w:tc>
          <w:tcPr>
            <w:tcW w:w="1440" w:type="dxa"/>
            <w:tcBorders>
              <w:top w:val="nil"/>
              <w:left w:val="nil"/>
              <w:bottom w:val="nil"/>
              <w:right w:val="nil"/>
            </w:tcBorders>
          </w:tcPr>
          <w:p w14:paraId="44FED1E4" w14:textId="5B5AFFA2" w:rsidR="00737E0A" w:rsidRPr="00737E0A" w:rsidRDefault="00737E0A" w:rsidP="00737E0A">
            <w:pPr>
              <w:widowControl w:val="0"/>
              <w:autoSpaceDE w:val="0"/>
              <w:autoSpaceDN w:val="0"/>
              <w:adjustRightInd w:val="0"/>
              <w:jc w:val="center"/>
              <w:rPr>
                <w:sz w:val="20"/>
                <w:szCs w:val="20"/>
              </w:rPr>
            </w:pPr>
            <w:r w:rsidRPr="00737E0A">
              <w:rPr>
                <w:sz w:val="20"/>
                <w:szCs w:val="20"/>
              </w:rPr>
              <w:t>0.005</w:t>
            </w:r>
          </w:p>
        </w:tc>
        <w:tc>
          <w:tcPr>
            <w:tcW w:w="1440" w:type="dxa"/>
            <w:tcBorders>
              <w:top w:val="nil"/>
              <w:left w:val="nil"/>
              <w:bottom w:val="nil"/>
              <w:right w:val="nil"/>
            </w:tcBorders>
          </w:tcPr>
          <w:p w14:paraId="7EC6F7E2" w14:textId="4D0DE243" w:rsidR="00737E0A" w:rsidRPr="00737E0A" w:rsidRDefault="00737E0A" w:rsidP="00737E0A">
            <w:pPr>
              <w:widowControl w:val="0"/>
              <w:autoSpaceDE w:val="0"/>
              <w:autoSpaceDN w:val="0"/>
              <w:adjustRightInd w:val="0"/>
              <w:jc w:val="center"/>
              <w:rPr>
                <w:sz w:val="20"/>
                <w:szCs w:val="20"/>
              </w:rPr>
            </w:pPr>
            <w:r w:rsidRPr="00737E0A">
              <w:rPr>
                <w:sz w:val="20"/>
                <w:szCs w:val="20"/>
              </w:rPr>
              <w:t>-0.010</w:t>
            </w:r>
          </w:p>
        </w:tc>
      </w:tr>
      <w:tr w:rsidR="00737E0A" w:rsidRPr="00737E0A" w14:paraId="1D580C54" w14:textId="77777777" w:rsidTr="00D0262E">
        <w:trPr>
          <w:jc w:val="center"/>
        </w:trPr>
        <w:tc>
          <w:tcPr>
            <w:tcW w:w="4803" w:type="dxa"/>
            <w:tcBorders>
              <w:top w:val="nil"/>
              <w:left w:val="nil"/>
              <w:bottom w:val="nil"/>
              <w:right w:val="nil"/>
            </w:tcBorders>
          </w:tcPr>
          <w:p w14:paraId="26DCE023" w14:textId="77777777" w:rsidR="00737E0A" w:rsidRPr="00737E0A" w:rsidRDefault="00737E0A" w:rsidP="00737E0A">
            <w:pPr>
              <w:widowControl w:val="0"/>
              <w:autoSpaceDE w:val="0"/>
              <w:autoSpaceDN w:val="0"/>
              <w:adjustRightInd w:val="0"/>
              <w:rPr>
                <w:sz w:val="20"/>
                <w:szCs w:val="20"/>
              </w:rPr>
            </w:pPr>
          </w:p>
        </w:tc>
        <w:tc>
          <w:tcPr>
            <w:tcW w:w="1440" w:type="dxa"/>
            <w:tcBorders>
              <w:top w:val="nil"/>
              <w:left w:val="nil"/>
              <w:bottom w:val="nil"/>
              <w:right w:val="nil"/>
            </w:tcBorders>
          </w:tcPr>
          <w:p w14:paraId="028F6CA5"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5347A5D2"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(0.006)</w:t>
            </w:r>
          </w:p>
        </w:tc>
        <w:tc>
          <w:tcPr>
            <w:tcW w:w="1440" w:type="dxa"/>
            <w:tcBorders>
              <w:top w:val="nil"/>
              <w:left w:val="nil"/>
              <w:bottom w:val="nil"/>
              <w:right w:val="nil"/>
            </w:tcBorders>
          </w:tcPr>
          <w:p w14:paraId="7EB145C0"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(0.002)</w:t>
            </w:r>
          </w:p>
        </w:tc>
        <w:tc>
          <w:tcPr>
            <w:tcW w:w="1440" w:type="dxa"/>
            <w:tcBorders>
              <w:top w:val="nil"/>
              <w:left w:val="nil"/>
              <w:bottom w:val="nil"/>
              <w:right w:val="nil"/>
            </w:tcBorders>
          </w:tcPr>
          <w:p w14:paraId="71CDCD22"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7F439140"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(0.005)</w:t>
            </w:r>
          </w:p>
        </w:tc>
        <w:tc>
          <w:tcPr>
            <w:tcW w:w="1440" w:type="dxa"/>
            <w:tcBorders>
              <w:top w:val="nil"/>
              <w:left w:val="nil"/>
              <w:bottom w:val="nil"/>
              <w:right w:val="nil"/>
            </w:tcBorders>
          </w:tcPr>
          <w:p w14:paraId="5E2846D9"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(0.002)</w:t>
            </w:r>
          </w:p>
        </w:tc>
        <w:tc>
          <w:tcPr>
            <w:tcW w:w="1440" w:type="dxa"/>
            <w:tcBorders>
              <w:top w:val="nil"/>
              <w:left w:val="nil"/>
              <w:bottom w:val="nil"/>
              <w:right w:val="nil"/>
            </w:tcBorders>
          </w:tcPr>
          <w:p w14:paraId="4A32E3C0"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(0.004)</w:t>
            </w:r>
          </w:p>
        </w:tc>
      </w:tr>
      <w:tr w:rsidR="00737E0A" w:rsidRPr="00737E0A" w14:paraId="5EDAD3B6" w14:textId="77777777" w:rsidTr="00D0262E">
        <w:trPr>
          <w:jc w:val="center"/>
        </w:trPr>
        <w:tc>
          <w:tcPr>
            <w:tcW w:w="4803" w:type="dxa"/>
            <w:tcBorders>
              <w:top w:val="nil"/>
              <w:left w:val="nil"/>
              <w:bottom w:val="nil"/>
              <w:right w:val="nil"/>
            </w:tcBorders>
          </w:tcPr>
          <w:p w14:paraId="60B82B59" w14:textId="076A6634" w:rsidR="00737E0A" w:rsidRPr="00737E0A" w:rsidRDefault="00D6052A" w:rsidP="00737E0A">
            <w:pPr>
              <w:widowControl w:val="0"/>
              <w:autoSpaceDE w:val="0"/>
              <w:autoSpaceDN w:val="0"/>
              <w:adjustRightInd w:val="0"/>
              <w:rPr>
                <w:sz w:val="20"/>
                <w:szCs w:val="20"/>
              </w:rPr>
            </w:pPr>
            <w:r>
              <w:rPr>
                <w:color w:val="000000"/>
                <w:kern w:val="24"/>
                <w:sz w:val="20"/>
                <w:szCs w:val="20"/>
                <w:lang w:eastAsia="en-GB"/>
              </w:rPr>
              <w:t>Agglomeration</w:t>
            </w:r>
          </w:p>
        </w:tc>
        <w:tc>
          <w:tcPr>
            <w:tcW w:w="1440" w:type="dxa"/>
            <w:tcBorders>
              <w:top w:val="nil"/>
              <w:left w:val="nil"/>
              <w:bottom w:val="nil"/>
              <w:right w:val="nil"/>
            </w:tcBorders>
          </w:tcPr>
          <w:p w14:paraId="1463DB2A" w14:textId="28ADFA36" w:rsidR="00737E0A" w:rsidRPr="00737E0A" w:rsidRDefault="00737E0A" w:rsidP="00737E0A">
            <w:pPr>
              <w:widowControl w:val="0"/>
              <w:autoSpaceDE w:val="0"/>
              <w:autoSpaceDN w:val="0"/>
              <w:adjustRightInd w:val="0"/>
              <w:jc w:val="center"/>
              <w:rPr>
                <w:sz w:val="20"/>
                <w:szCs w:val="20"/>
              </w:rPr>
            </w:pPr>
            <w:r w:rsidRPr="00737E0A">
              <w:rPr>
                <w:sz w:val="20"/>
                <w:szCs w:val="20"/>
              </w:rPr>
              <w:t>0.300</w:t>
            </w:r>
          </w:p>
        </w:tc>
        <w:tc>
          <w:tcPr>
            <w:tcW w:w="1440" w:type="dxa"/>
            <w:tcBorders>
              <w:top w:val="nil"/>
              <w:left w:val="nil"/>
              <w:bottom w:val="nil"/>
              <w:right w:val="nil"/>
            </w:tcBorders>
          </w:tcPr>
          <w:p w14:paraId="55DB87F7" w14:textId="3564A33D" w:rsidR="00737E0A" w:rsidRPr="00737E0A" w:rsidRDefault="00737E0A" w:rsidP="00737E0A">
            <w:pPr>
              <w:widowControl w:val="0"/>
              <w:autoSpaceDE w:val="0"/>
              <w:autoSpaceDN w:val="0"/>
              <w:adjustRightInd w:val="0"/>
              <w:jc w:val="center"/>
              <w:rPr>
                <w:sz w:val="20"/>
                <w:szCs w:val="20"/>
              </w:rPr>
            </w:pPr>
            <w:r w:rsidRPr="00737E0A">
              <w:rPr>
                <w:sz w:val="20"/>
                <w:szCs w:val="20"/>
              </w:rPr>
              <w:t>0.052</w:t>
            </w:r>
          </w:p>
        </w:tc>
        <w:tc>
          <w:tcPr>
            <w:tcW w:w="1440" w:type="dxa"/>
            <w:tcBorders>
              <w:top w:val="nil"/>
              <w:left w:val="nil"/>
              <w:bottom w:val="nil"/>
              <w:right w:val="nil"/>
            </w:tcBorders>
          </w:tcPr>
          <w:p w14:paraId="61FBE0ED" w14:textId="70D728C9" w:rsidR="00737E0A" w:rsidRPr="00737E0A" w:rsidRDefault="00737E0A" w:rsidP="00737E0A">
            <w:pPr>
              <w:widowControl w:val="0"/>
              <w:autoSpaceDE w:val="0"/>
              <w:autoSpaceDN w:val="0"/>
              <w:adjustRightInd w:val="0"/>
              <w:jc w:val="center"/>
              <w:rPr>
                <w:sz w:val="20"/>
                <w:szCs w:val="20"/>
              </w:rPr>
            </w:pPr>
            <w:r w:rsidRPr="00737E0A">
              <w:rPr>
                <w:sz w:val="20"/>
                <w:szCs w:val="20"/>
              </w:rPr>
              <w:t>-0.796</w:t>
            </w:r>
          </w:p>
        </w:tc>
        <w:tc>
          <w:tcPr>
            <w:tcW w:w="1440" w:type="dxa"/>
            <w:tcBorders>
              <w:top w:val="nil"/>
              <w:left w:val="nil"/>
              <w:bottom w:val="nil"/>
              <w:right w:val="nil"/>
            </w:tcBorders>
          </w:tcPr>
          <w:p w14:paraId="16F0C7E8" w14:textId="094487C1" w:rsidR="00737E0A" w:rsidRPr="00737E0A" w:rsidRDefault="00737E0A" w:rsidP="00737E0A">
            <w:pPr>
              <w:widowControl w:val="0"/>
              <w:autoSpaceDE w:val="0"/>
              <w:autoSpaceDN w:val="0"/>
              <w:adjustRightInd w:val="0"/>
              <w:jc w:val="center"/>
              <w:rPr>
                <w:sz w:val="20"/>
                <w:szCs w:val="20"/>
              </w:rPr>
            </w:pPr>
            <w:r w:rsidRPr="00737E0A">
              <w:rPr>
                <w:sz w:val="20"/>
                <w:szCs w:val="20"/>
              </w:rPr>
              <w:t>-0.591</w:t>
            </w:r>
          </w:p>
        </w:tc>
        <w:tc>
          <w:tcPr>
            <w:tcW w:w="1440" w:type="dxa"/>
            <w:tcBorders>
              <w:top w:val="nil"/>
              <w:left w:val="nil"/>
              <w:bottom w:val="nil"/>
              <w:right w:val="nil"/>
            </w:tcBorders>
          </w:tcPr>
          <w:p w14:paraId="2E31C0A9" w14:textId="2518BDC6" w:rsidR="00737E0A" w:rsidRPr="00737E0A" w:rsidRDefault="00737E0A" w:rsidP="00737E0A">
            <w:pPr>
              <w:widowControl w:val="0"/>
              <w:autoSpaceDE w:val="0"/>
              <w:autoSpaceDN w:val="0"/>
              <w:adjustRightInd w:val="0"/>
              <w:jc w:val="center"/>
              <w:rPr>
                <w:sz w:val="20"/>
                <w:szCs w:val="20"/>
              </w:rPr>
            </w:pPr>
            <w:r w:rsidRPr="00737E0A">
              <w:rPr>
                <w:sz w:val="20"/>
                <w:szCs w:val="20"/>
              </w:rPr>
              <w:t>-0.201</w:t>
            </w:r>
          </w:p>
        </w:tc>
        <w:tc>
          <w:tcPr>
            <w:tcW w:w="1440" w:type="dxa"/>
            <w:tcBorders>
              <w:top w:val="nil"/>
              <w:left w:val="nil"/>
              <w:bottom w:val="nil"/>
              <w:right w:val="nil"/>
            </w:tcBorders>
          </w:tcPr>
          <w:p w14:paraId="45B8E1C5" w14:textId="4135136C" w:rsidR="00737E0A" w:rsidRPr="00737E0A" w:rsidRDefault="00737E0A" w:rsidP="00737E0A">
            <w:pPr>
              <w:widowControl w:val="0"/>
              <w:autoSpaceDE w:val="0"/>
              <w:autoSpaceDN w:val="0"/>
              <w:adjustRightInd w:val="0"/>
              <w:jc w:val="center"/>
              <w:rPr>
                <w:sz w:val="20"/>
                <w:szCs w:val="20"/>
              </w:rPr>
            </w:pPr>
            <w:r w:rsidRPr="00737E0A">
              <w:rPr>
                <w:sz w:val="20"/>
                <w:szCs w:val="20"/>
              </w:rPr>
              <w:t>0.216</w:t>
            </w:r>
          </w:p>
        </w:tc>
        <w:tc>
          <w:tcPr>
            <w:tcW w:w="1440" w:type="dxa"/>
            <w:tcBorders>
              <w:top w:val="nil"/>
              <w:left w:val="nil"/>
              <w:bottom w:val="nil"/>
              <w:right w:val="nil"/>
            </w:tcBorders>
          </w:tcPr>
          <w:p w14:paraId="60BA1C41" w14:textId="2C36DC72" w:rsidR="00737E0A" w:rsidRPr="00737E0A" w:rsidRDefault="00737E0A" w:rsidP="00737E0A">
            <w:pPr>
              <w:widowControl w:val="0"/>
              <w:autoSpaceDE w:val="0"/>
              <w:autoSpaceDN w:val="0"/>
              <w:adjustRightInd w:val="0"/>
              <w:jc w:val="center"/>
              <w:rPr>
                <w:sz w:val="20"/>
                <w:szCs w:val="20"/>
              </w:rPr>
            </w:pPr>
            <w:r w:rsidRPr="00737E0A">
              <w:rPr>
                <w:sz w:val="20"/>
                <w:szCs w:val="20"/>
              </w:rPr>
              <w:t>0.312</w:t>
            </w:r>
          </w:p>
        </w:tc>
      </w:tr>
      <w:tr w:rsidR="00737E0A" w:rsidRPr="00737E0A" w14:paraId="1B068370" w14:textId="77777777" w:rsidTr="00D0262E">
        <w:trPr>
          <w:jc w:val="center"/>
        </w:trPr>
        <w:tc>
          <w:tcPr>
            <w:tcW w:w="4803" w:type="dxa"/>
            <w:tcBorders>
              <w:top w:val="nil"/>
              <w:left w:val="nil"/>
              <w:bottom w:val="nil"/>
              <w:right w:val="nil"/>
            </w:tcBorders>
          </w:tcPr>
          <w:p w14:paraId="0BF8CEC1" w14:textId="77777777" w:rsidR="00737E0A" w:rsidRPr="00737E0A" w:rsidRDefault="00737E0A" w:rsidP="00737E0A">
            <w:pPr>
              <w:widowControl w:val="0"/>
              <w:autoSpaceDE w:val="0"/>
              <w:autoSpaceDN w:val="0"/>
              <w:adjustRightInd w:val="0"/>
              <w:rPr>
                <w:sz w:val="20"/>
                <w:szCs w:val="20"/>
              </w:rPr>
            </w:pPr>
          </w:p>
        </w:tc>
        <w:tc>
          <w:tcPr>
            <w:tcW w:w="1440" w:type="dxa"/>
            <w:tcBorders>
              <w:top w:val="nil"/>
              <w:left w:val="nil"/>
              <w:bottom w:val="nil"/>
              <w:right w:val="nil"/>
            </w:tcBorders>
          </w:tcPr>
          <w:p w14:paraId="63206939"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(0.019)</w:t>
            </w:r>
          </w:p>
        </w:tc>
        <w:tc>
          <w:tcPr>
            <w:tcW w:w="1440" w:type="dxa"/>
            <w:tcBorders>
              <w:top w:val="nil"/>
              <w:left w:val="nil"/>
              <w:bottom w:val="nil"/>
              <w:right w:val="nil"/>
            </w:tcBorders>
          </w:tcPr>
          <w:p w14:paraId="6D71A8DD"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(0.018)</w:t>
            </w:r>
          </w:p>
        </w:tc>
        <w:tc>
          <w:tcPr>
            <w:tcW w:w="1440" w:type="dxa"/>
            <w:tcBorders>
              <w:top w:val="nil"/>
              <w:left w:val="nil"/>
              <w:bottom w:val="nil"/>
              <w:right w:val="nil"/>
            </w:tcBorders>
          </w:tcPr>
          <w:p w14:paraId="3C681B79"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(0.046)</w:t>
            </w:r>
          </w:p>
        </w:tc>
        <w:tc>
          <w:tcPr>
            <w:tcW w:w="1440" w:type="dxa"/>
            <w:tcBorders>
              <w:top w:val="nil"/>
              <w:left w:val="nil"/>
              <w:bottom w:val="nil"/>
              <w:right w:val="nil"/>
            </w:tcBorders>
          </w:tcPr>
          <w:p w14:paraId="00F2CE19"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(0.017)</w:t>
            </w:r>
          </w:p>
        </w:tc>
        <w:tc>
          <w:tcPr>
            <w:tcW w:w="1440" w:type="dxa"/>
            <w:tcBorders>
              <w:top w:val="nil"/>
              <w:left w:val="nil"/>
              <w:bottom w:val="nil"/>
              <w:right w:val="nil"/>
            </w:tcBorders>
          </w:tcPr>
          <w:p w14:paraId="7DD94016"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(0.043)</w:t>
            </w:r>
          </w:p>
        </w:tc>
        <w:tc>
          <w:tcPr>
            <w:tcW w:w="1440" w:type="dxa"/>
            <w:tcBorders>
              <w:top w:val="nil"/>
              <w:left w:val="nil"/>
              <w:bottom w:val="nil"/>
              <w:right w:val="nil"/>
            </w:tcBorders>
          </w:tcPr>
          <w:p w14:paraId="127C963D"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(0.028)</w:t>
            </w:r>
          </w:p>
        </w:tc>
        <w:tc>
          <w:tcPr>
            <w:tcW w:w="1440" w:type="dxa"/>
            <w:tcBorders>
              <w:top w:val="nil"/>
              <w:left w:val="nil"/>
              <w:bottom w:val="nil"/>
              <w:right w:val="nil"/>
            </w:tcBorders>
          </w:tcPr>
          <w:p w14:paraId="509C661F"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(0.043)</w:t>
            </w:r>
          </w:p>
        </w:tc>
      </w:tr>
      <w:tr w:rsidR="00737E0A" w:rsidRPr="00737E0A" w14:paraId="5FF4A131" w14:textId="77777777" w:rsidTr="00D0262E">
        <w:trPr>
          <w:jc w:val="center"/>
        </w:trPr>
        <w:tc>
          <w:tcPr>
            <w:tcW w:w="4803" w:type="dxa"/>
            <w:tcBorders>
              <w:top w:val="nil"/>
              <w:left w:val="nil"/>
              <w:bottom w:val="nil"/>
              <w:right w:val="nil"/>
            </w:tcBorders>
          </w:tcPr>
          <w:p w14:paraId="63ED20CC" w14:textId="17DF9E5A" w:rsidR="00737E0A" w:rsidRPr="00737E0A" w:rsidRDefault="00737E0A" w:rsidP="00D6052A">
            <w:pPr>
              <w:widowControl w:val="0"/>
              <w:autoSpaceDE w:val="0"/>
              <w:autoSpaceDN w:val="0"/>
              <w:adjustRightInd w:val="0"/>
              <w:rPr>
                <w:sz w:val="20"/>
                <w:szCs w:val="20"/>
              </w:rPr>
            </w:pPr>
            <w:r w:rsidRPr="000A4511">
              <w:rPr>
                <w:color w:val="000000"/>
                <w:kern w:val="24"/>
                <w:sz w:val="20"/>
                <w:szCs w:val="20"/>
                <w:lang w:eastAsia="en-GB"/>
              </w:rPr>
              <w:t>Trade</w:t>
            </w:r>
            <w:r w:rsidR="00D6052A">
              <w:rPr>
                <w:color w:val="000000"/>
                <w:kern w:val="24"/>
                <w:sz w:val="20"/>
                <w:szCs w:val="20"/>
                <w:lang w:eastAsia="en-GB"/>
              </w:rPr>
              <w:t xml:space="preserve"> openness</w:t>
            </w:r>
          </w:p>
        </w:tc>
        <w:tc>
          <w:tcPr>
            <w:tcW w:w="1440" w:type="dxa"/>
            <w:tcBorders>
              <w:top w:val="nil"/>
              <w:left w:val="nil"/>
              <w:bottom w:val="nil"/>
              <w:right w:val="nil"/>
            </w:tcBorders>
          </w:tcPr>
          <w:p w14:paraId="1B102C65" w14:textId="4FB3BC75" w:rsidR="00737E0A" w:rsidRPr="00737E0A" w:rsidRDefault="00737E0A" w:rsidP="00737E0A">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5683E2F3" w14:textId="77777777" w:rsidR="00737E0A" w:rsidRPr="00737E0A" w:rsidRDefault="00737E0A" w:rsidP="00737E0A">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1CA67054" w14:textId="3D51B370" w:rsidR="00737E0A" w:rsidRPr="00737E0A" w:rsidRDefault="00737E0A" w:rsidP="00737E0A">
            <w:pPr>
              <w:widowControl w:val="0"/>
              <w:autoSpaceDE w:val="0"/>
              <w:autoSpaceDN w:val="0"/>
              <w:adjustRightInd w:val="0"/>
              <w:jc w:val="center"/>
              <w:rPr>
                <w:sz w:val="20"/>
                <w:szCs w:val="20"/>
              </w:rPr>
            </w:pPr>
            <w:r w:rsidRPr="00737E0A">
              <w:rPr>
                <w:sz w:val="20"/>
                <w:szCs w:val="20"/>
              </w:rPr>
              <w:t>0.007</w:t>
            </w:r>
          </w:p>
        </w:tc>
        <w:tc>
          <w:tcPr>
            <w:tcW w:w="1440" w:type="dxa"/>
            <w:tcBorders>
              <w:top w:val="nil"/>
              <w:left w:val="nil"/>
              <w:bottom w:val="nil"/>
              <w:right w:val="nil"/>
            </w:tcBorders>
          </w:tcPr>
          <w:p w14:paraId="382FF725" w14:textId="025DAEDA" w:rsidR="00737E0A" w:rsidRPr="00737E0A" w:rsidRDefault="00737E0A" w:rsidP="00737E0A">
            <w:pPr>
              <w:widowControl w:val="0"/>
              <w:autoSpaceDE w:val="0"/>
              <w:autoSpaceDN w:val="0"/>
              <w:adjustRightInd w:val="0"/>
              <w:jc w:val="center"/>
              <w:rPr>
                <w:sz w:val="20"/>
                <w:szCs w:val="20"/>
              </w:rPr>
            </w:pPr>
            <w:r w:rsidRPr="00737E0A">
              <w:rPr>
                <w:sz w:val="20"/>
                <w:szCs w:val="20"/>
              </w:rPr>
              <w:t>0.027</w:t>
            </w:r>
          </w:p>
        </w:tc>
        <w:tc>
          <w:tcPr>
            <w:tcW w:w="1440" w:type="dxa"/>
            <w:tcBorders>
              <w:top w:val="nil"/>
              <w:left w:val="nil"/>
              <w:bottom w:val="nil"/>
              <w:right w:val="nil"/>
            </w:tcBorders>
          </w:tcPr>
          <w:p w14:paraId="23291BDD" w14:textId="5F098888" w:rsidR="00737E0A" w:rsidRPr="00737E0A" w:rsidRDefault="00737E0A" w:rsidP="00737E0A">
            <w:pPr>
              <w:widowControl w:val="0"/>
              <w:autoSpaceDE w:val="0"/>
              <w:autoSpaceDN w:val="0"/>
              <w:adjustRightInd w:val="0"/>
              <w:jc w:val="center"/>
              <w:rPr>
                <w:sz w:val="20"/>
                <w:szCs w:val="20"/>
              </w:rPr>
            </w:pPr>
            <w:r w:rsidRPr="00737E0A">
              <w:rPr>
                <w:sz w:val="20"/>
                <w:szCs w:val="20"/>
              </w:rPr>
              <w:t>0.012</w:t>
            </w:r>
          </w:p>
        </w:tc>
        <w:tc>
          <w:tcPr>
            <w:tcW w:w="1440" w:type="dxa"/>
            <w:tcBorders>
              <w:top w:val="nil"/>
              <w:left w:val="nil"/>
              <w:bottom w:val="nil"/>
              <w:right w:val="nil"/>
            </w:tcBorders>
          </w:tcPr>
          <w:p w14:paraId="7B1EA374" w14:textId="0BC7B11D" w:rsidR="00737E0A" w:rsidRPr="00737E0A" w:rsidRDefault="00737E0A" w:rsidP="00737E0A">
            <w:pPr>
              <w:widowControl w:val="0"/>
              <w:autoSpaceDE w:val="0"/>
              <w:autoSpaceDN w:val="0"/>
              <w:adjustRightInd w:val="0"/>
              <w:jc w:val="center"/>
              <w:rPr>
                <w:sz w:val="20"/>
                <w:szCs w:val="20"/>
              </w:rPr>
            </w:pPr>
            <w:r w:rsidRPr="00737E0A">
              <w:rPr>
                <w:sz w:val="20"/>
                <w:szCs w:val="20"/>
              </w:rPr>
              <w:t>0.013</w:t>
            </w:r>
          </w:p>
        </w:tc>
        <w:tc>
          <w:tcPr>
            <w:tcW w:w="1440" w:type="dxa"/>
            <w:tcBorders>
              <w:top w:val="nil"/>
              <w:left w:val="nil"/>
              <w:bottom w:val="nil"/>
              <w:right w:val="nil"/>
            </w:tcBorders>
          </w:tcPr>
          <w:p w14:paraId="6171A5DB" w14:textId="06E258A4" w:rsidR="00737E0A" w:rsidRPr="00737E0A" w:rsidRDefault="00737E0A" w:rsidP="00737E0A">
            <w:pPr>
              <w:widowControl w:val="0"/>
              <w:autoSpaceDE w:val="0"/>
              <w:autoSpaceDN w:val="0"/>
              <w:adjustRightInd w:val="0"/>
              <w:jc w:val="center"/>
              <w:rPr>
                <w:sz w:val="20"/>
                <w:szCs w:val="20"/>
              </w:rPr>
            </w:pPr>
            <w:r w:rsidRPr="00737E0A">
              <w:rPr>
                <w:sz w:val="20"/>
                <w:szCs w:val="20"/>
              </w:rPr>
              <w:t>0.009</w:t>
            </w:r>
          </w:p>
        </w:tc>
      </w:tr>
      <w:tr w:rsidR="00737E0A" w:rsidRPr="00737E0A" w14:paraId="774060E8" w14:textId="77777777" w:rsidTr="00D0262E">
        <w:trPr>
          <w:jc w:val="center"/>
        </w:trPr>
        <w:tc>
          <w:tcPr>
            <w:tcW w:w="4803" w:type="dxa"/>
            <w:tcBorders>
              <w:top w:val="nil"/>
              <w:left w:val="nil"/>
              <w:bottom w:val="nil"/>
              <w:right w:val="nil"/>
            </w:tcBorders>
          </w:tcPr>
          <w:p w14:paraId="46D8BE73" w14:textId="77777777" w:rsidR="00737E0A" w:rsidRPr="00737E0A" w:rsidRDefault="00737E0A" w:rsidP="00D0262E">
            <w:pPr>
              <w:widowControl w:val="0"/>
              <w:autoSpaceDE w:val="0"/>
              <w:autoSpaceDN w:val="0"/>
              <w:adjustRightInd w:val="0"/>
              <w:rPr>
                <w:sz w:val="20"/>
                <w:szCs w:val="20"/>
              </w:rPr>
            </w:pPr>
          </w:p>
        </w:tc>
        <w:tc>
          <w:tcPr>
            <w:tcW w:w="1440" w:type="dxa"/>
            <w:tcBorders>
              <w:top w:val="nil"/>
              <w:left w:val="nil"/>
              <w:bottom w:val="nil"/>
              <w:right w:val="nil"/>
            </w:tcBorders>
          </w:tcPr>
          <w:p w14:paraId="040F1FF7"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(0.000)</w:t>
            </w:r>
          </w:p>
        </w:tc>
        <w:tc>
          <w:tcPr>
            <w:tcW w:w="1440" w:type="dxa"/>
            <w:tcBorders>
              <w:top w:val="nil"/>
              <w:left w:val="nil"/>
              <w:bottom w:val="nil"/>
              <w:right w:val="nil"/>
            </w:tcBorders>
          </w:tcPr>
          <w:p w14:paraId="534A0692"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(0.002)</w:t>
            </w:r>
          </w:p>
        </w:tc>
        <w:tc>
          <w:tcPr>
            <w:tcW w:w="1440" w:type="dxa"/>
            <w:tcBorders>
              <w:top w:val="nil"/>
              <w:left w:val="nil"/>
              <w:bottom w:val="nil"/>
              <w:right w:val="nil"/>
            </w:tcBorders>
          </w:tcPr>
          <w:p w14:paraId="59EADF96"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22906173"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(0.000)</w:t>
            </w:r>
          </w:p>
        </w:tc>
        <w:tc>
          <w:tcPr>
            <w:tcW w:w="1440" w:type="dxa"/>
            <w:tcBorders>
              <w:top w:val="nil"/>
              <w:left w:val="nil"/>
              <w:bottom w:val="nil"/>
              <w:right w:val="nil"/>
            </w:tcBorders>
          </w:tcPr>
          <w:p w14:paraId="17F73818"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(0.001)</w:t>
            </w:r>
          </w:p>
        </w:tc>
        <w:tc>
          <w:tcPr>
            <w:tcW w:w="1440" w:type="dxa"/>
            <w:tcBorders>
              <w:top w:val="nil"/>
              <w:left w:val="nil"/>
              <w:bottom w:val="nil"/>
              <w:right w:val="nil"/>
            </w:tcBorders>
          </w:tcPr>
          <w:p w14:paraId="022FB6DB"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(0.000)</w:t>
            </w:r>
          </w:p>
        </w:tc>
        <w:tc>
          <w:tcPr>
            <w:tcW w:w="1440" w:type="dxa"/>
            <w:tcBorders>
              <w:top w:val="nil"/>
              <w:left w:val="nil"/>
              <w:bottom w:val="nil"/>
              <w:right w:val="nil"/>
            </w:tcBorders>
          </w:tcPr>
          <w:p w14:paraId="7B86A3A1"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(0.001)</w:t>
            </w:r>
          </w:p>
        </w:tc>
      </w:tr>
      <w:tr w:rsidR="009256EF" w:rsidRPr="00737E0A" w14:paraId="2CCD23CF" w14:textId="77777777" w:rsidTr="00515E1E">
        <w:trPr>
          <w:jc w:val="center"/>
        </w:trPr>
        <w:tc>
          <w:tcPr>
            <w:tcW w:w="4803" w:type="dxa"/>
            <w:tcBorders>
              <w:top w:val="nil"/>
              <w:left w:val="nil"/>
              <w:bottom w:val="nil"/>
              <w:right w:val="nil"/>
            </w:tcBorders>
          </w:tcPr>
          <w:p w14:paraId="3AC62199" w14:textId="77777777" w:rsidR="009256EF" w:rsidRPr="00737E0A" w:rsidRDefault="009256EF" w:rsidP="00515E1E">
            <w:pPr>
              <w:widowControl w:val="0"/>
              <w:autoSpaceDE w:val="0"/>
              <w:autoSpaceDN w:val="0"/>
              <w:adjustRightInd w:val="0"/>
              <w:rPr>
                <w:sz w:val="20"/>
                <w:szCs w:val="20"/>
              </w:rPr>
            </w:pPr>
            <w:r w:rsidRPr="000A4511">
              <w:rPr>
                <w:color w:val="000000"/>
                <w:kern w:val="24"/>
                <w:sz w:val="20"/>
                <w:szCs w:val="20"/>
                <w:lang w:eastAsia="en-GB"/>
              </w:rPr>
              <w:t>Manufacturing</w:t>
            </w:r>
          </w:p>
        </w:tc>
        <w:tc>
          <w:tcPr>
            <w:tcW w:w="1440" w:type="dxa"/>
            <w:tcBorders>
              <w:top w:val="nil"/>
              <w:left w:val="nil"/>
              <w:bottom w:val="nil"/>
              <w:right w:val="nil"/>
            </w:tcBorders>
          </w:tcPr>
          <w:p w14:paraId="5E03CBB0" w14:textId="346F3A69" w:rsidR="009256EF" w:rsidRPr="00737E0A" w:rsidRDefault="009256EF" w:rsidP="00515E1E">
            <w:pPr>
              <w:widowControl w:val="0"/>
              <w:autoSpaceDE w:val="0"/>
              <w:autoSpaceDN w:val="0"/>
              <w:adjustRightInd w:val="0"/>
              <w:jc w:val="center"/>
              <w:rPr>
                <w:sz w:val="20"/>
                <w:szCs w:val="20"/>
              </w:rPr>
            </w:pPr>
            <w:r w:rsidRPr="00737E0A">
              <w:rPr>
                <w:sz w:val="20"/>
                <w:szCs w:val="20"/>
              </w:rPr>
              <w:t>-0.018</w:t>
            </w:r>
          </w:p>
        </w:tc>
        <w:tc>
          <w:tcPr>
            <w:tcW w:w="1440" w:type="dxa"/>
            <w:tcBorders>
              <w:top w:val="nil"/>
              <w:left w:val="nil"/>
              <w:bottom w:val="nil"/>
              <w:right w:val="nil"/>
            </w:tcBorders>
          </w:tcPr>
          <w:p w14:paraId="52AA085C" w14:textId="2A2095C7" w:rsidR="009256EF" w:rsidRPr="00737E0A" w:rsidRDefault="009256EF" w:rsidP="00515E1E">
            <w:pPr>
              <w:widowControl w:val="0"/>
              <w:autoSpaceDE w:val="0"/>
              <w:autoSpaceDN w:val="0"/>
              <w:adjustRightInd w:val="0"/>
              <w:jc w:val="center"/>
              <w:rPr>
                <w:sz w:val="20"/>
                <w:szCs w:val="20"/>
              </w:rPr>
            </w:pPr>
            <w:r w:rsidRPr="00737E0A">
              <w:rPr>
                <w:sz w:val="20"/>
                <w:szCs w:val="20"/>
              </w:rPr>
              <w:t>0.107</w:t>
            </w:r>
          </w:p>
        </w:tc>
        <w:tc>
          <w:tcPr>
            <w:tcW w:w="1440" w:type="dxa"/>
            <w:tcBorders>
              <w:top w:val="nil"/>
              <w:left w:val="nil"/>
              <w:bottom w:val="nil"/>
              <w:right w:val="nil"/>
            </w:tcBorders>
          </w:tcPr>
          <w:p w14:paraId="600FA110" w14:textId="3F1EBFA5" w:rsidR="009256EF" w:rsidRPr="00737E0A" w:rsidRDefault="009256EF" w:rsidP="00515E1E">
            <w:pPr>
              <w:widowControl w:val="0"/>
              <w:autoSpaceDE w:val="0"/>
              <w:autoSpaceDN w:val="0"/>
              <w:adjustRightInd w:val="0"/>
              <w:jc w:val="center"/>
              <w:rPr>
                <w:sz w:val="20"/>
                <w:szCs w:val="20"/>
              </w:rPr>
            </w:pPr>
            <w:r w:rsidRPr="00737E0A">
              <w:rPr>
                <w:sz w:val="20"/>
                <w:szCs w:val="20"/>
              </w:rPr>
              <w:t>0.078</w:t>
            </w:r>
          </w:p>
        </w:tc>
        <w:tc>
          <w:tcPr>
            <w:tcW w:w="1440" w:type="dxa"/>
            <w:tcBorders>
              <w:top w:val="nil"/>
              <w:left w:val="nil"/>
              <w:bottom w:val="nil"/>
              <w:right w:val="nil"/>
            </w:tcBorders>
          </w:tcPr>
          <w:p w14:paraId="52A2D561" w14:textId="19AAFA4E" w:rsidR="009256EF" w:rsidRPr="00737E0A" w:rsidRDefault="009256EF" w:rsidP="00515E1E">
            <w:pPr>
              <w:widowControl w:val="0"/>
              <w:autoSpaceDE w:val="0"/>
              <w:autoSpaceDN w:val="0"/>
              <w:adjustRightInd w:val="0"/>
              <w:jc w:val="center"/>
              <w:rPr>
                <w:sz w:val="20"/>
                <w:szCs w:val="20"/>
              </w:rPr>
            </w:pPr>
            <w:r w:rsidRPr="00737E0A">
              <w:rPr>
                <w:sz w:val="20"/>
                <w:szCs w:val="20"/>
              </w:rPr>
              <w:t>-0.010</w:t>
            </w:r>
          </w:p>
        </w:tc>
        <w:tc>
          <w:tcPr>
            <w:tcW w:w="1440" w:type="dxa"/>
            <w:tcBorders>
              <w:top w:val="nil"/>
              <w:left w:val="nil"/>
              <w:bottom w:val="nil"/>
              <w:right w:val="nil"/>
            </w:tcBorders>
          </w:tcPr>
          <w:p w14:paraId="4BE0B9A9" w14:textId="4F514240" w:rsidR="009256EF" w:rsidRPr="00737E0A" w:rsidRDefault="009256EF" w:rsidP="00515E1E">
            <w:pPr>
              <w:widowControl w:val="0"/>
              <w:autoSpaceDE w:val="0"/>
              <w:autoSpaceDN w:val="0"/>
              <w:adjustRightInd w:val="0"/>
              <w:jc w:val="center"/>
              <w:rPr>
                <w:sz w:val="20"/>
                <w:szCs w:val="20"/>
              </w:rPr>
            </w:pPr>
            <w:r w:rsidRPr="00737E0A">
              <w:rPr>
                <w:sz w:val="20"/>
                <w:szCs w:val="20"/>
              </w:rPr>
              <w:t>-0.052</w:t>
            </w:r>
          </w:p>
        </w:tc>
        <w:tc>
          <w:tcPr>
            <w:tcW w:w="1440" w:type="dxa"/>
            <w:tcBorders>
              <w:top w:val="nil"/>
              <w:left w:val="nil"/>
              <w:bottom w:val="nil"/>
              <w:right w:val="nil"/>
            </w:tcBorders>
          </w:tcPr>
          <w:p w14:paraId="073F76EB" w14:textId="7B6768C3" w:rsidR="009256EF" w:rsidRPr="00737E0A" w:rsidRDefault="009256EF" w:rsidP="00515E1E">
            <w:pPr>
              <w:widowControl w:val="0"/>
              <w:autoSpaceDE w:val="0"/>
              <w:autoSpaceDN w:val="0"/>
              <w:adjustRightInd w:val="0"/>
              <w:jc w:val="center"/>
              <w:rPr>
                <w:sz w:val="20"/>
                <w:szCs w:val="20"/>
              </w:rPr>
            </w:pPr>
            <w:r w:rsidRPr="00737E0A">
              <w:rPr>
                <w:sz w:val="20"/>
                <w:szCs w:val="20"/>
              </w:rPr>
              <w:t>0.027</w:t>
            </w:r>
          </w:p>
        </w:tc>
        <w:tc>
          <w:tcPr>
            <w:tcW w:w="1440" w:type="dxa"/>
            <w:tcBorders>
              <w:top w:val="nil"/>
              <w:left w:val="nil"/>
              <w:bottom w:val="nil"/>
              <w:right w:val="nil"/>
            </w:tcBorders>
          </w:tcPr>
          <w:p w14:paraId="28C1C5C7" w14:textId="492B0709" w:rsidR="009256EF" w:rsidRPr="00737E0A" w:rsidRDefault="009256EF" w:rsidP="00515E1E">
            <w:pPr>
              <w:widowControl w:val="0"/>
              <w:autoSpaceDE w:val="0"/>
              <w:autoSpaceDN w:val="0"/>
              <w:adjustRightInd w:val="0"/>
              <w:jc w:val="center"/>
              <w:rPr>
                <w:sz w:val="20"/>
                <w:szCs w:val="20"/>
              </w:rPr>
            </w:pPr>
            <w:r w:rsidRPr="00737E0A">
              <w:rPr>
                <w:sz w:val="20"/>
                <w:szCs w:val="20"/>
              </w:rPr>
              <w:t>-0.052</w:t>
            </w:r>
          </w:p>
        </w:tc>
      </w:tr>
      <w:tr w:rsidR="009256EF" w:rsidRPr="00737E0A" w14:paraId="1E636597" w14:textId="77777777" w:rsidTr="00515E1E">
        <w:trPr>
          <w:jc w:val="center"/>
        </w:trPr>
        <w:tc>
          <w:tcPr>
            <w:tcW w:w="4803" w:type="dxa"/>
            <w:tcBorders>
              <w:top w:val="nil"/>
              <w:left w:val="nil"/>
              <w:bottom w:val="nil"/>
              <w:right w:val="nil"/>
            </w:tcBorders>
          </w:tcPr>
          <w:p w14:paraId="54E37EBC" w14:textId="77777777" w:rsidR="009256EF" w:rsidRPr="00737E0A" w:rsidRDefault="009256EF" w:rsidP="00515E1E">
            <w:pPr>
              <w:widowControl w:val="0"/>
              <w:autoSpaceDE w:val="0"/>
              <w:autoSpaceDN w:val="0"/>
              <w:adjustRightInd w:val="0"/>
              <w:rPr>
                <w:sz w:val="20"/>
                <w:szCs w:val="20"/>
              </w:rPr>
            </w:pPr>
          </w:p>
        </w:tc>
        <w:tc>
          <w:tcPr>
            <w:tcW w:w="1440" w:type="dxa"/>
            <w:tcBorders>
              <w:top w:val="nil"/>
              <w:left w:val="nil"/>
              <w:bottom w:val="nil"/>
              <w:right w:val="nil"/>
            </w:tcBorders>
          </w:tcPr>
          <w:p w14:paraId="3681D787"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(0.003)</w:t>
            </w:r>
          </w:p>
        </w:tc>
        <w:tc>
          <w:tcPr>
            <w:tcW w:w="1440" w:type="dxa"/>
            <w:tcBorders>
              <w:top w:val="nil"/>
              <w:left w:val="nil"/>
              <w:bottom w:val="nil"/>
              <w:right w:val="nil"/>
            </w:tcBorders>
          </w:tcPr>
          <w:p w14:paraId="2E3618BB"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(0.008)</w:t>
            </w:r>
          </w:p>
        </w:tc>
        <w:tc>
          <w:tcPr>
            <w:tcW w:w="1440" w:type="dxa"/>
            <w:tcBorders>
              <w:top w:val="nil"/>
              <w:left w:val="nil"/>
              <w:bottom w:val="nil"/>
              <w:right w:val="nil"/>
            </w:tcBorders>
          </w:tcPr>
          <w:p w14:paraId="6C5F8ABC"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(0.004)</w:t>
            </w:r>
          </w:p>
        </w:tc>
        <w:tc>
          <w:tcPr>
            <w:tcW w:w="1440" w:type="dxa"/>
            <w:tcBorders>
              <w:top w:val="nil"/>
              <w:left w:val="nil"/>
              <w:bottom w:val="nil"/>
              <w:right w:val="nil"/>
            </w:tcBorders>
          </w:tcPr>
          <w:p w14:paraId="285A2F1B"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(0.003)</w:t>
            </w:r>
          </w:p>
        </w:tc>
        <w:tc>
          <w:tcPr>
            <w:tcW w:w="1440" w:type="dxa"/>
            <w:tcBorders>
              <w:top w:val="nil"/>
              <w:left w:val="nil"/>
              <w:bottom w:val="nil"/>
              <w:right w:val="nil"/>
            </w:tcBorders>
          </w:tcPr>
          <w:p w14:paraId="26CDEC5C"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(0.012)</w:t>
            </w:r>
          </w:p>
        </w:tc>
        <w:tc>
          <w:tcPr>
            <w:tcW w:w="1440" w:type="dxa"/>
            <w:tcBorders>
              <w:top w:val="nil"/>
              <w:left w:val="nil"/>
              <w:bottom w:val="nil"/>
              <w:right w:val="nil"/>
            </w:tcBorders>
          </w:tcPr>
          <w:p w14:paraId="44F15F30"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(0.004)</w:t>
            </w:r>
          </w:p>
        </w:tc>
        <w:tc>
          <w:tcPr>
            <w:tcW w:w="1440" w:type="dxa"/>
            <w:tcBorders>
              <w:top w:val="nil"/>
              <w:left w:val="nil"/>
              <w:bottom w:val="nil"/>
              <w:right w:val="nil"/>
            </w:tcBorders>
          </w:tcPr>
          <w:p w14:paraId="7ADD7F23"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(0.010)</w:t>
            </w:r>
          </w:p>
        </w:tc>
      </w:tr>
      <w:tr w:rsidR="009256EF" w:rsidRPr="00737E0A" w14:paraId="7F47CCCF" w14:textId="77777777" w:rsidTr="00515E1E">
        <w:trPr>
          <w:jc w:val="center"/>
        </w:trPr>
        <w:tc>
          <w:tcPr>
            <w:tcW w:w="4803" w:type="dxa"/>
            <w:tcBorders>
              <w:top w:val="nil"/>
              <w:left w:val="nil"/>
              <w:bottom w:val="nil"/>
              <w:right w:val="nil"/>
            </w:tcBorders>
          </w:tcPr>
          <w:p w14:paraId="5D242DFA" w14:textId="77777777" w:rsidR="009256EF" w:rsidRPr="00737E0A" w:rsidRDefault="009256EF" w:rsidP="00515E1E">
            <w:pPr>
              <w:widowControl w:val="0"/>
              <w:autoSpaceDE w:val="0"/>
              <w:autoSpaceDN w:val="0"/>
              <w:adjustRightInd w:val="0"/>
              <w:rPr>
                <w:sz w:val="20"/>
                <w:szCs w:val="20"/>
              </w:rPr>
            </w:pPr>
            <w:r w:rsidRPr="000A4511">
              <w:rPr>
                <w:sz w:val="20"/>
                <w:szCs w:val="20"/>
              </w:rPr>
              <w:t>Common Language</w:t>
            </w:r>
          </w:p>
        </w:tc>
        <w:tc>
          <w:tcPr>
            <w:tcW w:w="1440" w:type="dxa"/>
            <w:tcBorders>
              <w:top w:val="nil"/>
              <w:left w:val="nil"/>
              <w:bottom w:val="nil"/>
              <w:right w:val="nil"/>
            </w:tcBorders>
          </w:tcPr>
          <w:p w14:paraId="5004B9B1" w14:textId="12B9CA66" w:rsidR="009256EF" w:rsidRPr="00737E0A" w:rsidRDefault="009256EF" w:rsidP="00515E1E">
            <w:pPr>
              <w:widowControl w:val="0"/>
              <w:autoSpaceDE w:val="0"/>
              <w:autoSpaceDN w:val="0"/>
              <w:adjustRightInd w:val="0"/>
              <w:jc w:val="center"/>
              <w:rPr>
                <w:sz w:val="20"/>
                <w:szCs w:val="20"/>
              </w:rPr>
            </w:pPr>
            <w:r w:rsidRPr="00737E0A">
              <w:rPr>
                <w:sz w:val="20"/>
                <w:szCs w:val="20"/>
              </w:rPr>
              <w:t>-0.215</w:t>
            </w:r>
          </w:p>
        </w:tc>
        <w:tc>
          <w:tcPr>
            <w:tcW w:w="1440" w:type="dxa"/>
            <w:tcBorders>
              <w:top w:val="nil"/>
              <w:left w:val="nil"/>
              <w:bottom w:val="nil"/>
              <w:right w:val="nil"/>
            </w:tcBorders>
          </w:tcPr>
          <w:p w14:paraId="6054AE64" w14:textId="77777777" w:rsidR="009256EF" w:rsidRPr="00737E0A" w:rsidRDefault="009256EF" w:rsidP="00515E1E">
            <w:pPr>
              <w:widowControl w:val="0"/>
              <w:autoSpaceDE w:val="0"/>
              <w:autoSpaceDN w:val="0"/>
              <w:adjustRightInd w:val="0"/>
              <w:jc w:val="center"/>
              <w:rPr>
                <w:sz w:val="20"/>
                <w:szCs w:val="20"/>
              </w:rPr>
            </w:pPr>
          </w:p>
        </w:tc>
        <w:tc>
          <w:tcPr>
            <w:tcW w:w="1440" w:type="dxa"/>
            <w:tcBorders>
              <w:top w:val="nil"/>
              <w:left w:val="nil"/>
              <w:bottom w:val="nil"/>
              <w:right w:val="nil"/>
            </w:tcBorders>
          </w:tcPr>
          <w:p w14:paraId="2BB30C2B" w14:textId="7C9674A2" w:rsidR="009256EF" w:rsidRPr="00737E0A" w:rsidRDefault="009256EF" w:rsidP="00515E1E">
            <w:pPr>
              <w:widowControl w:val="0"/>
              <w:autoSpaceDE w:val="0"/>
              <w:autoSpaceDN w:val="0"/>
              <w:adjustRightInd w:val="0"/>
              <w:jc w:val="center"/>
              <w:rPr>
                <w:sz w:val="20"/>
                <w:szCs w:val="20"/>
              </w:rPr>
            </w:pPr>
            <w:r w:rsidRPr="00737E0A">
              <w:rPr>
                <w:sz w:val="20"/>
                <w:szCs w:val="20"/>
              </w:rPr>
              <w:t>-0.886</w:t>
            </w:r>
          </w:p>
        </w:tc>
        <w:tc>
          <w:tcPr>
            <w:tcW w:w="1440" w:type="dxa"/>
            <w:tcBorders>
              <w:top w:val="nil"/>
              <w:left w:val="nil"/>
              <w:bottom w:val="nil"/>
              <w:right w:val="nil"/>
            </w:tcBorders>
          </w:tcPr>
          <w:p w14:paraId="0EE69F4C" w14:textId="330552EE" w:rsidR="009256EF" w:rsidRPr="00737E0A" w:rsidRDefault="009256EF" w:rsidP="00515E1E">
            <w:pPr>
              <w:widowControl w:val="0"/>
              <w:autoSpaceDE w:val="0"/>
              <w:autoSpaceDN w:val="0"/>
              <w:adjustRightInd w:val="0"/>
              <w:jc w:val="center"/>
              <w:rPr>
                <w:sz w:val="20"/>
                <w:szCs w:val="20"/>
              </w:rPr>
            </w:pPr>
            <w:r w:rsidRPr="00737E0A">
              <w:rPr>
                <w:sz w:val="20"/>
                <w:szCs w:val="20"/>
              </w:rPr>
              <w:t>-3.481</w:t>
            </w:r>
          </w:p>
        </w:tc>
        <w:tc>
          <w:tcPr>
            <w:tcW w:w="1440" w:type="dxa"/>
            <w:tcBorders>
              <w:top w:val="nil"/>
              <w:left w:val="nil"/>
              <w:bottom w:val="nil"/>
              <w:right w:val="nil"/>
            </w:tcBorders>
          </w:tcPr>
          <w:p w14:paraId="4079D9A3" w14:textId="6E4B3379" w:rsidR="009256EF" w:rsidRPr="00737E0A" w:rsidRDefault="009256EF" w:rsidP="00515E1E">
            <w:pPr>
              <w:widowControl w:val="0"/>
              <w:autoSpaceDE w:val="0"/>
              <w:autoSpaceDN w:val="0"/>
              <w:adjustRightInd w:val="0"/>
              <w:jc w:val="center"/>
              <w:rPr>
                <w:sz w:val="20"/>
                <w:szCs w:val="20"/>
              </w:rPr>
            </w:pPr>
            <w:r w:rsidRPr="00737E0A">
              <w:rPr>
                <w:sz w:val="20"/>
                <w:szCs w:val="20"/>
              </w:rPr>
              <w:t>0.557</w:t>
            </w:r>
          </w:p>
        </w:tc>
        <w:tc>
          <w:tcPr>
            <w:tcW w:w="1440" w:type="dxa"/>
            <w:tcBorders>
              <w:top w:val="nil"/>
              <w:left w:val="nil"/>
              <w:bottom w:val="nil"/>
              <w:right w:val="nil"/>
            </w:tcBorders>
          </w:tcPr>
          <w:p w14:paraId="1D9F1071" w14:textId="56029FF1" w:rsidR="009256EF" w:rsidRPr="00737E0A" w:rsidRDefault="009256EF" w:rsidP="00515E1E">
            <w:pPr>
              <w:widowControl w:val="0"/>
              <w:autoSpaceDE w:val="0"/>
              <w:autoSpaceDN w:val="0"/>
              <w:adjustRightInd w:val="0"/>
              <w:jc w:val="center"/>
              <w:rPr>
                <w:sz w:val="20"/>
                <w:szCs w:val="20"/>
              </w:rPr>
            </w:pPr>
            <w:r w:rsidRPr="00737E0A">
              <w:rPr>
                <w:sz w:val="20"/>
                <w:szCs w:val="20"/>
              </w:rPr>
              <w:t>1.877</w:t>
            </w:r>
          </w:p>
        </w:tc>
        <w:tc>
          <w:tcPr>
            <w:tcW w:w="1440" w:type="dxa"/>
            <w:tcBorders>
              <w:top w:val="nil"/>
              <w:left w:val="nil"/>
              <w:bottom w:val="nil"/>
              <w:right w:val="nil"/>
            </w:tcBorders>
          </w:tcPr>
          <w:p w14:paraId="7A468ACD" w14:textId="77777777" w:rsidR="009256EF" w:rsidRPr="00737E0A" w:rsidRDefault="009256EF" w:rsidP="00515E1E">
            <w:pPr>
              <w:widowControl w:val="0"/>
              <w:autoSpaceDE w:val="0"/>
              <w:autoSpaceDN w:val="0"/>
              <w:adjustRightInd w:val="0"/>
              <w:jc w:val="center"/>
              <w:rPr>
                <w:sz w:val="20"/>
                <w:szCs w:val="20"/>
              </w:rPr>
            </w:pPr>
          </w:p>
        </w:tc>
      </w:tr>
      <w:tr w:rsidR="009256EF" w:rsidRPr="00737E0A" w14:paraId="273F0DFA" w14:textId="77777777" w:rsidTr="00515E1E">
        <w:trPr>
          <w:jc w:val="center"/>
        </w:trPr>
        <w:tc>
          <w:tcPr>
            <w:tcW w:w="4803" w:type="dxa"/>
            <w:tcBorders>
              <w:top w:val="nil"/>
              <w:left w:val="nil"/>
              <w:bottom w:val="nil"/>
              <w:right w:val="nil"/>
            </w:tcBorders>
          </w:tcPr>
          <w:p w14:paraId="00892899" w14:textId="77777777" w:rsidR="009256EF" w:rsidRPr="00737E0A" w:rsidRDefault="009256EF" w:rsidP="00515E1E">
            <w:pPr>
              <w:widowControl w:val="0"/>
              <w:autoSpaceDE w:val="0"/>
              <w:autoSpaceDN w:val="0"/>
              <w:adjustRightInd w:val="0"/>
              <w:rPr>
                <w:sz w:val="20"/>
                <w:szCs w:val="20"/>
              </w:rPr>
            </w:pPr>
          </w:p>
        </w:tc>
        <w:tc>
          <w:tcPr>
            <w:tcW w:w="1440" w:type="dxa"/>
            <w:tcBorders>
              <w:top w:val="nil"/>
              <w:left w:val="nil"/>
              <w:bottom w:val="nil"/>
              <w:right w:val="nil"/>
            </w:tcBorders>
          </w:tcPr>
          <w:p w14:paraId="28E731C0"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(0.037)</w:t>
            </w:r>
          </w:p>
        </w:tc>
        <w:tc>
          <w:tcPr>
            <w:tcW w:w="1440" w:type="dxa"/>
            <w:tcBorders>
              <w:top w:val="nil"/>
              <w:left w:val="nil"/>
              <w:bottom w:val="nil"/>
              <w:right w:val="nil"/>
            </w:tcBorders>
          </w:tcPr>
          <w:p w14:paraId="486C671F" w14:textId="77777777" w:rsidR="009256EF" w:rsidRPr="00737E0A" w:rsidRDefault="009256EF" w:rsidP="00515E1E">
            <w:pPr>
              <w:widowControl w:val="0"/>
              <w:autoSpaceDE w:val="0"/>
              <w:autoSpaceDN w:val="0"/>
              <w:adjustRightInd w:val="0"/>
              <w:jc w:val="center"/>
              <w:rPr>
                <w:sz w:val="20"/>
                <w:szCs w:val="20"/>
              </w:rPr>
            </w:pPr>
          </w:p>
        </w:tc>
        <w:tc>
          <w:tcPr>
            <w:tcW w:w="1440" w:type="dxa"/>
            <w:tcBorders>
              <w:top w:val="nil"/>
              <w:left w:val="nil"/>
              <w:bottom w:val="nil"/>
              <w:right w:val="nil"/>
            </w:tcBorders>
          </w:tcPr>
          <w:p w14:paraId="01BCE379"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(0.092)</w:t>
            </w:r>
          </w:p>
        </w:tc>
        <w:tc>
          <w:tcPr>
            <w:tcW w:w="1440" w:type="dxa"/>
            <w:tcBorders>
              <w:top w:val="nil"/>
              <w:left w:val="nil"/>
              <w:bottom w:val="nil"/>
              <w:right w:val="nil"/>
            </w:tcBorders>
          </w:tcPr>
          <w:p w14:paraId="466F549A"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(0.081)</w:t>
            </w:r>
          </w:p>
        </w:tc>
        <w:tc>
          <w:tcPr>
            <w:tcW w:w="1440" w:type="dxa"/>
            <w:tcBorders>
              <w:top w:val="nil"/>
              <w:left w:val="nil"/>
              <w:bottom w:val="nil"/>
              <w:right w:val="nil"/>
            </w:tcBorders>
          </w:tcPr>
          <w:p w14:paraId="380D61E7"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(0.148)</w:t>
            </w:r>
          </w:p>
        </w:tc>
        <w:tc>
          <w:tcPr>
            <w:tcW w:w="1440" w:type="dxa"/>
            <w:tcBorders>
              <w:top w:val="nil"/>
              <w:left w:val="nil"/>
              <w:bottom w:val="nil"/>
              <w:right w:val="nil"/>
            </w:tcBorders>
          </w:tcPr>
          <w:p w14:paraId="7471B01C" w14:textId="77777777" w:rsidR="009256EF" w:rsidRPr="00737E0A" w:rsidRDefault="009256EF" w:rsidP="00515E1E">
            <w:pPr>
              <w:widowControl w:val="0"/>
              <w:autoSpaceDE w:val="0"/>
              <w:autoSpaceDN w:val="0"/>
              <w:adjustRightInd w:val="0"/>
              <w:jc w:val="center"/>
              <w:rPr>
                <w:sz w:val="20"/>
                <w:szCs w:val="20"/>
              </w:rPr>
            </w:pPr>
            <w:r w:rsidRPr="00737E0A">
              <w:rPr>
                <w:sz w:val="20"/>
                <w:szCs w:val="20"/>
              </w:rPr>
              <w:t>(0.068)</w:t>
            </w:r>
          </w:p>
        </w:tc>
        <w:tc>
          <w:tcPr>
            <w:tcW w:w="1440" w:type="dxa"/>
            <w:tcBorders>
              <w:top w:val="nil"/>
              <w:left w:val="nil"/>
              <w:bottom w:val="nil"/>
              <w:right w:val="nil"/>
            </w:tcBorders>
          </w:tcPr>
          <w:p w14:paraId="487E102B" w14:textId="77777777" w:rsidR="009256EF" w:rsidRPr="00737E0A" w:rsidRDefault="009256EF" w:rsidP="00515E1E">
            <w:pPr>
              <w:widowControl w:val="0"/>
              <w:autoSpaceDE w:val="0"/>
              <w:autoSpaceDN w:val="0"/>
              <w:adjustRightInd w:val="0"/>
              <w:jc w:val="center"/>
              <w:rPr>
                <w:sz w:val="20"/>
                <w:szCs w:val="20"/>
              </w:rPr>
            </w:pPr>
          </w:p>
        </w:tc>
      </w:tr>
      <w:tr w:rsidR="00737E0A" w:rsidRPr="00737E0A" w14:paraId="5F7C4341" w14:textId="77777777" w:rsidTr="00D0262E">
        <w:trPr>
          <w:jc w:val="center"/>
        </w:trPr>
        <w:tc>
          <w:tcPr>
            <w:tcW w:w="4803" w:type="dxa"/>
            <w:tcBorders>
              <w:top w:val="nil"/>
              <w:left w:val="nil"/>
              <w:bottom w:val="nil"/>
              <w:right w:val="nil"/>
            </w:tcBorders>
          </w:tcPr>
          <w:p w14:paraId="7BD29A24" w14:textId="77777777" w:rsidR="00737E0A" w:rsidRPr="00737E0A" w:rsidRDefault="00737E0A" w:rsidP="00D0262E">
            <w:pPr>
              <w:widowControl w:val="0"/>
              <w:autoSpaceDE w:val="0"/>
              <w:autoSpaceDN w:val="0"/>
              <w:adjustRightInd w:val="0"/>
              <w:rPr>
                <w:sz w:val="20"/>
                <w:szCs w:val="20"/>
              </w:rPr>
            </w:pPr>
          </w:p>
        </w:tc>
        <w:tc>
          <w:tcPr>
            <w:tcW w:w="1440" w:type="dxa"/>
            <w:tcBorders>
              <w:top w:val="nil"/>
              <w:left w:val="nil"/>
              <w:bottom w:val="nil"/>
              <w:right w:val="nil"/>
            </w:tcBorders>
          </w:tcPr>
          <w:p w14:paraId="59704CA4"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44390944"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5B255FCD"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43D91D1B"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7B3E6248"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234D5D51" w14:textId="77777777" w:rsidR="00737E0A" w:rsidRPr="00737E0A" w:rsidRDefault="00737E0A" w:rsidP="00D0262E">
            <w:pPr>
              <w:widowControl w:val="0"/>
              <w:autoSpaceDE w:val="0"/>
              <w:autoSpaceDN w:val="0"/>
              <w:adjustRightInd w:val="0"/>
              <w:jc w:val="center"/>
              <w:rPr>
                <w:sz w:val="20"/>
                <w:szCs w:val="20"/>
              </w:rPr>
            </w:pPr>
          </w:p>
        </w:tc>
        <w:tc>
          <w:tcPr>
            <w:tcW w:w="1440" w:type="dxa"/>
            <w:tcBorders>
              <w:top w:val="nil"/>
              <w:left w:val="nil"/>
              <w:bottom w:val="nil"/>
              <w:right w:val="nil"/>
            </w:tcBorders>
          </w:tcPr>
          <w:p w14:paraId="6A01BB53" w14:textId="77777777" w:rsidR="00737E0A" w:rsidRPr="00737E0A" w:rsidRDefault="00737E0A" w:rsidP="00D0262E">
            <w:pPr>
              <w:widowControl w:val="0"/>
              <w:autoSpaceDE w:val="0"/>
              <w:autoSpaceDN w:val="0"/>
              <w:adjustRightInd w:val="0"/>
              <w:jc w:val="center"/>
              <w:rPr>
                <w:sz w:val="20"/>
                <w:szCs w:val="20"/>
              </w:rPr>
            </w:pPr>
          </w:p>
        </w:tc>
      </w:tr>
      <w:tr w:rsidR="00737E0A" w:rsidRPr="00737E0A" w14:paraId="5C34399C" w14:textId="77777777" w:rsidTr="00D0262E">
        <w:trPr>
          <w:jc w:val="center"/>
        </w:trPr>
        <w:tc>
          <w:tcPr>
            <w:tcW w:w="4803" w:type="dxa"/>
            <w:tcBorders>
              <w:top w:val="nil"/>
              <w:left w:val="nil"/>
              <w:bottom w:val="nil"/>
              <w:right w:val="nil"/>
            </w:tcBorders>
          </w:tcPr>
          <w:p w14:paraId="3D2D083A" w14:textId="77777777" w:rsidR="00737E0A" w:rsidRPr="00737E0A" w:rsidRDefault="00737E0A" w:rsidP="00D0262E">
            <w:pPr>
              <w:widowControl w:val="0"/>
              <w:autoSpaceDE w:val="0"/>
              <w:autoSpaceDN w:val="0"/>
              <w:adjustRightInd w:val="0"/>
              <w:rPr>
                <w:sz w:val="20"/>
                <w:szCs w:val="20"/>
              </w:rPr>
            </w:pPr>
            <w:r w:rsidRPr="00737E0A">
              <w:rPr>
                <w:sz w:val="20"/>
                <w:szCs w:val="20"/>
              </w:rPr>
              <w:t>Observations</w:t>
            </w:r>
          </w:p>
        </w:tc>
        <w:tc>
          <w:tcPr>
            <w:tcW w:w="1440" w:type="dxa"/>
            <w:tcBorders>
              <w:top w:val="nil"/>
              <w:left w:val="nil"/>
              <w:bottom w:val="nil"/>
              <w:right w:val="nil"/>
            </w:tcBorders>
          </w:tcPr>
          <w:p w14:paraId="03A17D54"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298,508</w:t>
            </w:r>
          </w:p>
        </w:tc>
        <w:tc>
          <w:tcPr>
            <w:tcW w:w="1440" w:type="dxa"/>
            <w:tcBorders>
              <w:top w:val="nil"/>
              <w:left w:val="nil"/>
              <w:bottom w:val="nil"/>
              <w:right w:val="nil"/>
            </w:tcBorders>
          </w:tcPr>
          <w:p w14:paraId="6551B457"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45,696</w:t>
            </w:r>
          </w:p>
        </w:tc>
        <w:tc>
          <w:tcPr>
            <w:tcW w:w="1440" w:type="dxa"/>
            <w:tcBorders>
              <w:top w:val="nil"/>
              <w:left w:val="nil"/>
              <w:bottom w:val="nil"/>
              <w:right w:val="nil"/>
            </w:tcBorders>
          </w:tcPr>
          <w:p w14:paraId="0A80499F"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174,468</w:t>
            </w:r>
          </w:p>
        </w:tc>
        <w:tc>
          <w:tcPr>
            <w:tcW w:w="1440" w:type="dxa"/>
            <w:tcBorders>
              <w:top w:val="nil"/>
              <w:left w:val="nil"/>
              <w:bottom w:val="nil"/>
              <w:right w:val="nil"/>
            </w:tcBorders>
          </w:tcPr>
          <w:p w14:paraId="76950E55"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285,712</w:t>
            </w:r>
          </w:p>
        </w:tc>
        <w:tc>
          <w:tcPr>
            <w:tcW w:w="1440" w:type="dxa"/>
            <w:tcBorders>
              <w:top w:val="nil"/>
              <w:left w:val="nil"/>
              <w:bottom w:val="nil"/>
              <w:right w:val="nil"/>
            </w:tcBorders>
          </w:tcPr>
          <w:p w14:paraId="4F53CE36"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25,956</w:t>
            </w:r>
          </w:p>
        </w:tc>
        <w:tc>
          <w:tcPr>
            <w:tcW w:w="1440" w:type="dxa"/>
            <w:tcBorders>
              <w:top w:val="nil"/>
              <w:left w:val="nil"/>
              <w:bottom w:val="nil"/>
              <w:right w:val="nil"/>
            </w:tcBorders>
          </w:tcPr>
          <w:p w14:paraId="5D1AC6DB"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343,448</w:t>
            </w:r>
          </w:p>
        </w:tc>
        <w:tc>
          <w:tcPr>
            <w:tcW w:w="1440" w:type="dxa"/>
            <w:tcBorders>
              <w:top w:val="nil"/>
              <w:left w:val="nil"/>
              <w:bottom w:val="nil"/>
              <w:right w:val="nil"/>
            </w:tcBorders>
          </w:tcPr>
          <w:p w14:paraId="674BA635" w14:textId="77777777" w:rsidR="00737E0A" w:rsidRPr="00737E0A" w:rsidRDefault="00737E0A" w:rsidP="00D0262E">
            <w:pPr>
              <w:widowControl w:val="0"/>
              <w:autoSpaceDE w:val="0"/>
              <w:autoSpaceDN w:val="0"/>
              <w:adjustRightInd w:val="0"/>
              <w:jc w:val="center"/>
              <w:rPr>
                <w:sz w:val="20"/>
                <w:szCs w:val="20"/>
              </w:rPr>
            </w:pPr>
            <w:r w:rsidRPr="00737E0A">
              <w:rPr>
                <w:sz w:val="20"/>
                <w:szCs w:val="20"/>
              </w:rPr>
              <w:t>41,496</w:t>
            </w:r>
          </w:p>
        </w:tc>
      </w:tr>
      <w:tr w:rsidR="00737E0A" w:rsidRPr="00737E0A" w14:paraId="2B1D7BB9" w14:textId="77777777" w:rsidTr="00D0262E">
        <w:tblPrEx>
          <w:tblBorders>
            <w:bottom w:val="single" w:sz="6" w:space="0" w:color="auto"/>
          </w:tblBorders>
        </w:tblPrEx>
        <w:trPr>
          <w:jc w:val="center"/>
        </w:trPr>
        <w:tc>
          <w:tcPr>
            <w:tcW w:w="4803" w:type="dxa"/>
            <w:tcBorders>
              <w:top w:val="nil"/>
              <w:left w:val="nil"/>
              <w:bottom w:val="single" w:sz="6" w:space="0" w:color="auto"/>
              <w:right w:val="nil"/>
            </w:tcBorders>
          </w:tcPr>
          <w:p w14:paraId="5A930743" w14:textId="77777777" w:rsidR="00737E0A" w:rsidRPr="00737E0A" w:rsidRDefault="00737E0A" w:rsidP="00D0262E">
            <w:pPr>
              <w:widowControl w:val="0"/>
              <w:autoSpaceDE w:val="0"/>
              <w:autoSpaceDN w:val="0"/>
              <w:adjustRightInd w:val="0"/>
              <w:rPr>
                <w:sz w:val="20"/>
                <w:szCs w:val="20"/>
              </w:rPr>
            </w:pPr>
            <w:r w:rsidRPr="00737E0A">
              <w:rPr>
                <w:sz w:val="20"/>
                <w:szCs w:val="20"/>
              </w:rPr>
              <w:t>Pseudo R2</w:t>
            </w:r>
          </w:p>
        </w:tc>
        <w:tc>
          <w:tcPr>
            <w:tcW w:w="1440" w:type="dxa"/>
            <w:tcBorders>
              <w:top w:val="nil"/>
              <w:left w:val="nil"/>
              <w:bottom w:val="single" w:sz="6" w:space="0" w:color="auto"/>
              <w:right w:val="nil"/>
            </w:tcBorders>
          </w:tcPr>
          <w:p w14:paraId="558A7D44" w14:textId="7F8BD753" w:rsidR="00737E0A" w:rsidRPr="00737E0A" w:rsidRDefault="003E04A7" w:rsidP="00D0262E">
            <w:pPr>
              <w:widowControl w:val="0"/>
              <w:autoSpaceDE w:val="0"/>
              <w:autoSpaceDN w:val="0"/>
              <w:adjustRightInd w:val="0"/>
              <w:jc w:val="center"/>
              <w:rPr>
                <w:sz w:val="20"/>
                <w:szCs w:val="20"/>
              </w:rPr>
            </w:pPr>
            <w:r>
              <w:rPr>
                <w:sz w:val="20"/>
                <w:szCs w:val="20"/>
              </w:rPr>
              <w:t>0.107</w:t>
            </w:r>
          </w:p>
        </w:tc>
        <w:tc>
          <w:tcPr>
            <w:tcW w:w="1440" w:type="dxa"/>
            <w:tcBorders>
              <w:top w:val="nil"/>
              <w:left w:val="nil"/>
              <w:bottom w:val="single" w:sz="6" w:space="0" w:color="auto"/>
              <w:right w:val="nil"/>
            </w:tcBorders>
          </w:tcPr>
          <w:p w14:paraId="3CF47112" w14:textId="32D099AB" w:rsidR="00737E0A" w:rsidRPr="00737E0A" w:rsidRDefault="003E04A7" w:rsidP="00D0262E">
            <w:pPr>
              <w:widowControl w:val="0"/>
              <w:autoSpaceDE w:val="0"/>
              <w:autoSpaceDN w:val="0"/>
              <w:adjustRightInd w:val="0"/>
              <w:jc w:val="center"/>
              <w:rPr>
                <w:sz w:val="20"/>
                <w:szCs w:val="20"/>
              </w:rPr>
            </w:pPr>
            <w:r>
              <w:rPr>
                <w:sz w:val="20"/>
                <w:szCs w:val="20"/>
              </w:rPr>
              <w:t>0.212</w:t>
            </w:r>
          </w:p>
        </w:tc>
        <w:tc>
          <w:tcPr>
            <w:tcW w:w="1440" w:type="dxa"/>
            <w:tcBorders>
              <w:top w:val="nil"/>
              <w:left w:val="nil"/>
              <w:bottom w:val="single" w:sz="6" w:space="0" w:color="auto"/>
              <w:right w:val="nil"/>
            </w:tcBorders>
          </w:tcPr>
          <w:p w14:paraId="08A29170" w14:textId="07A3FB2F" w:rsidR="00737E0A" w:rsidRPr="00737E0A" w:rsidRDefault="003E04A7" w:rsidP="00D0262E">
            <w:pPr>
              <w:widowControl w:val="0"/>
              <w:autoSpaceDE w:val="0"/>
              <w:autoSpaceDN w:val="0"/>
              <w:adjustRightInd w:val="0"/>
              <w:jc w:val="center"/>
              <w:rPr>
                <w:sz w:val="20"/>
                <w:szCs w:val="20"/>
              </w:rPr>
            </w:pPr>
            <w:r>
              <w:rPr>
                <w:sz w:val="20"/>
                <w:szCs w:val="20"/>
              </w:rPr>
              <w:t>0.194</w:t>
            </w:r>
          </w:p>
        </w:tc>
        <w:tc>
          <w:tcPr>
            <w:tcW w:w="1440" w:type="dxa"/>
            <w:tcBorders>
              <w:top w:val="nil"/>
              <w:left w:val="nil"/>
              <w:bottom w:val="single" w:sz="6" w:space="0" w:color="auto"/>
              <w:right w:val="nil"/>
            </w:tcBorders>
          </w:tcPr>
          <w:p w14:paraId="5FB23D9E" w14:textId="732B661E" w:rsidR="003E04A7" w:rsidRPr="00737E0A" w:rsidRDefault="003E04A7" w:rsidP="003E04A7">
            <w:pPr>
              <w:widowControl w:val="0"/>
              <w:autoSpaceDE w:val="0"/>
              <w:autoSpaceDN w:val="0"/>
              <w:adjustRightInd w:val="0"/>
              <w:jc w:val="center"/>
              <w:rPr>
                <w:sz w:val="20"/>
                <w:szCs w:val="20"/>
              </w:rPr>
            </w:pPr>
            <w:r>
              <w:rPr>
                <w:sz w:val="20"/>
                <w:szCs w:val="20"/>
              </w:rPr>
              <w:t>0.161</w:t>
            </w:r>
          </w:p>
        </w:tc>
        <w:tc>
          <w:tcPr>
            <w:tcW w:w="1440" w:type="dxa"/>
            <w:tcBorders>
              <w:top w:val="nil"/>
              <w:left w:val="nil"/>
              <w:bottom w:val="single" w:sz="6" w:space="0" w:color="auto"/>
              <w:right w:val="nil"/>
            </w:tcBorders>
          </w:tcPr>
          <w:p w14:paraId="53F2BE9F" w14:textId="62F97772" w:rsidR="00737E0A" w:rsidRPr="00737E0A" w:rsidRDefault="003E04A7" w:rsidP="00D0262E">
            <w:pPr>
              <w:widowControl w:val="0"/>
              <w:autoSpaceDE w:val="0"/>
              <w:autoSpaceDN w:val="0"/>
              <w:adjustRightInd w:val="0"/>
              <w:jc w:val="center"/>
              <w:rPr>
                <w:sz w:val="20"/>
                <w:szCs w:val="20"/>
              </w:rPr>
            </w:pPr>
            <w:r>
              <w:rPr>
                <w:sz w:val="20"/>
                <w:szCs w:val="20"/>
              </w:rPr>
              <w:t>0.176</w:t>
            </w:r>
          </w:p>
        </w:tc>
        <w:tc>
          <w:tcPr>
            <w:tcW w:w="1440" w:type="dxa"/>
            <w:tcBorders>
              <w:top w:val="nil"/>
              <w:left w:val="nil"/>
              <w:bottom w:val="single" w:sz="6" w:space="0" w:color="auto"/>
              <w:right w:val="nil"/>
            </w:tcBorders>
          </w:tcPr>
          <w:p w14:paraId="2287CD01" w14:textId="13DEBDA1" w:rsidR="00737E0A" w:rsidRPr="00737E0A" w:rsidRDefault="003E04A7" w:rsidP="00D0262E">
            <w:pPr>
              <w:widowControl w:val="0"/>
              <w:autoSpaceDE w:val="0"/>
              <w:autoSpaceDN w:val="0"/>
              <w:adjustRightInd w:val="0"/>
              <w:jc w:val="center"/>
              <w:rPr>
                <w:sz w:val="20"/>
                <w:szCs w:val="20"/>
              </w:rPr>
            </w:pPr>
            <w:r>
              <w:rPr>
                <w:sz w:val="20"/>
                <w:szCs w:val="20"/>
              </w:rPr>
              <w:t>0.172</w:t>
            </w:r>
          </w:p>
        </w:tc>
        <w:tc>
          <w:tcPr>
            <w:tcW w:w="1440" w:type="dxa"/>
            <w:tcBorders>
              <w:top w:val="nil"/>
              <w:left w:val="nil"/>
              <w:bottom w:val="single" w:sz="6" w:space="0" w:color="auto"/>
              <w:right w:val="nil"/>
            </w:tcBorders>
          </w:tcPr>
          <w:p w14:paraId="4ED060C6" w14:textId="631D964A" w:rsidR="00737E0A" w:rsidRPr="00737E0A" w:rsidRDefault="003E04A7" w:rsidP="00D0262E">
            <w:pPr>
              <w:widowControl w:val="0"/>
              <w:autoSpaceDE w:val="0"/>
              <w:autoSpaceDN w:val="0"/>
              <w:adjustRightInd w:val="0"/>
              <w:jc w:val="center"/>
              <w:rPr>
                <w:sz w:val="20"/>
                <w:szCs w:val="20"/>
              </w:rPr>
            </w:pPr>
            <w:r>
              <w:rPr>
                <w:sz w:val="20"/>
                <w:szCs w:val="20"/>
              </w:rPr>
              <w:t>0.214</w:t>
            </w:r>
          </w:p>
        </w:tc>
      </w:tr>
    </w:tbl>
    <w:p w14:paraId="5E705DC7" w14:textId="77777777" w:rsidR="00623157" w:rsidRDefault="00737E0A" w:rsidP="006E2394">
      <w:pPr>
        <w:widowControl w:val="0"/>
        <w:autoSpaceDE w:val="0"/>
        <w:autoSpaceDN w:val="0"/>
        <w:adjustRightInd w:val="0"/>
        <w:jc w:val="center"/>
        <w:rPr>
          <w:sz w:val="20"/>
          <w:szCs w:val="20"/>
        </w:rPr>
      </w:pPr>
      <w:r w:rsidRPr="00737E0A">
        <w:rPr>
          <w:sz w:val="20"/>
          <w:szCs w:val="20"/>
        </w:rPr>
        <w:t>Robust standard errors in parentheses</w:t>
      </w:r>
      <w:r w:rsidR="00623157">
        <w:rPr>
          <w:sz w:val="20"/>
          <w:szCs w:val="20"/>
        </w:rPr>
        <w:t xml:space="preserve">, clustered at the firm level. </w:t>
      </w:r>
    </w:p>
    <w:p w14:paraId="6538C63A" w14:textId="77777777" w:rsidR="00F23571" w:rsidRDefault="00F23571" w:rsidP="00F23571">
      <w:pPr>
        <w:rPr>
          <w:noProof/>
          <w:sz w:val="20"/>
          <w:szCs w:val="20"/>
          <w:lang w:val="en-GB" w:eastAsia="en-GB"/>
        </w:rPr>
      </w:pPr>
    </w:p>
    <w:p w14:paraId="4E199755" w14:textId="77777777" w:rsidR="00F23571" w:rsidRDefault="00F23571" w:rsidP="00F23571">
      <w:pPr>
        <w:rPr>
          <w:noProof/>
          <w:sz w:val="20"/>
          <w:szCs w:val="20"/>
          <w:lang w:val="en-GB" w:eastAsia="en-GB"/>
        </w:rPr>
      </w:pPr>
    </w:p>
    <w:p w14:paraId="46CF6B46" w14:textId="77777777" w:rsidR="00F23571" w:rsidRDefault="00F23571" w:rsidP="00F23571">
      <w:pPr>
        <w:rPr>
          <w:noProof/>
          <w:sz w:val="20"/>
          <w:szCs w:val="20"/>
          <w:lang w:val="en-GB" w:eastAsia="en-GB"/>
        </w:rPr>
      </w:pPr>
    </w:p>
    <w:p w14:paraId="3C887652" w14:textId="45AB611B" w:rsidR="00F23571" w:rsidRDefault="00F23571" w:rsidP="00F23571">
      <w:pPr>
        <w:rPr>
          <w:sz w:val="20"/>
          <w:szCs w:val="20"/>
        </w:rPr>
      </w:pPr>
    </w:p>
    <w:p w14:paraId="4B99BF73" w14:textId="77777777" w:rsidR="005E1E85" w:rsidRDefault="005E1E85" w:rsidP="00F23571">
      <w:pPr>
        <w:rPr>
          <w:b/>
        </w:rPr>
        <w:sectPr w:rsidR="005E1E85" w:rsidSect="00681E2F">
          <w:pgSz w:w="15840" w:h="12240" w:orient="landscape"/>
          <w:pgMar w:top="1797" w:right="1135" w:bottom="1797" w:left="1440" w:header="709" w:footer="709" w:gutter="0"/>
          <w:cols w:space="708"/>
          <w:docGrid w:linePitch="360"/>
        </w:sectPr>
      </w:pPr>
    </w:p>
    <w:p w14:paraId="2FB7BB23" w14:textId="550FB48C" w:rsidR="00225022" w:rsidRDefault="005E1E85" w:rsidP="00F23571">
      <w:pPr>
        <w:rPr>
          <w:b/>
        </w:rPr>
      </w:pPr>
      <w:r>
        <w:rPr>
          <w:b/>
        </w:rPr>
        <w:lastRenderedPageBreak/>
        <w:t xml:space="preserve">Table 7 </w:t>
      </w:r>
      <w:r w:rsidR="00B36697">
        <w:rPr>
          <w:b/>
        </w:rPr>
        <w:t>–</w:t>
      </w:r>
      <w:r>
        <w:rPr>
          <w:b/>
        </w:rPr>
        <w:t xml:space="preserve"> Robust</w:t>
      </w:r>
      <w:r w:rsidR="00B36697">
        <w:rPr>
          <w:b/>
        </w:rPr>
        <w:t>ness Tests</w:t>
      </w:r>
    </w:p>
    <w:p w14:paraId="4CFAFF46" w14:textId="77777777" w:rsidR="005E1E85" w:rsidRDefault="005E1E85" w:rsidP="00F23571">
      <w:pPr>
        <w:rPr>
          <w:b/>
        </w:rPr>
      </w:pPr>
    </w:p>
    <w:p w14:paraId="6B18ABFE" w14:textId="77777777" w:rsidR="005E1E85" w:rsidRDefault="005E1E85" w:rsidP="00F23571">
      <w:pPr>
        <w:rPr>
          <w:b/>
        </w:rPr>
      </w:pPr>
    </w:p>
    <w:tbl>
      <w:tblPr>
        <w:tblW w:w="6930" w:type="dxa"/>
        <w:jc w:val="center"/>
        <w:tblLayout w:type="fixed"/>
        <w:tblCellMar>
          <w:left w:w="75" w:type="dxa"/>
          <w:right w:w="75" w:type="dxa"/>
        </w:tblCellMar>
        <w:tblLook w:val="0000" w:firstRow="0" w:lastRow="0" w:firstColumn="0" w:lastColumn="0" w:noHBand="0" w:noVBand="0"/>
      </w:tblPr>
      <w:tblGrid>
        <w:gridCol w:w="4186"/>
        <w:gridCol w:w="305"/>
        <w:gridCol w:w="1269"/>
        <w:gridCol w:w="1170"/>
      </w:tblGrid>
      <w:tr w:rsidR="00091B2C" w:rsidRPr="005E1E85" w14:paraId="60160D4B" w14:textId="53EECA32" w:rsidTr="00515E1E">
        <w:trPr>
          <w:jc w:val="center"/>
        </w:trPr>
        <w:tc>
          <w:tcPr>
            <w:tcW w:w="4186" w:type="dxa"/>
            <w:tcBorders>
              <w:top w:val="single" w:sz="4" w:space="0" w:color="auto"/>
              <w:left w:val="nil"/>
              <w:right w:val="nil"/>
            </w:tcBorders>
          </w:tcPr>
          <w:p w14:paraId="1671518A" w14:textId="77777777" w:rsidR="00091B2C" w:rsidRPr="005E1E85" w:rsidRDefault="00091B2C" w:rsidP="0020119A">
            <w:pPr>
              <w:widowControl w:val="0"/>
              <w:autoSpaceDE w:val="0"/>
              <w:autoSpaceDN w:val="0"/>
              <w:adjustRightInd w:val="0"/>
              <w:rPr>
                <w:sz w:val="20"/>
                <w:szCs w:val="20"/>
              </w:rPr>
            </w:pPr>
          </w:p>
        </w:tc>
        <w:tc>
          <w:tcPr>
            <w:tcW w:w="305" w:type="dxa"/>
            <w:tcBorders>
              <w:top w:val="single" w:sz="4" w:space="0" w:color="auto"/>
              <w:left w:val="nil"/>
              <w:right w:val="nil"/>
            </w:tcBorders>
          </w:tcPr>
          <w:p w14:paraId="673B91A1" w14:textId="77777777" w:rsidR="00091B2C" w:rsidRPr="005E1E85" w:rsidRDefault="00091B2C" w:rsidP="0020119A">
            <w:pPr>
              <w:widowControl w:val="0"/>
              <w:autoSpaceDE w:val="0"/>
              <w:autoSpaceDN w:val="0"/>
              <w:adjustRightInd w:val="0"/>
              <w:jc w:val="center"/>
              <w:rPr>
                <w:sz w:val="20"/>
                <w:szCs w:val="20"/>
              </w:rPr>
            </w:pPr>
          </w:p>
        </w:tc>
        <w:tc>
          <w:tcPr>
            <w:tcW w:w="2439" w:type="dxa"/>
            <w:gridSpan w:val="2"/>
            <w:tcBorders>
              <w:top w:val="single" w:sz="4" w:space="0" w:color="auto"/>
              <w:left w:val="nil"/>
              <w:bottom w:val="single" w:sz="4" w:space="0" w:color="auto"/>
              <w:right w:val="nil"/>
            </w:tcBorders>
          </w:tcPr>
          <w:p w14:paraId="0ACFB8E2" w14:textId="07C0F87A" w:rsidR="00091B2C" w:rsidRDefault="00091B2C" w:rsidP="0020119A">
            <w:pPr>
              <w:widowControl w:val="0"/>
              <w:autoSpaceDE w:val="0"/>
              <w:autoSpaceDN w:val="0"/>
              <w:adjustRightInd w:val="0"/>
              <w:jc w:val="center"/>
              <w:rPr>
                <w:sz w:val="20"/>
                <w:szCs w:val="20"/>
              </w:rPr>
            </w:pPr>
            <w:r>
              <w:rPr>
                <w:sz w:val="20"/>
                <w:szCs w:val="20"/>
              </w:rPr>
              <w:t>Mixed Logit</w:t>
            </w:r>
          </w:p>
        </w:tc>
      </w:tr>
      <w:tr w:rsidR="00091B2C" w:rsidRPr="005E1E85" w14:paraId="32B32A8A" w14:textId="5DF46BF9" w:rsidTr="00515E1E">
        <w:trPr>
          <w:jc w:val="center"/>
        </w:trPr>
        <w:tc>
          <w:tcPr>
            <w:tcW w:w="4186" w:type="dxa"/>
            <w:tcBorders>
              <w:left w:val="nil"/>
              <w:right w:val="nil"/>
            </w:tcBorders>
          </w:tcPr>
          <w:p w14:paraId="712DBE23" w14:textId="77777777" w:rsidR="00091B2C" w:rsidRPr="005E1E85" w:rsidRDefault="00091B2C" w:rsidP="0020119A">
            <w:pPr>
              <w:widowControl w:val="0"/>
              <w:autoSpaceDE w:val="0"/>
              <w:autoSpaceDN w:val="0"/>
              <w:adjustRightInd w:val="0"/>
              <w:rPr>
                <w:sz w:val="20"/>
                <w:szCs w:val="20"/>
              </w:rPr>
            </w:pPr>
          </w:p>
        </w:tc>
        <w:tc>
          <w:tcPr>
            <w:tcW w:w="305" w:type="dxa"/>
            <w:tcBorders>
              <w:left w:val="nil"/>
              <w:bottom w:val="nil"/>
              <w:right w:val="nil"/>
            </w:tcBorders>
          </w:tcPr>
          <w:p w14:paraId="2E6A112D" w14:textId="77777777" w:rsidR="00091B2C" w:rsidRPr="005E1E85" w:rsidRDefault="00091B2C" w:rsidP="0020119A">
            <w:pPr>
              <w:widowControl w:val="0"/>
              <w:autoSpaceDE w:val="0"/>
              <w:autoSpaceDN w:val="0"/>
              <w:adjustRightInd w:val="0"/>
              <w:jc w:val="center"/>
              <w:rPr>
                <w:sz w:val="20"/>
                <w:szCs w:val="20"/>
              </w:rPr>
            </w:pPr>
          </w:p>
        </w:tc>
        <w:tc>
          <w:tcPr>
            <w:tcW w:w="1269" w:type="dxa"/>
            <w:tcBorders>
              <w:top w:val="single" w:sz="4" w:space="0" w:color="auto"/>
              <w:left w:val="nil"/>
              <w:bottom w:val="nil"/>
              <w:right w:val="nil"/>
            </w:tcBorders>
          </w:tcPr>
          <w:p w14:paraId="6FC52CF9" w14:textId="5A081A11" w:rsidR="00091B2C" w:rsidRPr="005E1E85" w:rsidRDefault="00091B2C" w:rsidP="0020119A">
            <w:pPr>
              <w:widowControl w:val="0"/>
              <w:autoSpaceDE w:val="0"/>
              <w:autoSpaceDN w:val="0"/>
              <w:adjustRightInd w:val="0"/>
              <w:jc w:val="center"/>
              <w:rPr>
                <w:sz w:val="20"/>
                <w:szCs w:val="20"/>
              </w:rPr>
            </w:pPr>
            <w:r>
              <w:rPr>
                <w:sz w:val="20"/>
                <w:szCs w:val="20"/>
              </w:rPr>
              <w:t>(</w:t>
            </w:r>
            <w:r w:rsidR="00515E1E">
              <w:rPr>
                <w:sz w:val="20"/>
                <w:szCs w:val="20"/>
              </w:rPr>
              <w:t>1</w:t>
            </w:r>
            <w:r>
              <w:rPr>
                <w:sz w:val="20"/>
                <w:szCs w:val="20"/>
              </w:rPr>
              <w:t>)</w:t>
            </w:r>
          </w:p>
        </w:tc>
        <w:tc>
          <w:tcPr>
            <w:tcW w:w="1170" w:type="dxa"/>
            <w:tcBorders>
              <w:top w:val="single" w:sz="4" w:space="0" w:color="auto"/>
              <w:left w:val="nil"/>
              <w:bottom w:val="nil"/>
              <w:right w:val="nil"/>
            </w:tcBorders>
          </w:tcPr>
          <w:p w14:paraId="04DF204E" w14:textId="03DCF10B" w:rsidR="00091B2C" w:rsidRPr="005E1E85" w:rsidRDefault="00091B2C" w:rsidP="0020119A">
            <w:pPr>
              <w:widowControl w:val="0"/>
              <w:autoSpaceDE w:val="0"/>
              <w:autoSpaceDN w:val="0"/>
              <w:adjustRightInd w:val="0"/>
              <w:jc w:val="center"/>
              <w:rPr>
                <w:sz w:val="20"/>
                <w:szCs w:val="20"/>
              </w:rPr>
            </w:pPr>
            <w:r>
              <w:rPr>
                <w:sz w:val="20"/>
                <w:szCs w:val="20"/>
              </w:rPr>
              <w:t>(</w:t>
            </w:r>
            <w:r w:rsidR="00515E1E">
              <w:rPr>
                <w:sz w:val="20"/>
                <w:szCs w:val="20"/>
              </w:rPr>
              <w:t>2</w:t>
            </w:r>
            <w:r>
              <w:rPr>
                <w:sz w:val="20"/>
                <w:szCs w:val="20"/>
              </w:rPr>
              <w:t>)</w:t>
            </w:r>
          </w:p>
        </w:tc>
      </w:tr>
      <w:tr w:rsidR="00091B2C" w:rsidRPr="005E1E85" w14:paraId="26E5B713" w14:textId="7EE6F293" w:rsidTr="00515E1E">
        <w:trPr>
          <w:jc w:val="center"/>
        </w:trPr>
        <w:tc>
          <w:tcPr>
            <w:tcW w:w="4186" w:type="dxa"/>
            <w:tcBorders>
              <w:left w:val="nil"/>
              <w:bottom w:val="nil"/>
              <w:right w:val="nil"/>
            </w:tcBorders>
          </w:tcPr>
          <w:p w14:paraId="1E73C372" w14:textId="77777777" w:rsidR="00091B2C" w:rsidRPr="005E1E85" w:rsidRDefault="00091B2C" w:rsidP="0020119A">
            <w:pPr>
              <w:widowControl w:val="0"/>
              <w:autoSpaceDE w:val="0"/>
              <w:autoSpaceDN w:val="0"/>
              <w:adjustRightInd w:val="0"/>
              <w:rPr>
                <w:sz w:val="20"/>
                <w:szCs w:val="20"/>
              </w:rPr>
            </w:pPr>
          </w:p>
        </w:tc>
        <w:tc>
          <w:tcPr>
            <w:tcW w:w="305" w:type="dxa"/>
            <w:tcBorders>
              <w:top w:val="nil"/>
              <w:left w:val="nil"/>
              <w:bottom w:val="nil"/>
              <w:right w:val="nil"/>
            </w:tcBorders>
          </w:tcPr>
          <w:p w14:paraId="47156570" w14:textId="77777777" w:rsidR="00091B2C" w:rsidRPr="005E1E85" w:rsidRDefault="00091B2C" w:rsidP="0020119A">
            <w:pPr>
              <w:widowControl w:val="0"/>
              <w:autoSpaceDE w:val="0"/>
              <w:autoSpaceDN w:val="0"/>
              <w:adjustRightInd w:val="0"/>
              <w:jc w:val="center"/>
              <w:rPr>
                <w:sz w:val="20"/>
                <w:szCs w:val="20"/>
              </w:rPr>
            </w:pPr>
          </w:p>
        </w:tc>
        <w:tc>
          <w:tcPr>
            <w:tcW w:w="1269" w:type="dxa"/>
            <w:tcBorders>
              <w:top w:val="nil"/>
              <w:left w:val="nil"/>
              <w:bottom w:val="nil"/>
              <w:right w:val="nil"/>
            </w:tcBorders>
          </w:tcPr>
          <w:p w14:paraId="1C453962" w14:textId="23272A05" w:rsidR="00091B2C" w:rsidRPr="005E1E85" w:rsidRDefault="00091B2C" w:rsidP="0020119A">
            <w:pPr>
              <w:widowControl w:val="0"/>
              <w:autoSpaceDE w:val="0"/>
              <w:autoSpaceDN w:val="0"/>
              <w:adjustRightInd w:val="0"/>
              <w:jc w:val="center"/>
              <w:rPr>
                <w:sz w:val="20"/>
                <w:szCs w:val="20"/>
              </w:rPr>
            </w:pPr>
            <w:r>
              <w:rPr>
                <w:sz w:val="20"/>
                <w:szCs w:val="20"/>
              </w:rPr>
              <w:t>Mean of</w:t>
            </w:r>
          </w:p>
        </w:tc>
        <w:tc>
          <w:tcPr>
            <w:tcW w:w="1170" w:type="dxa"/>
            <w:tcBorders>
              <w:top w:val="nil"/>
              <w:left w:val="nil"/>
              <w:bottom w:val="nil"/>
              <w:right w:val="nil"/>
            </w:tcBorders>
          </w:tcPr>
          <w:p w14:paraId="7CF4F1FA" w14:textId="70E78438" w:rsidR="00091B2C" w:rsidRPr="005E1E85" w:rsidRDefault="00091B2C" w:rsidP="0020119A">
            <w:pPr>
              <w:widowControl w:val="0"/>
              <w:autoSpaceDE w:val="0"/>
              <w:autoSpaceDN w:val="0"/>
              <w:adjustRightInd w:val="0"/>
              <w:jc w:val="center"/>
              <w:rPr>
                <w:sz w:val="20"/>
                <w:szCs w:val="20"/>
              </w:rPr>
            </w:pPr>
            <w:r>
              <w:rPr>
                <w:sz w:val="20"/>
                <w:szCs w:val="20"/>
              </w:rPr>
              <w:t>Std. Dev.</w:t>
            </w:r>
          </w:p>
        </w:tc>
      </w:tr>
      <w:tr w:rsidR="00091B2C" w:rsidRPr="005E1E85" w14:paraId="4940DFAF" w14:textId="5BF3F855" w:rsidTr="00515E1E">
        <w:trPr>
          <w:jc w:val="center"/>
        </w:trPr>
        <w:tc>
          <w:tcPr>
            <w:tcW w:w="4186" w:type="dxa"/>
            <w:tcBorders>
              <w:top w:val="nil"/>
              <w:left w:val="nil"/>
              <w:bottom w:val="single" w:sz="6" w:space="0" w:color="auto"/>
              <w:right w:val="nil"/>
            </w:tcBorders>
          </w:tcPr>
          <w:p w14:paraId="55AD0FEB" w14:textId="77777777" w:rsidR="00091B2C" w:rsidRPr="005E1E85" w:rsidRDefault="00091B2C" w:rsidP="0020119A">
            <w:pPr>
              <w:widowControl w:val="0"/>
              <w:autoSpaceDE w:val="0"/>
              <w:autoSpaceDN w:val="0"/>
              <w:adjustRightInd w:val="0"/>
              <w:rPr>
                <w:sz w:val="20"/>
                <w:szCs w:val="20"/>
              </w:rPr>
            </w:pPr>
            <w:r w:rsidRPr="005E1E85">
              <w:rPr>
                <w:sz w:val="20"/>
                <w:szCs w:val="20"/>
              </w:rPr>
              <w:t>VARIABLES</w:t>
            </w:r>
          </w:p>
        </w:tc>
        <w:tc>
          <w:tcPr>
            <w:tcW w:w="305" w:type="dxa"/>
            <w:tcBorders>
              <w:top w:val="nil"/>
              <w:left w:val="nil"/>
              <w:bottom w:val="single" w:sz="6" w:space="0" w:color="auto"/>
              <w:right w:val="nil"/>
            </w:tcBorders>
          </w:tcPr>
          <w:p w14:paraId="53819A5E" w14:textId="77777777" w:rsidR="00091B2C" w:rsidRPr="005E1E85" w:rsidRDefault="00091B2C" w:rsidP="0020119A">
            <w:pPr>
              <w:widowControl w:val="0"/>
              <w:autoSpaceDE w:val="0"/>
              <w:autoSpaceDN w:val="0"/>
              <w:adjustRightInd w:val="0"/>
              <w:jc w:val="center"/>
              <w:rPr>
                <w:sz w:val="20"/>
                <w:szCs w:val="20"/>
              </w:rPr>
            </w:pPr>
          </w:p>
        </w:tc>
        <w:tc>
          <w:tcPr>
            <w:tcW w:w="1269" w:type="dxa"/>
            <w:tcBorders>
              <w:top w:val="nil"/>
              <w:left w:val="nil"/>
              <w:bottom w:val="single" w:sz="6" w:space="0" w:color="auto"/>
              <w:right w:val="nil"/>
            </w:tcBorders>
          </w:tcPr>
          <w:p w14:paraId="5D50D8D4" w14:textId="736FC59C" w:rsidR="00091B2C" w:rsidRPr="005E1E85" w:rsidRDefault="00091B2C" w:rsidP="0020119A">
            <w:pPr>
              <w:widowControl w:val="0"/>
              <w:autoSpaceDE w:val="0"/>
              <w:autoSpaceDN w:val="0"/>
              <w:adjustRightInd w:val="0"/>
              <w:jc w:val="center"/>
              <w:rPr>
                <w:sz w:val="20"/>
                <w:szCs w:val="20"/>
              </w:rPr>
            </w:pPr>
            <w:r>
              <w:rPr>
                <w:sz w:val="20"/>
                <w:szCs w:val="20"/>
              </w:rPr>
              <w:t>coefficient</w:t>
            </w:r>
          </w:p>
        </w:tc>
        <w:tc>
          <w:tcPr>
            <w:tcW w:w="1170" w:type="dxa"/>
            <w:tcBorders>
              <w:top w:val="nil"/>
              <w:left w:val="nil"/>
              <w:bottom w:val="single" w:sz="6" w:space="0" w:color="auto"/>
              <w:right w:val="nil"/>
            </w:tcBorders>
          </w:tcPr>
          <w:p w14:paraId="398AC01A" w14:textId="7A928335" w:rsidR="00091B2C" w:rsidRDefault="00091B2C" w:rsidP="0020119A">
            <w:pPr>
              <w:widowControl w:val="0"/>
              <w:autoSpaceDE w:val="0"/>
              <w:autoSpaceDN w:val="0"/>
              <w:adjustRightInd w:val="0"/>
              <w:jc w:val="center"/>
              <w:rPr>
                <w:sz w:val="20"/>
                <w:szCs w:val="20"/>
              </w:rPr>
            </w:pPr>
            <w:r>
              <w:rPr>
                <w:sz w:val="20"/>
                <w:szCs w:val="20"/>
              </w:rPr>
              <w:t>Of coeff.</w:t>
            </w:r>
          </w:p>
        </w:tc>
      </w:tr>
      <w:tr w:rsidR="00091B2C" w:rsidRPr="005E1E85" w14:paraId="73848FF6" w14:textId="1AF87C84" w:rsidTr="00515E1E">
        <w:trPr>
          <w:jc w:val="center"/>
        </w:trPr>
        <w:tc>
          <w:tcPr>
            <w:tcW w:w="4186" w:type="dxa"/>
            <w:tcBorders>
              <w:top w:val="nil"/>
              <w:left w:val="nil"/>
              <w:bottom w:val="nil"/>
              <w:right w:val="nil"/>
            </w:tcBorders>
          </w:tcPr>
          <w:p w14:paraId="58D223D3" w14:textId="0043FCFD" w:rsidR="00091B2C" w:rsidRPr="005E1E85" w:rsidRDefault="00091B2C" w:rsidP="0020119A">
            <w:pPr>
              <w:widowControl w:val="0"/>
              <w:autoSpaceDE w:val="0"/>
              <w:autoSpaceDN w:val="0"/>
              <w:adjustRightInd w:val="0"/>
              <w:rPr>
                <w:sz w:val="20"/>
                <w:szCs w:val="20"/>
              </w:rPr>
            </w:pPr>
          </w:p>
        </w:tc>
        <w:tc>
          <w:tcPr>
            <w:tcW w:w="305" w:type="dxa"/>
            <w:tcBorders>
              <w:top w:val="nil"/>
              <w:left w:val="nil"/>
              <w:bottom w:val="nil"/>
              <w:right w:val="nil"/>
            </w:tcBorders>
          </w:tcPr>
          <w:p w14:paraId="1887BCFB" w14:textId="77777777" w:rsidR="00091B2C" w:rsidRPr="005E1E85" w:rsidRDefault="00091B2C" w:rsidP="0020119A">
            <w:pPr>
              <w:widowControl w:val="0"/>
              <w:autoSpaceDE w:val="0"/>
              <w:autoSpaceDN w:val="0"/>
              <w:adjustRightInd w:val="0"/>
              <w:jc w:val="center"/>
              <w:rPr>
                <w:sz w:val="20"/>
                <w:szCs w:val="20"/>
              </w:rPr>
            </w:pPr>
          </w:p>
        </w:tc>
        <w:tc>
          <w:tcPr>
            <w:tcW w:w="1269" w:type="dxa"/>
            <w:tcBorders>
              <w:top w:val="nil"/>
              <w:left w:val="nil"/>
              <w:bottom w:val="nil"/>
              <w:right w:val="nil"/>
            </w:tcBorders>
          </w:tcPr>
          <w:p w14:paraId="35F0DF6C" w14:textId="77777777" w:rsidR="00091B2C" w:rsidRPr="005E1E85" w:rsidRDefault="00091B2C" w:rsidP="0020119A">
            <w:pPr>
              <w:widowControl w:val="0"/>
              <w:autoSpaceDE w:val="0"/>
              <w:autoSpaceDN w:val="0"/>
              <w:adjustRightInd w:val="0"/>
              <w:jc w:val="center"/>
              <w:rPr>
                <w:sz w:val="20"/>
                <w:szCs w:val="20"/>
              </w:rPr>
            </w:pPr>
          </w:p>
        </w:tc>
        <w:tc>
          <w:tcPr>
            <w:tcW w:w="1170" w:type="dxa"/>
            <w:tcBorders>
              <w:top w:val="nil"/>
              <w:left w:val="nil"/>
              <w:bottom w:val="nil"/>
              <w:right w:val="nil"/>
            </w:tcBorders>
          </w:tcPr>
          <w:p w14:paraId="49CD89FA" w14:textId="77777777" w:rsidR="00091B2C" w:rsidRPr="005E1E85" w:rsidRDefault="00091B2C" w:rsidP="0020119A">
            <w:pPr>
              <w:widowControl w:val="0"/>
              <w:autoSpaceDE w:val="0"/>
              <w:autoSpaceDN w:val="0"/>
              <w:adjustRightInd w:val="0"/>
              <w:jc w:val="center"/>
              <w:rPr>
                <w:sz w:val="20"/>
                <w:szCs w:val="20"/>
              </w:rPr>
            </w:pPr>
          </w:p>
        </w:tc>
      </w:tr>
      <w:tr w:rsidR="00515E1E" w:rsidRPr="005E1E85" w14:paraId="7F99771D" w14:textId="6D33143C" w:rsidTr="00515E1E">
        <w:trPr>
          <w:jc w:val="center"/>
        </w:trPr>
        <w:tc>
          <w:tcPr>
            <w:tcW w:w="4186" w:type="dxa"/>
            <w:tcBorders>
              <w:top w:val="nil"/>
              <w:left w:val="nil"/>
              <w:bottom w:val="nil"/>
              <w:right w:val="nil"/>
            </w:tcBorders>
          </w:tcPr>
          <w:p w14:paraId="3F93D84A" w14:textId="568E45BC" w:rsidR="00515E1E" w:rsidRPr="005E1E85" w:rsidRDefault="00515E1E" w:rsidP="00515E1E">
            <w:pPr>
              <w:widowControl w:val="0"/>
              <w:autoSpaceDE w:val="0"/>
              <w:autoSpaceDN w:val="0"/>
              <w:adjustRightInd w:val="0"/>
              <w:rPr>
                <w:sz w:val="20"/>
                <w:szCs w:val="20"/>
              </w:rPr>
            </w:pPr>
            <w:r>
              <w:rPr>
                <w:color w:val="000000"/>
                <w:kern w:val="24"/>
                <w:sz w:val="20"/>
                <w:szCs w:val="20"/>
                <w:lang w:eastAsia="en-GB"/>
              </w:rPr>
              <w:t>IPR protection</w:t>
            </w:r>
          </w:p>
        </w:tc>
        <w:tc>
          <w:tcPr>
            <w:tcW w:w="305" w:type="dxa"/>
            <w:tcBorders>
              <w:top w:val="nil"/>
              <w:left w:val="nil"/>
              <w:bottom w:val="nil"/>
              <w:right w:val="nil"/>
            </w:tcBorders>
          </w:tcPr>
          <w:p w14:paraId="345AA6A6"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50BD342E" w14:textId="4F185C24" w:rsidR="00515E1E" w:rsidRPr="005E1E85" w:rsidRDefault="00515E1E" w:rsidP="00515E1E">
            <w:pPr>
              <w:widowControl w:val="0"/>
              <w:autoSpaceDE w:val="0"/>
              <w:autoSpaceDN w:val="0"/>
              <w:adjustRightInd w:val="0"/>
              <w:jc w:val="center"/>
              <w:rPr>
                <w:sz w:val="20"/>
                <w:szCs w:val="20"/>
              </w:rPr>
            </w:pPr>
            <w:r w:rsidRPr="001A5054">
              <w:rPr>
                <w:sz w:val="20"/>
                <w:szCs w:val="20"/>
              </w:rPr>
              <w:t>0.005</w:t>
            </w:r>
          </w:p>
        </w:tc>
        <w:tc>
          <w:tcPr>
            <w:tcW w:w="1170" w:type="dxa"/>
            <w:tcBorders>
              <w:top w:val="nil"/>
              <w:left w:val="nil"/>
              <w:bottom w:val="nil"/>
              <w:right w:val="nil"/>
            </w:tcBorders>
          </w:tcPr>
          <w:p w14:paraId="5B9C2886"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02E56AC6" w14:textId="10CB77B9" w:rsidTr="00515E1E">
        <w:trPr>
          <w:jc w:val="center"/>
        </w:trPr>
        <w:tc>
          <w:tcPr>
            <w:tcW w:w="4186" w:type="dxa"/>
            <w:tcBorders>
              <w:top w:val="nil"/>
              <w:left w:val="nil"/>
              <w:bottom w:val="nil"/>
              <w:right w:val="nil"/>
            </w:tcBorders>
          </w:tcPr>
          <w:p w14:paraId="3D7B9B4E"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71B31568"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4042C395" w14:textId="30C9F46A" w:rsidR="00515E1E" w:rsidRPr="005E1E85" w:rsidRDefault="00515E1E" w:rsidP="00515E1E">
            <w:pPr>
              <w:widowControl w:val="0"/>
              <w:autoSpaceDE w:val="0"/>
              <w:autoSpaceDN w:val="0"/>
              <w:adjustRightInd w:val="0"/>
              <w:jc w:val="center"/>
              <w:rPr>
                <w:sz w:val="20"/>
                <w:szCs w:val="20"/>
              </w:rPr>
            </w:pPr>
            <w:r w:rsidRPr="001A5054">
              <w:rPr>
                <w:sz w:val="20"/>
                <w:szCs w:val="20"/>
              </w:rPr>
              <w:t>(0.001)</w:t>
            </w:r>
          </w:p>
        </w:tc>
        <w:tc>
          <w:tcPr>
            <w:tcW w:w="1170" w:type="dxa"/>
            <w:tcBorders>
              <w:top w:val="nil"/>
              <w:left w:val="nil"/>
              <w:bottom w:val="nil"/>
              <w:right w:val="nil"/>
            </w:tcBorders>
          </w:tcPr>
          <w:p w14:paraId="68BC9BEB"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4BCC5071" w14:textId="26B66A8D" w:rsidTr="00515E1E">
        <w:trPr>
          <w:jc w:val="center"/>
        </w:trPr>
        <w:tc>
          <w:tcPr>
            <w:tcW w:w="4186" w:type="dxa"/>
            <w:tcBorders>
              <w:top w:val="nil"/>
              <w:left w:val="nil"/>
              <w:bottom w:val="nil"/>
              <w:right w:val="nil"/>
            </w:tcBorders>
          </w:tcPr>
          <w:p w14:paraId="363DEF45" w14:textId="2B162633" w:rsidR="00515E1E" w:rsidRPr="005E1E85" w:rsidRDefault="00515E1E" w:rsidP="00515E1E">
            <w:pPr>
              <w:widowControl w:val="0"/>
              <w:autoSpaceDE w:val="0"/>
              <w:autoSpaceDN w:val="0"/>
              <w:adjustRightInd w:val="0"/>
              <w:rPr>
                <w:sz w:val="20"/>
                <w:szCs w:val="20"/>
              </w:rPr>
            </w:pPr>
            <w:r>
              <w:rPr>
                <w:color w:val="000000"/>
                <w:kern w:val="24"/>
                <w:sz w:val="20"/>
                <w:szCs w:val="20"/>
                <w:lang w:eastAsia="en-GB"/>
              </w:rPr>
              <w:t>Distance</w:t>
            </w:r>
          </w:p>
        </w:tc>
        <w:tc>
          <w:tcPr>
            <w:tcW w:w="305" w:type="dxa"/>
            <w:tcBorders>
              <w:top w:val="nil"/>
              <w:left w:val="nil"/>
              <w:bottom w:val="nil"/>
              <w:right w:val="nil"/>
            </w:tcBorders>
          </w:tcPr>
          <w:p w14:paraId="5711D2D9"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6C7F1EF3" w14:textId="7493AE83" w:rsidR="00515E1E" w:rsidRPr="005E1E85" w:rsidRDefault="00515E1E" w:rsidP="00515E1E">
            <w:pPr>
              <w:widowControl w:val="0"/>
              <w:autoSpaceDE w:val="0"/>
              <w:autoSpaceDN w:val="0"/>
              <w:adjustRightInd w:val="0"/>
              <w:jc w:val="center"/>
              <w:rPr>
                <w:sz w:val="20"/>
                <w:szCs w:val="20"/>
              </w:rPr>
            </w:pPr>
            <w:r w:rsidRPr="001A5054">
              <w:rPr>
                <w:sz w:val="20"/>
                <w:szCs w:val="20"/>
              </w:rPr>
              <w:t>-0.295</w:t>
            </w:r>
          </w:p>
        </w:tc>
        <w:tc>
          <w:tcPr>
            <w:tcW w:w="1170" w:type="dxa"/>
            <w:tcBorders>
              <w:top w:val="nil"/>
              <w:left w:val="nil"/>
              <w:bottom w:val="nil"/>
              <w:right w:val="nil"/>
            </w:tcBorders>
          </w:tcPr>
          <w:p w14:paraId="3F227771"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05802593" w14:textId="284D0A30" w:rsidTr="00515E1E">
        <w:trPr>
          <w:jc w:val="center"/>
        </w:trPr>
        <w:tc>
          <w:tcPr>
            <w:tcW w:w="4186" w:type="dxa"/>
            <w:tcBorders>
              <w:top w:val="nil"/>
              <w:left w:val="nil"/>
              <w:bottom w:val="nil"/>
              <w:right w:val="nil"/>
            </w:tcBorders>
          </w:tcPr>
          <w:p w14:paraId="7836D7CC"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6BD106CE"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3CE5CEE1" w14:textId="2AFC1575" w:rsidR="00515E1E" w:rsidRPr="005E1E85" w:rsidRDefault="00515E1E" w:rsidP="00515E1E">
            <w:pPr>
              <w:widowControl w:val="0"/>
              <w:autoSpaceDE w:val="0"/>
              <w:autoSpaceDN w:val="0"/>
              <w:adjustRightInd w:val="0"/>
              <w:jc w:val="center"/>
              <w:rPr>
                <w:sz w:val="20"/>
                <w:szCs w:val="20"/>
              </w:rPr>
            </w:pPr>
            <w:r w:rsidRPr="001A5054">
              <w:rPr>
                <w:sz w:val="20"/>
                <w:szCs w:val="20"/>
              </w:rPr>
              <w:t>(0.008)</w:t>
            </w:r>
          </w:p>
        </w:tc>
        <w:tc>
          <w:tcPr>
            <w:tcW w:w="1170" w:type="dxa"/>
            <w:tcBorders>
              <w:top w:val="nil"/>
              <w:left w:val="nil"/>
              <w:bottom w:val="nil"/>
              <w:right w:val="nil"/>
            </w:tcBorders>
          </w:tcPr>
          <w:p w14:paraId="2E8C88A3"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0BAA13A9" w14:textId="6062ADB4" w:rsidTr="00515E1E">
        <w:trPr>
          <w:jc w:val="center"/>
        </w:trPr>
        <w:tc>
          <w:tcPr>
            <w:tcW w:w="4186" w:type="dxa"/>
            <w:tcBorders>
              <w:top w:val="nil"/>
              <w:left w:val="nil"/>
              <w:bottom w:val="nil"/>
              <w:right w:val="nil"/>
            </w:tcBorders>
          </w:tcPr>
          <w:p w14:paraId="202E2D9B" w14:textId="3C73000A" w:rsidR="00515E1E" w:rsidRPr="005E1E85" w:rsidRDefault="00515E1E" w:rsidP="00515E1E">
            <w:pPr>
              <w:widowControl w:val="0"/>
              <w:autoSpaceDE w:val="0"/>
              <w:autoSpaceDN w:val="0"/>
              <w:adjustRightInd w:val="0"/>
              <w:rPr>
                <w:sz w:val="20"/>
                <w:szCs w:val="20"/>
              </w:rPr>
            </w:pPr>
            <w:r w:rsidRPr="005E1E85">
              <w:rPr>
                <w:color w:val="000000"/>
                <w:kern w:val="24"/>
                <w:sz w:val="20"/>
                <w:szCs w:val="20"/>
                <w:lang w:eastAsia="en-GB"/>
              </w:rPr>
              <w:t>Foreign-born population</w:t>
            </w:r>
          </w:p>
        </w:tc>
        <w:tc>
          <w:tcPr>
            <w:tcW w:w="305" w:type="dxa"/>
            <w:tcBorders>
              <w:top w:val="nil"/>
              <w:left w:val="nil"/>
              <w:bottom w:val="nil"/>
              <w:right w:val="nil"/>
            </w:tcBorders>
          </w:tcPr>
          <w:p w14:paraId="6F424EC6"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0F691254" w14:textId="609AC4D5" w:rsidR="00515E1E" w:rsidRPr="005E1E85" w:rsidRDefault="00515E1E" w:rsidP="00515E1E">
            <w:pPr>
              <w:widowControl w:val="0"/>
              <w:autoSpaceDE w:val="0"/>
              <w:autoSpaceDN w:val="0"/>
              <w:adjustRightInd w:val="0"/>
              <w:jc w:val="center"/>
              <w:rPr>
                <w:sz w:val="20"/>
                <w:szCs w:val="20"/>
              </w:rPr>
            </w:pPr>
            <w:r w:rsidRPr="001A5054">
              <w:rPr>
                <w:sz w:val="20"/>
                <w:szCs w:val="20"/>
              </w:rPr>
              <w:t>0.244</w:t>
            </w:r>
          </w:p>
        </w:tc>
        <w:tc>
          <w:tcPr>
            <w:tcW w:w="1170" w:type="dxa"/>
            <w:tcBorders>
              <w:top w:val="nil"/>
              <w:left w:val="nil"/>
              <w:bottom w:val="nil"/>
              <w:right w:val="nil"/>
            </w:tcBorders>
          </w:tcPr>
          <w:p w14:paraId="44AEC016"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752CBF17" w14:textId="7F0BE2D5" w:rsidTr="00515E1E">
        <w:trPr>
          <w:jc w:val="center"/>
        </w:trPr>
        <w:tc>
          <w:tcPr>
            <w:tcW w:w="4186" w:type="dxa"/>
            <w:tcBorders>
              <w:top w:val="nil"/>
              <w:left w:val="nil"/>
              <w:bottom w:val="nil"/>
              <w:right w:val="nil"/>
            </w:tcBorders>
          </w:tcPr>
          <w:p w14:paraId="16C101E1"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4EBA0FCB"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511DC51F" w14:textId="7949103F" w:rsidR="00515E1E" w:rsidRPr="005E1E85" w:rsidRDefault="00515E1E" w:rsidP="00515E1E">
            <w:pPr>
              <w:widowControl w:val="0"/>
              <w:autoSpaceDE w:val="0"/>
              <w:autoSpaceDN w:val="0"/>
              <w:adjustRightInd w:val="0"/>
              <w:jc w:val="center"/>
              <w:rPr>
                <w:sz w:val="20"/>
                <w:szCs w:val="20"/>
              </w:rPr>
            </w:pPr>
            <w:r w:rsidRPr="001A5054">
              <w:rPr>
                <w:sz w:val="20"/>
                <w:szCs w:val="20"/>
              </w:rPr>
              <w:t>(0.010)</w:t>
            </w:r>
          </w:p>
        </w:tc>
        <w:tc>
          <w:tcPr>
            <w:tcW w:w="1170" w:type="dxa"/>
            <w:tcBorders>
              <w:top w:val="nil"/>
              <w:left w:val="nil"/>
              <w:bottom w:val="nil"/>
              <w:right w:val="nil"/>
            </w:tcBorders>
          </w:tcPr>
          <w:p w14:paraId="0609F33A"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2297966A" w14:textId="46C4B6A3" w:rsidTr="00515E1E">
        <w:trPr>
          <w:jc w:val="center"/>
        </w:trPr>
        <w:tc>
          <w:tcPr>
            <w:tcW w:w="4186" w:type="dxa"/>
            <w:tcBorders>
              <w:top w:val="nil"/>
              <w:left w:val="nil"/>
              <w:bottom w:val="nil"/>
              <w:right w:val="nil"/>
            </w:tcBorders>
          </w:tcPr>
          <w:p w14:paraId="50ABDA5A" w14:textId="22D56072" w:rsidR="00515E1E" w:rsidRPr="005E1E85" w:rsidRDefault="00515E1E" w:rsidP="00515E1E">
            <w:pPr>
              <w:widowControl w:val="0"/>
              <w:autoSpaceDE w:val="0"/>
              <w:autoSpaceDN w:val="0"/>
              <w:adjustRightInd w:val="0"/>
              <w:rPr>
                <w:sz w:val="20"/>
                <w:szCs w:val="20"/>
              </w:rPr>
            </w:pPr>
            <w:r>
              <w:rPr>
                <w:sz w:val="20"/>
                <w:szCs w:val="20"/>
              </w:rPr>
              <w:t>Population</w:t>
            </w:r>
          </w:p>
        </w:tc>
        <w:tc>
          <w:tcPr>
            <w:tcW w:w="305" w:type="dxa"/>
            <w:tcBorders>
              <w:top w:val="nil"/>
              <w:left w:val="nil"/>
              <w:bottom w:val="nil"/>
              <w:right w:val="nil"/>
            </w:tcBorders>
          </w:tcPr>
          <w:p w14:paraId="42E653D0"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306C97BB" w14:textId="2C7E194A" w:rsidR="00515E1E" w:rsidRPr="005E1E85" w:rsidRDefault="00515E1E" w:rsidP="00515E1E">
            <w:pPr>
              <w:widowControl w:val="0"/>
              <w:autoSpaceDE w:val="0"/>
              <w:autoSpaceDN w:val="0"/>
              <w:adjustRightInd w:val="0"/>
              <w:jc w:val="center"/>
              <w:rPr>
                <w:sz w:val="20"/>
                <w:szCs w:val="20"/>
              </w:rPr>
            </w:pPr>
            <w:r w:rsidRPr="001A5054">
              <w:rPr>
                <w:sz w:val="20"/>
                <w:szCs w:val="20"/>
              </w:rPr>
              <w:t>0.819</w:t>
            </w:r>
          </w:p>
        </w:tc>
        <w:tc>
          <w:tcPr>
            <w:tcW w:w="1170" w:type="dxa"/>
            <w:tcBorders>
              <w:top w:val="nil"/>
              <w:left w:val="nil"/>
              <w:bottom w:val="nil"/>
              <w:right w:val="nil"/>
            </w:tcBorders>
          </w:tcPr>
          <w:p w14:paraId="039F5865"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79B17D1B" w14:textId="130ED19E" w:rsidTr="00515E1E">
        <w:trPr>
          <w:jc w:val="center"/>
        </w:trPr>
        <w:tc>
          <w:tcPr>
            <w:tcW w:w="4186" w:type="dxa"/>
            <w:tcBorders>
              <w:top w:val="nil"/>
              <w:left w:val="nil"/>
              <w:bottom w:val="nil"/>
              <w:right w:val="nil"/>
            </w:tcBorders>
          </w:tcPr>
          <w:p w14:paraId="2C721901"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01E21E00"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5F4C041B" w14:textId="63335534" w:rsidR="00515E1E" w:rsidRPr="005E1E85" w:rsidRDefault="00515E1E" w:rsidP="00515E1E">
            <w:pPr>
              <w:widowControl w:val="0"/>
              <w:autoSpaceDE w:val="0"/>
              <w:autoSpaceDN w:val="0"/>
              <w:adjustRightInd w:val="0"/>
              <w:jc w:val="center"/>
              <w:rPr>
                <w:sz w:val="20"/>
                <w:szCs w:val="20"/>
              </w:rPr>
            </w:pPr>
            <w:r w:rsidRPr="001A5054">
              <w:rPr>
                <w:sz w:val="20"/>
                <w:szCs w:val="20"/>
              </w:rPr>
              <w:t>(0.008)</w:t>
            </w:r>
          </w:p>
        </w:tc>
        <w:tc>
          <w:tcPr>
            <w:tcW w:w="1170" w:type="dxa"/>
            <w:tcBorders>
              <w:top w:val="nil"/>
              <w:left w:val="nil"/>
              <w:bottom w:val="nil"/>
              <w:right w:val="nil"/>
            </w:tcBorders>
          </w:tcPr>
          <w:p w14:paraId="3A8C5358"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34389D7A" w14:textId="0DD9A18E" w:rsidTr="00515E1E">
        <w:trPr>
          <w:jc w:val="center"/>
        </w:trPr>
        <w:tc>
          <w:tcPr>
            <w:tcW w:w="4186" w:type="dxa"/>
            <w:tcBorders>
              <w:top w:val="nil"/>
              <w:left w:val="nil"/>
              <w:bottom w:val="nil"/>
              <w:right w:val="nil"/>
            </w:tcBorders>
          </w:tcPr>
          <w:p w14:paraId="2CEFD0ED" w14:textId="7C9CF3A9" w:rsidR="00515E1E" w:rsidRPr="005E1E85" w:rsidRDefault="00515E1E" w:rsidP="00515E1E">
            <w:pPr>
              <w:widowControl w:val="0"/>
              <w:autoSpaceDE w:val="0"/>
              <w:autoSpaceDN w:val="0"/>
              <w:adjustRightInd w:val="0"/>
              <w:rPr>
                <w:sz w:val="20"/>
                <w:szCs w:val="20"/>
              </w:rPr>
            </w:pPr>
            <w:r w:rsidRPr="005E1E85">
              <w:rPr>
                <w:color w:val="000000"/>
                <w:kern w:val="24"/>
                <w:sz w:val="20"/>
                <w:szCs w:val="20"/>
                <w:lang w:eastAsia="en-GB"/>
              </w:rPr>
              <w:t>IPR  EE</w:t>
            </w:r>
          </w:p>
        </w:tc>
        <w:tc>
          <w:tcPr>
            <w:tcW w:w="305" w:type="dxa"/>
            <w:tcBorders>
              <w:top w:val="nil"/>
              <w:left w:val="nil"/>
              <w:bottom w:val="nil"/>
              <w:right w:val="nil"/>
            </w:tcBorders>
          </w:tcPr>
          <w:p w14:paraId="07B00EB9"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10A05774" w14:textId="2C3C9B0C" w:rsidR="00515E1E" w:rsidRPr="005E1E85" w:rsidRDefault="00515E1E" w:rsidP="00515E1E">
            <w:pPr>
              <w:widowControl w:val="0"/>
              <w:autoSpaceDE w:val="0"/>
              <w:autoSpaceDN w:val="0"/>
              <w:adjustRightInd w:val="0"/>
              <w:jc w:val="center"/>
              <w:rPr>
                <w:sz w:val="20"/>
                <w:szCs w:val="20"/>
              </w:rPr>
            </w:pPr>
            <w:r w:rsidRPr="001A5054">
              <w:rPr>
                <w:sz w:val="20"/>
                <w:szCs w:val="20"/>
              </w:rPr>
              <w:t>-0.005</w:t>
            </w:r>
          </w:p>
        </w:tc>
        <w:tc>
          <w:tcPr>
            <w:tcW w:w="1170" w:type="dxa"/>
            <w:tcBorders>
              <w:top w:val="nil"/>
              <w:left w:val="nil"/>
              <w:bottom w:val="nil"/>
              <w:right w:val="nil"/>
            </w:tcBorders>
          </w:tcPr>
          <w:p w14:paraId="71176E78"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62B72C2C" w14:textId="2AF5E00A" w:rsidTr="00515E1E">
        <w:trPr>
          <w:jc w:val="center"/>
        </w:trPr>
        <w:tc>
          <w:tcPr>
            <w:tcW w:w="4186" w:type="dxa"/>
            <w:tcBorders>
              <w:top w:val="nil"/>
              <w:left w:val="nil"/>
              <w:bottom w:val="nil"/>
              <w:right w:val="nil"/>
            </w:tcBorders>
          </w:tcPr>
          <w:p w14:paraId="7AFE3173"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6CA919AD"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46AAE867" w14:textId="37B5CC99" w:rsidR="00515E1E" w:rsidRPr="005E1E85" w:rsidRDefault="00515E1E" w:rsidP="00515E1E">
            <w:pPr>
              <w:widowControl w:val="0"/>
              <w:autoSpaceDE w:val="0"/>
              <w:autoSpaceDN w:val="0"/>
              <w:adjustRightInd w:val="0"/>
              <w:jc w:val="center"/>
              <w:rPr>
                <w:sz w:val="20"/>
                <w:szCs w:val="20"/>
              </w:rPr>
            </w:pPr>
            <w:r w:rsidRPr="001A5054">
              <w:rPr>
                <w:sz w:val="20"/>
                <w:szCs w:val="20"/>
              </w:rPr>
              <w:t>(0.001)</w:t>
            </w:r>
          </w:p>
        </w:tc>
        <w:tc>
          <w:tcPr>
            <w:tcW w:w="1170" w:type="dxa"/>
            <w:tcBorders>
              <w:top w:val="nil"/>
              <w:left w:val="nil"/>
              <w:bottom w:val="nil"/>
              <w:right w:val="nil"/>
            </w:tcBorders>
          </w:tcPr>
          <w:p w14:paraId="35A0AF95"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378CA220" w14:textId="707CB9B2" w:rsidTr="00515E1E">
        <w:trPr>
          <w:jc w:val="center"/>
        </w:trPr>
        <w:tc>
          <w:tcPr>
            <w:tcW w:w="4186" w:type="dxa"/>
            <w:tcBorders>
              <w:top w:val="nil"/>
              <w:left w:val="nil"/>
              <w:bottom w:val="nil"/>
              <w:right w:val="nil"/>
            </w:tcBorders>
          </w:tcPr>
          <w:p w14:paraId="282688F3" w14:textId="2C14F08E" w:rsidR="00515E1E" w:rsidRPr="005E1E85" w:rsidRDefault="00515E1E" w:rsidP="00515E1E">
            <w:pPr>
              <w:widowControl w:val="0"/>
              <w:autoSpaceDE w:val="0"/>
              <w:autoSpaceDN w:val="0"/>
              <w:adjustRightInd w:val="0"/>
              <w:rPr>
                <w:sz w:val="20"/>
                <w:szCs w:val="20"/>
              </w:rPr>
            </w:pPr>
            <w:r>
              <w:rPr>
                <w:color w:val="000000"/>
                <w:kern w:val="24"/>
                <w:sz w:val="20"/>
                <w:szCs w:val="20"/>
                <w:lang w:eastAsia="en-GB"/>
              </w:rPr>
              <w:t xml:space="preserve">Distance </w:t>
            </w:r>
            <w:r w:rsidRPr="005E1E85">
              <w:rPr>
                <w:color w:val="000000"/>
                <w:kern w:val="24"/>
                <w:sz w:val="20"/>
                <w:szCs w:val="20"/>
                <w:lang w:eastAsia="en-GB"/>
              </w:rPr>
              <w:t xml:space="preserve"> EE</w:t>
            </w:r>
          </w:p>
        </w:tc>
        <w:tc>
          <w:tcPr>
            <w:tcW w:w="305" w:type="dxa"/>
            <w:tcBorders>
              <w:top w:val="nil"/>
              <w:left w:val="nil"/>
              <w:bottom w:val="nil"/>
              <w:right w:val="nil"/>
            </w:tcBorders>
          </w:tcPr>
          <w:p w14:paraId="0E61010F"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67EDAB2F" w14:textId="3A5D3F38" w:rsidR="00515E1E" w:rsidRPr="005E1E85" w:rsidRDefault="00515E1E" w:rsidP="00515E1E">
            <w:pPr>
              <w:widowControl w:val="0"/>
              <w:autoSpaceDE w:val="0"/>
              <w:autoSpaceDN w:val="0"/>
              <w:adjustRightInd w:val="0"/>
              <w:jc w:val="center"/>
              <w:rPr>
                <w:sz w:val="20"/>
                <w:szCs w:val="20"/>
              </w:rPr>
            </w:pPr>
            <w:r w:rsidRPr="001A5054">
              <w:rPr>
                <w:sz w:val="20"/>
                <w:szCs w:val="20"/>
              </w:rPr>
              <w:t>-0.441</w:t>
            </w:r>
          </w:p>
        </w:tc>
        <w:tc>
          <w:tcPr>
            <w:tcW w:w="1170" w:type="dxa"/>
            <w:tcBorders>
              <w:top w:val="nil"/>
              <w:left w:val="nil"/>
              <w:bottom w:val="nil"/>
              <w:right w:val="nil"/>
            </w:tcBorders>
          </w:tcPr>
          <w:p w14:paraId="7BECE84F"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59A5D2E0" w14:textId="4A990846" w:rsidTr="00515E1E">
        <w:trPr>
          <w:jc w:val="center"/>
        </w:trPr>
        <w:tc>
          <w:tcPr>
            <w:tcW w:w="4186" w:type="dxa"/>
            <w:tcBorders>
              <w:top w:val="nil"/>
              <w:left w:val="nil"/>
              <w:bottom w:val="nil"/>
              <w:right w:val="nil"/>
            </w:tcBorders>
          </w:tcPr>
          <w:p w14:paraId="2934688A"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504593B0"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0B8EF483" w14:textId="6FC5FA7D" w:rsidR="00515E1E" w:rsidRPr="005E1E85" w:rsidRDefault="00515E1E" w:rsidP="00515E1E">
            <w:pPr>
              <w:widowControl w:val="0"/>
              <w:autoSpaceDE w:val="0"/>
              <w:autoSpaceDN w:val="0"/>
              <w:adjustRightInd w:val="0"/>
              <w:jc w:val="center"/>
              <w:rPr>
                <w:sz w:val="20"/>
                <w:szCs w:val="20"/>
              </w:rPr>
            </w:pPr>
            <w:r w:rsidRPr="001A5054">
              <w:rPr>
                <w:sz w:val="20"/>
                <w:szCs w:val="20"/>
              </w:rPr>
              <w:t>(0.041)</w:t>
            </w:r>
          </w:p>
        </w:tc>
        <w:tc>
          <w:tcPr>
            <w:tcW w:w="1170" w:type="dxa"/>
            <w:tcBorders>
              <w:top w:val="nil"/>
              <w:left w:val="nil"/>
              <w:bottom w:val="nil"/>
              <w:right w:val="nil"/>
            </w:tcBorders>
          </w:tcPr>
          <w:p w14:paraId="6BDF3CB8"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0057A8B4" w14:textId="6E295022" w:rsidTr="00515E1E">
        <w:trPr>
          <w:jc w:val="center"/>
        </w:trPr>
        <w:tc>
          <w:tcPr>
            <w:tcW w:w="4186" w:type="dxa"/>
            <w:tcBorders>
              <w:top w:val="nil"/>
              <w:left w:val="nil"/>
              <w:bottom w:val="nil"/>
              <w:right w:val="nil"/>
            </w:tcBorders>
          </w:tcPr>
          <w:p w14:paraId="4997D0F0" w14:textId="264F13B3" w:rsidR="00515E1E" w:rsidRPr="005E1E85" w:rsidRDefault="00515E1E" w:rsidP="00515E1E">
            <w:pPr>
              <w:widowControl w:val="0"/>
              <w:autoSpaceDE w:val="0"/>
              <w:autoSpaceDN w:val="0"/>
              <w:adjustRightInd w:val="0"/>
              <w:rPr>
                <w:sz w:val="20"/>
                <w:szCs w:val="20"/>
              </w:rPr>
            </w:pPr>
            <w:r w:rsidRPr="005E1E85">
              <w:rPr>
                <w:color w:val="000000"/>
                <w:kern w:val="24"/>
                <w:sz w:val="20"/>
                <w:szCs w:val="20"/>
                <w:lang w:eastAsia="en-GB"/>
              </w:rPr>
              <w:t>Foreign-born pop  EE</w:t>
            </w:r>
          </w:p>
        </w:tc>
        <w:tc>
          <w:tcPr>
            <w:tcW w:w="305" w:type="dxa"/>
            <w:tcBorders>
              <w:top w:val="nil"/>
              <w:left w:val="nil"/>
              <w:bottom w:val="nil"/>
              <w:right w:val="nil"/>
            </w:tcBorders>
          </w:tcPr>
          <w:p w14:paraId="5EC80447"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6A07A747" w14:textId="42B37106" w:rsidR="00515E1E" w:rsidRPr="005E1E85" w:rsidRDefault="00515E1E" w:rsidP="00515E1E">
            <w:pPr>
              <w:widowControl w:val="0"/>
              <w:autoSpaceDE w:val="0"/>
              <w:autoSpaceDN w:val="0"/>
              <w:adjustRightInd w:val="0"/>
              <w:jc w:val="center"/>
              <w:rPr>
                <w:sz w:val="20"/>
                <w:szCs w:val="20"/>
              </w:rPr>
            </w:pPr>
            <w:r w:rsidRPr="001A5054">
              <w:rPr>
                <w:sz w:val="20"/>
                <w:szCs w:val="20"/>
              </w:rPr>
              <w:t>0.298</w:t>
            </w:r>
          </w:p>
        </w:tc>
        <w:tc>
          <w:tcPr>
            <w:tcW w:w="1170" w:type="dxa"/>
            <w:tcBorders>
              <w:top w:val="nil"/>
              <w:left w:val="nil"/>
              <w:bottom w:val="nil"/>
              <w:right w:val="nil"/>
            </w:tcBorders>
          </w:tcPr>
          <w:p w14:paraId="41F41AC4"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1D9DD8A3" w14:textId="4CB3B921" w:rsidTr="00515E1E">
        <w:trPr>
          <w:jc w:val="center"/>
        </w:trPr>
        <w:tc>
          <w:tcPr>
            <w:tcW w:w="4186" w:type="dxa"/>
            <w:tcBorders>
              <w:top w:val="nil"/>
              <w:left w:val="nil"/>
              <w:bottom w:val="nil"/>
              <w:right w:val="nil"/>
            </w:tcBorders>
          </w:tcPr>
          <w:p w14:paraId="3DEFA821"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0514992B"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740EE0E4" w14:textId="1E39C8BB" w:rsidR="00515E1E" w:rsidRPr="005E1E85" w:rsidRDefault="00515E1E" w:rsidP="00515E1E">
            <w:pPr>
              <w:widowControl w:val="0"/>
              <w:autoSpaceDE w:val="0"/>
              <w:autoSpaceDN w:val="0"/>
              <w:adjustRightInd w:val="0"/>
              <w:jc w:val="center"/>
              <w:rPr>
                <w:sz w:val="20"/>
                <w:szCs w:val="20"/>
              </w:rPr>
            </w:pPr>
            <w:r w:rsidRPr="001A5054">
              <w:rPr>
                <w:sz w:val="20"/>
                <w:szCs w:val="20"/>
              </w:rPr>
              <w:t>(0.012)</w:t>
            </w:r>
          </w:p>
        </w:tc>
        <w:tc>
          <w:tcPr>
            <w:tcW w:w="1170" w:type="dxa"/>
            <w:tcBorders>
              <w:top w:val="nil"/>
              <w:left w:val="nil"/>
              <w:bottom w:val="nil"/>
              <w:right w:val="nil"/>
            </w:tcBorders>
          </w:tcPr>
          <w:p w14:paraId="25D1FE5B"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5F4C7F34" w14:textId="0417BAF6" w:rsidTr="00515E1E">
        <w:trPr>
          <w:jc w:val="center"/>
        </w:trPr>
        <w:tc>
          <w:tcPr>
            <w:tcW w:w="4186" w:type="dxa"/>
            <w:tcBorders>
              <w:top w:val="nil"/>
              <w:left w:val="nil"/>
              <w:bottom w:val="nil"/>
              <w:right w:val="nil"/>
            </w:tcBorders>
          </w:tcPr>
          <w:p w14:paraId="4B8CB05E" w14:textId="7903D974" w:rsidR="00515E1E" w:rsidRPr="005E1E85" w:rsidRDefault="00515E1E" w:rsidP="00515E1E">
            <w:pPr>
              <w:widowControl w:val="0"/>
              <w:autoSpaceDE w:val="0"/>
              <w:autoSpaceDN w:val="0"/>
              <w:adjustRightInd w:val="0"/>
              <w:rPr>
                <w:sz w:val="20"/>
                <w:szCs w:val="20"/>
              </w:rPr>
            </w:pPr>
            <w:r w:rsidRPr="005E1E85">
              <w:rPr>
                <w:color w:val="000000"/>
                <w:kern w:val="24"/>
                <w:sz w:val="20"/>
                <w:szCs w:val="20"/>
                <w:lang w:eastAsia="en-GB"/>
              </w:rPr>
              <w:t>Population  EE</w:t>
            </w:r>
          </w:p>
        </w:tc>
        <w:tc>
          <w:tcPr>
            <w:tcW w:w="305" w:type="dxa"/>
            <w:tcBorders>
              <w:top w:val="nil"/>
              <w:left w:val="nil"/>
              <w:bottom w:val="nil"/>
              <w:right w:val="nil"/>
            </w:tcBorders>
          </w:tcPr>
          <w:p w14:paraId="2275F951"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3769BA9A" w14:textId="23BA3506" w:rsidR="00515E1E" w:rsidRPr="005E1E85" w:rsidRDefault="00515E1E" w:rsidP="00515E1E">
            <w:pPr>
              <w:widowControl w:val="0"/>
              <w:autoSpaceDE w:val="0"/>
              <w:autoSpaceDN w:val="0"/>
              <w:adjustRightInd w:val="0"/>
              <w:jc w:val="center"/>
              <w:rPr>
                <w:sz w:val="20"/>
                <w:szCs w:val="20"/>
              </w:rPr>
            </w:pPr>
            <w:r w:rsidRPr="001A5054">
              <w:rPr>
                <w:sz w:val="20"/>
                <w:szCs w:val="20"/>
              </w:rPr>
              <w:t>0.064</w:t>
            </w:r>
          </w:p>
        </w:tc>
        <w:tc>
          <w:tcPr>
            <w:tcW w:w="1170" w:type="dxa"/>
            <w:tcBorders>
              <w:top w:val="nil"/>
              <w:left w:val="nil"/>
              <w:bottom w:val="nil"/>
              <w:right w:val="nil"/>
            </w:tcBorders>
          </w:tcPr>
          <w:p w14:paraId="1D6C10F0"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525DEE32" w14:textId="55D2890C" w:rsidTr="00515E1E">
        <w:trPr>
          <w:jc w:val="center"/>
        </w:trPr>
        <w:tc>
          <w:tcPr>
            <w:tcW w:w="4186" w:type="dxa"/>
            <w:tcBorders>
              <w:top w:val="nil"/>
              <w:left w:val="nil"/>
              <w:bottom w:val="nil"/>
              <w:right w:val="nil"/>
            </w:tcBorders>
          </w:tcPr>
          <w:p w14:paraId="14B8E6C1"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12465BE5"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20BB6AB7" w14:textId="2420FFC1" w:rsidR="00515E1E" w:rsidRPr="005E1E85" w:rsidRDefault="00515E1E" w:rsidP="00515E1E">
            <w:pPr>
              <w:widowControl w:val="0"/>
              <w:autoSpaceDE w:val="0"/>
              <w:autoSpaceDN w:val="0"/>
              <w:adjustRightInd w:val="0"/>
              <w:jc w:val="center"/>
              <w:rPr>
                <w:sz w:val="20"/>
                <w:szCs w:val="20"/>
              </w:rPr>
            </w:pPr>
            <w:r w:rsidRPr="001A5054">
              <w:rPr>
                <w:sz w:val="20"/>
                <w:szCs w:val="20"/>
              </w:rPr>
              <w:t>(0.009)</w:t>
            </w:r>
          </w:p>
        </w:tc>
        <w:tc>
          <w:tcPr>
            <w:tcW w:w="1170" w:type="dxa"/>
            <w:tcBorders>
              <w:top w:val="nil"/>
              <w:left w:val="nil"/>
              <w:bottom w:val="nil"/>
              <w:right w:val="nil"/>
            </w:tcBorders>
          </w:tcPr>
          <w:p w14:paraId="08E0849A"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1FFB00E8" w14:textId="77777777" w:rsidTr="00515E1E">
        <w:trPr>
          <w:jc w:val="center"/>
        </w:trPr>
        <w:tc>
          <w:tcPr>
            <w:tcW w:w="4186" w:type="dxa"/>
            <w:tcBorders>
              <w:top w:val="nil"/>
              <w:left w:val="nil"/>
              <w:bottom w:val="nil"/>
              <w:right w:val="nil"/>
            </w:tcBorders>
          </w:tcPr>
          <w:p w14:paraId="2E27AB7E" w14:textId="77777777" w:rsidR="00515E1E" w:rsidRPr="005E1E85" w:rsidRDefault="00515E1E" w:rsidP="00515E1E">
            <w:pPr>
              <w:widowControl w:val="0"/>
              <w:autoSpaceDE w:val="0"/>
              <w:autoSpaceDN w:val="0"/>
              <w:adjustRightInd w:val="0"/>
              <w:rPr>
                <w:sz w:val="20"/>
                <w:szCs w:val="20"/>
              </w:rPr>
            </w:pPr>
            <w:r w:rsidRPr="005E1E85">
              <w:rPr>
                <w:color w:val="000000"/>
                <w:kern w:val="24"/>
                <w:sz w:val="20"/>
                <w:szCs w:val="20"/>
                <w:lang w:eastAsia="en-GB"/>
              </w:rPr>
              <w:t>GDP Growth</w:t>
            </w:r>
          </w:p>
        </w:tc>
        <w:tc>
          <w:tcPr>
            <w:tcW w:w="305" w:type="dxa"/>
            <w:tcBorders>
              <w:top w:val="nil"/>
              <w:left w:val="nil"/>
              <w:bottom w:val="nil"/>
              <w:right w:val="nil"/>
            </w:tcBorders>
          </w:tcPr>
          <w:p w14:paraId="42EAC602"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43BB0E46" w14:textId="3990E0A7" w:rsidR="00515E1E" w:rsidRPr="005E1E85" w:rsidRDefault="00515E1E" w:rsidP="00515E1E">
            <w:pPr>
              <w:widowControl w:val="0"/>
              <w:autoSpaceDE w:val="0"/>
              <w:autoSpaceDN w:val="0"/>
              <w:adjustRightInd w:val="0"/>
              <w:jc w:val="center"/>
              <w:rPr>
                <w:sz w:val="20"/>
                <w:szCs w:val="20"/>
              </w:rPr>
            </w:pPr>
            <w:r w:rsidRPr="001A5054">
              <w:rPr>
                <w:sz w:val="20"/>
                <w:szCs w:val="20"/>
              </w:rPr>
              <w:t>0.014</w:t>
            </w:r>
          </w:p>
        </w:tc>
        <w:tc>
          <w:tcPr>
            <w:tcW w:w="1170" w:type="dxa"/>
            <w:tcBorders>
              <w:top w:val="nil"/>
              <w:left w:val="nil"/>
              <w:bottom w:val="nil"/>
              <w:right w:val="nil"/>
            </w:tcBorders>
          </w:tcPr>
          <w:p w14:paraId="7A1F5B35"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0AA09614" w14:textId="77777777" w:rsidTr="00515E1E">
        <w:trPr>
          <w:jc w:val="center"/>
        </w:trPr>
        <w:tc>
          <w:tcPr>
            <w:tcW w:w="4186" w:type="dxa"/>
            <w:tcBorders>
              <w:top w:val="nil"/>
              <w:left w:val="nil"/>
              <w:bottom w:val="nil"/>
              <w:right w:val="nil"/>
            </w:tcBorders>
          </w:tcPr>
          <w:p w14:paraId="7B5E9979"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7732A4F3"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6CEEF0FD" w14:textId="23467E2D" w:rsidR="00515E1E" w:rsidRPr="005E1E85" w:rsidRDefault="00515E1E" w:rsidP="00515E1E">
            <w:pPr>
              <w:widowControl w:val="0"/>
              <w:autoSpaceDE w:val="0"/>
              <w:autoSpaceDN w:val="0"/>
              <w:adjustRightInd w:val="0"/>
              <w:jc w:val="center"/>
              <w:rPr>
                <w:sz w:val="20"/>
                <w:szCs w:val="20"/>
              </w:rPr>
            </w:pPr>
            <w:r w:rsidRPr="001A5054">
              <w:rPr>
                <w:sz w:val="20"/>
                <w:szCs w:val="20"/>
              </w:rPr>
              <w:t>(0.004)</w:t>
            </w:r>
          </w:p>
        </w:tc>
        <w:tc>
          <w:tcPr>
            <w:tcW w:w="1170" w:type="dxa"/>
            <w:tcBorders>
              <w:top w:val="nil"/>
              <w:left w:val="nil"/>
              <w:bottom w:val="nil"/>
              <w:right w:val="nil"/>
            </w:tcBorders>
          </w:tcPr>
          <w:p w14:paraId="25A01DB6"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4395CBBE" w14:textId="77777777" w:rsidTr="00515E1E">
        <w:trPr>
          <w:jc w:val="center"/>
        </w:trPr>
        <w:tc>
          <w:tcPr>
            <w:tcW w:w="4186" w:type="dxa"/>
            <w:tcBorders>
              <w:top w:val="nil"/>
              <w:left w:val="nil"/>
              <w:bottom w:val="nil"/>
              <w:right w:val="nil"/>
            </w:tcBorders>
          </w:tcPr>
          <w:p w14:paraId="52298D61" w14:textId="61F965EC" w:rsidR="00515E1E" w:rsidRPr="005E1E85" w:rsidRDefault="00515E1E" w:rsidP="00515E1E">
            <w:pPr>
              <w:widowControl w:val="0"/>
              <w:autoSpaceDE w:val="0"/>
              <w:autoSpaceDN w:val="0"/>
              <w:adjustRightInd w:val="0"/>
              <w:rPr>
                <w:sz w:val="20"/>
                <w:szCs w:val="20"/>
              </w:rPr>
            </w:pPr>
            <w:r w:rsidRPr="005E1E85">
              <w:rPr>
                <w:color w:val="000000"/>
                <w:kern w:val="24"/>
                <w:sz w:val="20"/>
                <w:szCs w:val="20"/>
                <w:lang w:eastAsia="en-GB"/>
              </w:rPr>
              <w:t>Trade</w:t>
            </w:r>
            <w:r>
              <w:rPr>
                <w:color w:val="000000"/>
                <w:kern w:val="24"/>
                <w:sz w:val="20"/>
                <w:szCs w:val="20"/>
                <w:lang w:eastAsia="en-GB"/>
              </w:rPr>
              <w:t xml:space="preserve"> openness</w:t>
            </w:r>
          </w:p>
        </w:tc>
        <w:tc>
          <w:tcPr>
            <w:tcW w:w="305" w:type="dxa"/>
            <w:tcBorders>
              <w:top w:val="nil"/>
              <w:left w:val="nil"/>
              <w:bottom w:val="nil"/>
              <w:right w:val="nil"/>
            </w:tcBorders>
          </w:tcPr>
          <w:p w14:paraId="46A173CE"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3AE46E84" w14:textId="0607265C" w:rsidR="00515E1E" w:rsidRPr="005E1E85" w:rsidRDefault="00515E1E" w:rsidP="00515E1E">
            <w:pPr>
              <w:widowControl w:val="0"/>
              <w:autoSpaceDE w:val="0"/>
              <w:autoSpaceDN w:val="0"/>
              <w:adjustRightInd w:val="0"/>
              <w:jc w:val="center"/>
              <w:rPr>
                <w:sz w:val="20"/>
                <w:szCs w:val="20"/>
              </w:rPr>
            </w:pPr>
            <w:r w:rsidRPr="001A5054">
              <w:rPr>
                <w:sz w:val="20"/>
                <w:szCs w:val="20"/>
              </w:rPr>
              <w:t>0.009</w:t>
            </w:r>
          </w:p>
        </w:tc>
        <w:tc>
          <w:tcPr>
            <w:tcW w:w="1170" w:type="dxa"/>
            <w:tcBorders>
              <w:top w:val="nil"/>
              <w:left w:val="nil"/>
              <w:bottom w:val="nil"/>
              <w:right w:val="nil"/>
            </w:tcBorders>
          </w:tcPr>
          <w:p w14:paraId="68709F22"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4B107B47" w14:textId="77777777" w:rsidTr="00515E1E">
        <w:trPr>
          <w:jc w:val="center"/>
        </w:trPr>
        <w:tc>
          <w:tcPr>
            <w:tcW w:w="4186" w:type="dxa"/>
            <w:tcBorders>
              <w:top w:val="nil"/>
              <w:left w:val="nil"/>
              <w:bottom w:val="nil"/>
              <w:right w:val="nil"/>
            </w:tcBorders>
          </w:tcPr>
          <w:p w14:paraId="64B6238B"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2B312CC5"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188F5A36" w14:textId="13C0470F" w:rsidR="00515E1E" w:rsidRPr="005E1E85" w:rsidRDefault="00515E1E" w:rsidP="00515E1E">
            <w:pPr>
              <w:widowControl w:val="0"/>
              <w:autoSpaceDE w:val="0"/>
              <w:autoSpaceDN w:val="0"/>
              <w:adjustRightInd w:val="0"/>
              <w:jc w:val="center"/>
              <w:rPr>
                <w:sz w:val="20"/>
                <w:szCs w:val="20"/>
              </w:rPr>
            </w:pPr>
            <w:r w:rsidRPr="001A5054">
              <w:rPr>
                <w:sz w:val="20"/>
                <w:szCs w:val="20"/>
              </w:rPr>
              <w:t>(0.000)</w:t>
            </w:r>
          </w:p>
        </w:tc>
        <w:tc>
          <w:tcPr>
            <w:tcW w:w="1170" w:type="dxa"/>
            <w:tcBorders>
              <w:top w:val="nil"/>
              <w:left w:val="nil"/>
              <w:bottom w:val="nil"/>
              <w:right w:val="nil"/>
            </w:tcBorders>
          </w:tcPr>
          <w:p w14:paraId="4E847886"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5DFEF1F1" w14:textId="6AE0D404" w:rsidTr="00515E1E">
        <w:trPr>
          <w:jc w:val="center"/>
        </w:trPr>
        <w:tc>
          <w:tcPr>
            <w:tcW w:w="4186" w:type="dxa"/>
            <w:tcBorders>
              <w:top w:val="nil"/>
              <w:left w:val="nil"/>
              <w:bottom w:val="nil"/>
              <w:right w:val="nil"/>
            </w:tcBorders>
          </w:tcPr>
          <w:p w14:paraId="4E99574C" w14:textId="0BA72D16" w:rsidR="00515E1E" w:rsidRPr="005E1E85" w:rsidRDefault="00515E1E" w:rsidP="00515E1E">
            <w:pPr>
              <w:widowControl w:val="0"/>
              <w:autoSpaceDE w:val="0"/>
              <w:autoSpaceDN w:val="0"/>
              <w:adjustRightInd w:val="0"/>
              <w:rPr>
                <w:sz w:val="20"/>
                <w:szCs w:val="20"/>
              </w:rPr>
            </w:pPr>
            <w:r w:rsidRPr="005E1E85">
              <w:rPr>
                <w:color w:val="000000"/>
                <w:kern w:val="24"/>
                <w:sz w:val="20"/>
                <w:szCs w:val="20"/>
                <w:lang w:eastAsia="en-GB"/>
              </w:rPr>
              <w:t>GDP per capita</w:t>
            </w:r>
          </w:p>
        </w:tc>
        <w:tc>
          <w:tcPr>
            <w:tcW w:w="305" w:type="dxa"/>
            <w:tcBorders>
              <w:top w:val="nil"/>
              <w:left w:val="nil"/>
              <w:bottom w:val="nil"/>
              <w:right w:val="nil"/>
            </w:tcBorders>
          </w:tcPr>
          <w:p w14:paraId="5256D06B"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42879BEE" w14:textId="5272CEEF" w:rsidR="00515E1E" w:rsidRPr="005E1E85" w:rsidRDefault="00515E1E" w:rsidP="00515E1E">
            <w:pPr>
              <w:widowControl w:val="0"/>
              <w:autoSpaceDE w:val="0"/>
              <w:autoSpaceDN w:val="0"/>
              <w:adjustRightInd w:val="0"/>
              <w:jc w:val="center"/>
              <w:rPr>
                <w:sz w:val="20"/>
                <w:szCs w:val="20"/>
              </w:rPr>
            </w:pPr>
            <w:r w:rsidRPr="001A5054">
              <w:rPr>
                <w:sz w:val="20"/>
                <w:szCs w:val="20"/>
              </w:rPr>
              <w:t>-0.000</w:t>
            </w:r>
          </w:p>
        </w:tc>
        <w:tc>
          <w:tcPr>
            <w:tcW w:w="1170" w:type="dxa"/>
            <w:tcBorders>
              <w:top w:val="nil"/>
              <w:left w:val="nil"/>
              <w:bottom w:val="nil"/>
              <w:right w:val="nil"/>
            </w:tcBorders>
          </w:tcPr>
          <w:p w14:paraId="4E328BE6" w14:textId="1979816A" w:rsidR="00515E1E" w:rsidRPr="005E1E85" w:rsidRDefault="00515E1E" w:rsidP="00515E1E">
            <w:pPr>
              <w:widowControl w:val="0"/>
              <w:autoSpaceDE w:val="0"/>
              <w:autoSpaceDN w:val="0"/>
              <w:adjustRightInd w:val="0"/>
              <w:jc w:val="center"/>
              <w:rPr>
                <w:sz w:val="20"/>
                <w:szCs w:val="20"/>
              </w:rPr>
            </w:pPr>
            <w:r w:rsidRPr="001A5054">
              <w:rPr>
                <w:sz w:val="20"/>
                <w:szCs w:val="20"/>
              </w:rPr>
              <w:t>-0.001</w:t>
            </w:r>
          </w:p>
        </w:tc>
      </w:tr>
      <w:tr w:rsidR="00515E1E" w:rsidRPr="005E1E85" w14:paraId="20CA5065" w14:textId="042DC682" w:rsidTr="00515E1E">
        <w:trPr>
          <w:jc w:val="center"/>
        </w:trPr>
        <w:tc>
          <w:tcPr>
            <w:tcW w:w="4186" w:type="dxa"/>
            <w:tcBorders>
              <w:top w:val="nil"/>
              <w:left w:val="nil"/>
              <w:bottom w:val="nil"/>
              <w:right w:val="nil"/>
            </w:tcBorders>
          </w:tcPr>
          <w:p w14:paraId="189495B3"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2BFCC104"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2B46E488" w14:textId="65668A22" w:rsidR="00515E1E" w:rsidRPr="005E1E85" w:rsidRDefault="00515E1E" w:rsidP="00515E1E">
            <w:pPr>
              <w:widowControl w:val="0"/>
              <w:autoSpaceDE w:val="0"/>
              <w:autoSpaceDN w:val="0"/>
              <w:adjustRightInd w:val="0"/>
              <w:jc w:val="center"/>
              <w:rPr>
                <w:sz w:val="20"/>
                <w:szCs w:val="20"/>
              </w:rPr>
            </w:pPr>
            <w:r w:rsidRPr="001A5054">
              <w:rPr>
                <w:sz w:val="20"/>
                <w:szCs w:val="20"/>
              </w:rPr>
              <w:t>(0.001)</w:t>
            </w:r>
          </w:p>
        </w:tc>
        <w:tc>
          <w:tcPr>
            <w:tcW w:w="1170" w:type="dxa"/>
            <w:tcBorders>
              <w:top w:val="nil"/>
              <w:left w:val="nil"/>
              <w:bottom w:val="nil"/>
              <w:right w:val="nil"/>
            </w:tcBorders>
          </w:tcPr>
          <w:p w14:paraId="6B25156F" w14:textId="29CE3742" w:rsidR="00515E1E" w:rsidRPr="005E1E85" w:rsidRDefault="00515E1E" w:rsidP="00515E1E">
            <w:pPr>
              <w:widowControl w:val="0"/>
              <w:autoSpaceDE w:val="0"/>
              <w:autoSpaceDN w:val="0"/>
              <w:adjustRightInd w:val="0"/>
              <w:jc w:val="center"/>
              <w:rPr>
                <w:sz w:val="20"/>
                <w:szCs w:val="20"/>
              </w:rPr>
            </w:pPr>
            <w:r w:rsidRPr="001A5054">
              <w:rPr>
                <w:sz w:val="20"/>
                <w:szCs w:val="20"/>
              </w:rPr>
              <w:t>(0.001)</w:t>
            </w:r>
          </w:p>
        </w:tc>
      </w:tr>
      <w:tr w:rsidR="00515E1E" w:rsidRPr="005E1E85" w14:paraId="790E3B94" w14:textId="77777777" w:rsidTr="00515E1E">
        <w:trPr>
          <w:jc w:val="center"/>
        </w:trPr>
        <w:tc>
          <w:tcPr>
            <w:tcW w:w="4186" w:type="dxa"/>
            <w:tcBorders>
              <w:top w:val="nil"/>
              <w:left w:val="nil"/>
              <w:bottom w:val="nil"/>
              <w:right w:val="nil"/>
            </w:tcBorders>
          </w:tcPr>
          <w:p w14:paraId="625D4AE8" w14:textId="77777777" w:rsidR="00515E1E" w:rsidRPr="005E1E85" w:rsidRDefault="00515E1E" w:rsidP="00515E1E">
            <w:pPr>
              <w:widowControl w:val="0"/>
              <w:autoSpaceDE w:val="0"/>
              <w:autoSpaceDN w:val="0"/>
              <w:adjustRightInd w:val="0"/>
              <w:rPr>
                <w:sz w:val="20"/>
                <w:szCs w:val="20"/>
              </w:rPr>
            </w:pPr>
            <w:r>
              <w:rPr>
                <w:color w:val="000000"/>
                <w:kern w:val="24"/>
                <w:sz w:val="20"/>
                <w:szCs w:val="20"/>
                <w:lang w:eastAsia="en-GB"/>
              </w:rPr>
              <w:t>Agglomeration</w:t>
            </w:r>
          </w:p>
        </w:tc>
        <w:tc>
          <w:tcPr>
            <w:tcW w:w="305" w:type="dxa"/>
            <w:tcBorders>
              <w:top w:val="nil"/>
              <w:left w:val="nil"/>
              <w:bottom w:val="nil"/>
              <w:right w:val="nil"/>
            </w:tcBorders>
          </w:tcPr>
          <w:p w14:paraId="300F9A7F"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61A6C969" w14:textId="5B575A08" w:rsidR="00515E1E" w:rsidRPr="005E1E85" w:rsidRDefault="00515E1E" w:rsidP="00515E1E">
            <w:pPr>
              <w:widowControl w:val="0"/>
              <w:autoSpaceDE w:val="0"/>
              <w:autoSpaceDN w:val="0"/>
              <w:adjustRightInd w:val="0"/>
              <w:jc w:val="center"/>
              <w:rPr>
                <w:sz w:val="20"/>
                <w:szCs w:val="20"/>
              </w:rPr>
            </w:pPr>
            <w:r w:rsidRPr="001A5054">
              <w:rPr>
                <w:sz w:val="20"/>
                <w:szCs w:val="20"/>
              </w:rPr>
              <w:t>0.035</w:t>
            </w:r>
          </w:p>
        </w:tc>
        <w:tc>
          <w:tcPr>
            <w:tcW w:w="1170" w:type="dxa"/>
            <w:tcBorders>
              <w:top w:val="nil"/>
              <w:left w:val="nil"/>
              <w:bottom w:val="nil"/>
              <w:right w:val="nil"/>
            </w:tcBorders>
          </w:tcPr>
          <w:p w14:paraId="5689A1BA" w14:textId="6BD3292D" w:rsidR="00515E1E" w:rsidRPr="005E1E85" w:rsidRDefault="00515E1E" w:rsidP="00515E1E">
            <w:pPr>
              <w:widowControl w:val="0"/>
              <w:autoSpaceDE w:val="0"/>
              <w:autoSpaceDN w:val="0"/>
              <w:adjustRightInd w:val="0"/>
              <w:jc w:val="center"/>
              <w:rPr>
                <w:sz w:val="20"/>
                <w:szCs w:val="20"/>
              </w:rPr>
            </w:pPr>
            <w:r w:rsidRPr="001A5054">
              <w:rPr>
                <w:sz w:val="20"/>
                <w:szCs w:val="20"/>
              </w:rPr>
              <w:t>0.011</w:t>
            </w:r>
          </w:p>
        </w:tc>
      </w:tr>
      <w:tr w:rsidR="00515E1E" w:rsidRPr="005E1E85" w14:paraId="0AB3C90A" w14:textId="77777777" w:rsidTr="00515E1E">
        <w:trPr>
          <w:jc w:val="center"/>
        </w:trPr>
        <w:tc>
          <w:tcPr>
            <w:tcW w:w="4186" w:type="dxa"/>
            <w:tcBorders>
              <w:top w:val="nil"/>
              <w:left w:val="nil"/>
              <w:bottom w:val="nil"/>
              <w:right w:val="nil"/>
            </w:tcBorders>
          </w:tcPr>
          <w:p w14:paraId="321082E5"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3E7A54D9"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7615D182" w14:textId="1EDF8774" w:rsidR="00515E1E" w:rsidRPr="005E1E85" w:rsidRDefault="00515E1E" w:rsidP="00515E1E">
            <w:pPr>
              <w:widowControl w:val="0"/>
              <w:autoSpaceDE w:val="0"/>
              <w:autoSpaceDN w:val="0"/>
              <w:adjustRightInd w:val="0"/>
              <w:jc w:val="center"/>
              <w:rPr>
                <w:sz w:val="20"/>
                <w:szCs w:val="20"/>
              </w:rPr>
            </w:pPr>
            <w:r w:rsidRPr="001A5054">
              <w:rPr>
                <w:sz w:val="20"/>
                <w:szCs w:val="20"/>
              </w:rPr>
              <w:t>(0.003)</w:t>
            </w:r>
          </w:p>
        </w:tc>
        <w:tc>
          <w:tcPr>
            <w:tcW w:w="1170" w:type="dxa"/>
            <w:tcBorders>
              <w:top w:val="nil"/>
              <w:left w:val="nil"/>
              <w:bottom w:val="nil"/>
              <w:right w:val="nil"/>
            </w:tcBorders>
          </w:tcPr>
          <w:p w14:paraId="3E136FC6" w14:textId="005C3A65" w:rsidR="00515E1E" w:rsidRPr="005E1E85" w:rsidRDefault="00515E1E" w:rsidP="00515E1E">
            <w:pPr>
              <w:widowControl w:val="0"/>
              <w:autoSpaceDE w:val="0"/>
              <w:autoSpaceDN w:val="0"/>
              <w:adjustRightInd w:val="0"/>
              <w:jc w:val="center"/>
              <w:rPr>
                <w:sz w:val="20"/>
                <w:szCs w:val="20"/>
              </w:rPr>
            </w:pPr>
            <w:r w:rsidRPr="001A5054">
              <w:rPr>
                <w:sz w:val="20"/>
                <w:szCs w:val="20"/>
              </w:rPr>
              <w:t>(0.017)</w:t>
            </w:r>
          </w:p>
        </w:tc>
      </w:tr>
      <w:tr w:rsidR="00515E1E" w:rsidRPr="005E1E85" w14:paraId="241EEED9" w14:textId="08B4239C" w:rsidTr="00515E1E">
        <w:trPr>
          <w:jc w:val="center"/>
        </w:trPr>
        <w:tc>
          <w:tcPr>
            <w:tcW w:w="4186" w:type="dxa"/>
            <w:tcBorders>
              <w:top w:val="nil"/>
              <w:left w:val="nil"/>
              <w:bottom w:val="nil"/>
              <w:right w:val="nil"/>
            </w:tcBorders>
          </w:tcPr>
          <w:p w14:paraId="0C7AF694" w14:textId="37C7EF2B" w:rsidR="00515E1E" w:rsidRPr="005E1E85" w:rsidRDefault="00515E1E" w:rsidP="00515E1E">
            <w:pPr>
              <w:widowControl w:val="0"/>
              <w:autoSpaceDE w:val="0"/>
              <w:autoSpaceDN w:val="0"/>
              <w:adjustRightInd w:val="0"/>
              <w:rPr>
                <w:sz w:val="20"/>
                <w:szCs w:val="20"/>
              </w:rPr>
            </w:pPr>
            <w:r w:rsidRPr="005E1E85">
              <w:rPr>
                <w:color w:val="000000"/>
                <w:kern w:val="24"/>
                <w:sz w:val="20"/>
                <w:szCs w:val="20"/>
                <w:lang w:eastAsia="en-GB"/>
              </w:rPr>
              <w:t>Manufacturing</w:t>
            </w:r>
          </w:p>
        </w:tc>
        <w:tc>
          <w:tcPr>
            <w:tcW w:w="305" w:type="dxa"/>
            <w:tcBorders>
              <w:top w:val="nil"/>
              <w:left w:val="nil"/>
              <w:bottom w:val="nil"/>
              <w:right w:val="nil"/>
            </w:tcBorders>
          </w:tcPr>
          <w:p w14:paraId="0D378A60"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4CEB6EFB" w14:textId="4125D11A" w:rsidR="00515E1E" w:rsidRPr="005E1E85" w:rsidRDefault="00515E1E" w:rsidP="00515E1E">
            <w:pPr>
              <w:widowControl w:val="0"/>
              <w:autoSpaceDE w:val="0"/>
              <w:autoSpaceDN w:val="0"/>
              <w:adjustRightInd w:val="0"/>
              <w:jc w:val="center"/>
              <w:rPr>
                <w:sz w:val="20"/>
                <w:szCs w:val="20"/>
              </w:rPr>
            </w:pPr>
            <w:r w:rsidRPr="001A5054">
              <w:rPr>
                <w:sz w:val="20"/>
                <w:szCs w:val="20"/>
              </w:rPr>
              <w:t>0.043</w:t>
            </w:r>
          </w:p>
        </w:tc>
        <w:tc>
          <w:tcPr>
            <w:tcW w:w="1170" w:type="dxa"/>
            <w:tcBorders>
              <w:top w:val="nil"/>
              <w:left w:val="nil"/>
              <w:bottom w:val="nil"/>
              <w:right w:val="nil"/>
            </w:tcBorders>
          </w:tcPr>
          <w:p w14:paraId="01C6DAE3" w14:textId="62D3B75F" w:rsidR="00515E1E" w:rsidRPr="005E1E85" w:rsidRDefault="00515E1E" w:rsidP="00515E1E">
            <w:pPr>
              <w:widowControl w:val="0"/>
              <w:autoSpaceDE w:val="0"/>
              <w:autoSpaceDN w:val="0"/>
              <w:adjustRightInd w:val="0"/>
              <w:jc w:val="center"/>
              <w:rPr>
                <w:sz w:val="20"/>
                <w:szCs w:val="20"/>
              </w:rPr>
            </w:pPr>
            <w:r w:rsidRPr="001A5054">
              <w:rPr>
                <w:sz w:val="20"/>
                <w:szCs w:val="20"/>
              </w:rPr>
              <w:t>0.291</w:t>
            </w:r>
          </w:p>
        </w:tc>
      </w:tr>
      <w:tr w:rsidR="00515E1E" w:rsidRPr="005E1E85" w14:paraId="7BF54217" w14:textId="44C7E751" w:rsidTr="00515E1E">
        <w:trPr>
          <w:jc w:val="center"/>
        </w:trPr>
        <w:tc>
          <w:tcPr>
            <w:tcW w:w="4186" w:type="dxa"/>
            <w:tcBorders>
              <w:top w:val="nil"/>
              <w:left w:val="nil"/>
              <w:bottom w:val="nil"/>
              <w:right w:val="nil"/>
            </w:tcBorders>
          </w:tcPr>
          <w:p w14:paraId="51BDC29D"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512B60EF"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3F4AA5CD" w14:textId="0A3B22E7" w:rsidR="00515E1E" w:rsidRPr="005E1E85" w:rsidRDefault="00515E1E" w:rsidP="00515E1E">
            <w:pPr>
              <w:widowControl w:val="0"/>
              <w:autoSpaceDE w:val="0"/>
              <w:autoSpaceDN w:val="0"/>
              <w:adjustRightInd w:val="0"/>
              <w:jc w:val="center"/>
              <w:rPr>
                <w:sz w:val="20"/>
                <w:szCs w:val="20"/>
              </w:rPr>
            </w:pPr>
            <w:r w:rsidRPr="001A5054">
              <w:rPr>
                <w:sz w:val="20"/>
                <w:szCs w:val="20"/>
              </w:rPr>
              <w:t>(0.002)</w:t>
            </w:r>
          </w:p>
        </w:tc>
        <w:tc>
          <w:tcPr>
            <w:tcW w:w="1170" w:type="dxa"/>
            <w:tcBorders>
              <w:top w:val="nil"/>
              <w:left w:val="nil"/>
              <w:bottom w:val="nil"/>
              <w:right w:val="nil"/>
            </w:tcBorders>
          </w:tcPr>
          <w:p w14:paraId="4401F8C0" w14:textId="19B6AFAB" w:rsidR="00515E1E" w:rsidRPr="005E1E85" w:rsidRDefault="00515E1E" w:rsidP="00515E1E">
            <w:pPr>
              <w:widowControl w:val="0"/>
              <w:autoSpaceDE w:val="0"/>
              <w:autoSpaceDN w:val="0"/>
              <w:adjustRightInd w:val="0"/>
              <w:jc w:val="center"/>
              <w:rPr>
                <w:sz w:val="20"/>
                <w:szCs w:val="20"/>
              </w:rPr>
            </w:pPr>
            <w:r w:rsidRPr="001A5054">
              <w:rPr>
                <w:sz w:val="20"/>
                <w:szCs w:val="20"/>
              </w:rPr>
              <w:t>(0.003)</w:t>
            </w:r>
          </w:p>
        </w:tc>
      </w:tr>
      <w:tr w:rsidR="00515E1E" w:rsidRPr="005E1E85" w14:paraId="1985A08B" w14:textId="77777777" w:rsidTr="00515E1E">
        <w:trPr>
          <w:jc w:val="center"/>
        </w:trPr>
        <w:tc>
          <w:tcPr>
            <w:tcW w:w="4186" w:type="dxa"/>
            <w:tcBorders>
              <w:top w:val="nil"/>
              <w:left w:val="nil"/>
              <w:bottom w:val="nil"/>
              <w:right w:val="nil"/>
            </w:tcBorders>
          </w:tcPr>
          <w:p w14:paraId="1AE2174F" w14:textId="77777777" w:rsidR="00515E1E" w:rsidRPr="005E1E85" w:rsidRDefault="00515E1E" w:rsidP="00515E1E">
            <w:pPr>
              <w:widowControl w:val="0"/>
              <w:autoSpaceDE w:val="0"/>
              <w:autoSpaceDN w:val="0"/>
              <w:adjustRightInd w:val="0"/>
              <w:rPr>
                <w:sz w:val="20"/>
                <w:szCs w:val="20"/>
              </w:rPr>
            </w:pPr>
            <w:r w:rsidRPr="005E1E85">
              <w:rPr>
                <w:sz w:val="20"/>
                <w:szCs w:val="20"/>
              </w:rPr>
              <w:t>Common Language</w:t>
            </w:r>
          </w:p>
        </w:tc>
        <w:tc>
          <w:tcPr>
            <w:tcW w:w="305" w:type="dxa"/>
            <w:tcBorders>
              <w:top w:val="nil"/>
              <w:left w:val="nil"/>
              <w:bottom w:val="nil"/>
              <w:right w:val="nil"/>
            </w:tcBorders>
          </w:tcPr>
          <w:p w14:paraId="6EA4FE0C"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4AB31615" w14:textId="6F2EAB0C" w:rsidR="00515E1E" w:rsidRPr="005E1E85" w:rsidRDefault="00515E1E" w:rsidP="00515E1E">
            <w:pPr>
              <w:widowControl w:val="0"/>
              <w:autoSpaceDE w:val="0"/>
              <w:autoSpaceDN w:val="0"/>
              <w:adjustRightInd w:val="0"/>
              <w:jc w:val="center"/>
              <w:rPr>
                <w:sz w:val="20"/>
                <w:szCs w:val="20"/>
              </w:rPr>
            </w:pPr>
            <w:r w:rsidRPr="001A5054">
              <w:rPr>
                <w:sz w:val="20"/>
                <w:szCs w:val="20"/>
              </w:rPr>
              <w:t>-0.686</w:t>
            </w:r>
          </w:p>
        </w:tc>
        <w:tc>
          <w:tcPr>
            <w:tcW w:w="1170" w:type="dxa"/>
            <w:tcBorders>
              <w:top w:val="nil"/>
              <w:left w:val="nil"/>
              <w:bottom w:val="nil"/>
              <w:right w:val="nil"/>
            </w:tcBorders>
          </w:tcPr>
          <w:p w14:paraId="53630A0E" w14:textId="6C64EF02" w:rsidR="00515E1E" w:rsidRPr="005E1E85" w:rsidRDefault="00515E1E" w:rsidP="00515E1E">
            <w:pPr>
              <w:widowControl w:val="0"/>
              <w:autoSpaceDE w:val="0"/>
              <w:autoSpaceDN w:val="0"/>
              <w:adjustRightInd w:val="0"/>
              <w:jc w:val="center"/>
              <w:rPr>
                <w:sz w:val="20"/>
                <w:szCs w:val="20"/>
              </w:rPr>
            </w:pPr>
            <w:r w:rsidRPr="001A5054">
              <w:rPr>
                <w:sz w:val="20"/>
                <w:szCs w:val="20"/>
              </w:rPr>
              <w:t>2.883</w:t>
            </w:r>
          </w:p>
        </w:tc>
      </w:tr>
      <w:tr w:rsidR="00515E1E" w:rsidRPr="005E1E85" w14:paraId="53656E6A" w14:textId="77777777" w:rsidTr="00515E1E">
        <w:trPr>
          <w:jc w:val="center"/>
        </w:trPr>
        <w:tc>
          <w:tcPr>
            <w:tcW w:w="4186" w:type="dxa"/>
            <w:tcBorders>
              <w:top w:val="nil"/>
              <w:left w:val="nil"/>
              <w:bottom w:val="nil"/>
              <w:right w:val="nil"/>
            </w:tcBorders>
          </w:tcPr>
          <w:p w14:paraId="366CA5BA"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011E9103"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0CADDBA9" w14:textId="48E25821" w:rsidR="00515E1E" w:rsidRPr="005E1E85" w:rsidRDefault="00515E1E" w:rsidP="00515E1E">
            <w:pPr>
              <w:widowControl w:val="0"/>
              <w:autoSpaceDE w:val="0"/>
              <w:autoSpaceDN w:val="0"/>
              <w:adjustRightInd w:val="0"/>
              <w:jc w:val="center"/>
              <w:rPr>
                <w:sz w:val="20"/>
                <w:szCs w:val="20"/>
              </w:rPr>
            </w:pPr>
            <w:r w:rsidRPr="001A5054">
              <w:rPr>
                <w:sz w:val="20"/>
                <w:szCs w:val="20"/>
              </w:rPr>
              <w:t>(0.115)</w:t>
            </w:r>
          </w:p>
        </w:tc>
        <w:tc>
          <w:tcPr>
            <w:tcW w:w="1170" w:type="dxa"/>
            <w:tcBorders>
              <w:top w:val="nil"/>
              <w:left w:val="nil"/>
              <w:bottom w:val="nil"/>
              <w:right w:val="nil"/>
            </w:tcBorders>
          </w:tcPr>
          <w:p w14:paraId="04D0A563" w14:textId="2E5BD330" w:rsidR="00515E1E" w:rsidRPr="005E1E85" w:rsidRDefault="00515E1E" w:rsidP="00515E1E">
            <w:pPr>
              <w:widowControl w:val="0"/>
              <w:autoSpaceDE w:val="0"/>
              <w:autoSpaceDN w:val="0"/>
              <w:adjustRightInd w:val="0"/>
              <w:jc w:val="center"/>
              <w:rPr>
                <w:sz w:val="20"/>
                <w:szCs w:val="20"/>
              </w:rPr>
            </w:pPr>
            <w:r w:rsidRPr="001A5054">
              <w:rPr>
                <w:sz w:val="20"/>
                <w:szCs w:val="20"/>
              </w:rPr>
              <w:t>(0.216)</w:t>
            </w:r>
          </w:p>
        </w:tc>
      </w:tr>
      <w:tr w:rsidR="00515E1E" w:rsidRPr="005E1E85" w14:paraId="2FA431D2" w14:textId="5F2C6A67" w:rsidTr="00515E1E">
        <w:trPr>
          <w:jc w:val="center"/>
        </w:trPr>
        <w:tc>
          <w:tcPr>
            <w:tcW w:w="4186" w:type="dxa"/>
            <w:tcBorders>
              <w:top w:val="nil"/>
              <w:left w:val="nil"/>
              <w:bottom w:val="nil"/>
              <w:right w:val="nil"/>
            </w:tcBorders>
          </w:tcPr>
          <w:p w14:paraId="08755846" w14:textId="77777777" w:rsidR="00515E1E" w:rsidRPr="005E1E85" w:rsidRDefault="00515E1E" w:rsidP="00515E1E">
            <w:pPr>
              <w:widowControl w:val="0"/>
              <w:autoSpaceDE w:val="0"/>
              <w:autoSpaceDN w:val="0"/>
              <w:adjustRightInd w:val="0"/>
              <w:rPr>
                <w:sz w:val="20"/>
                <w:szCs w:val="20"/>
              </w:rPr>
            </w:pPr>
          </w:p>
        </w:tc>
        <w:tc>
          <w:tcPr>
            <w:tcW w:w="305" w:type="dxa"/>
            <w:tcBorders>
              <w:top w:val="nil"/>
              <w:left w:val="nil"/>
              <w:bottom w:val="nil"/>
              <w:right w:val="nil"/>
            </w:tcBorders>
          </w:tcPr>
          <w:p w14:paraId="1BB44794"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72A8B1D1" w14:textId="77777777" w:rsidR="00515E1E" w:rsidRPr="005E1E85" w:rsidRDefault="00515E1E" w:rsidP="00515E1E">
            <w:pPr>
              <w:widowControl w:val="0"/>
              <w:autoSpaceDE w:val="0"/>
              <w:autoSpaceDN w:val="0"/>
              <w:adjustRightInd w:val="0"/>
              <w:jc w:val="center"/>
              <w:rPr>
                <w:sz w:val="20"/>
                <w:szCs w:val="20"/>
              </w:rPr>
            </w:pPr>
          </w:p>
        </w:tc>
        <w:tc>
          <w:tcPr>
            <w:tcW w:w="1170" w:type="dxa"/>
            <w:tcBorders>
              <w:top w:val="nil"/>
              <w:left w:val="nil"/>
              <w:bottom w:val="nil"/>
              <w:right w:val="nil"/>
            </w:tcBorders>
          </w:tcPr>
          <w:p w14:paraId="45FACE08"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1EDD24DE" w14:textId="41BECFDD" w:rsidTr="00515E1E">
        <w:trPr>
          <w:jc w:val="center"/>
        </w:trPr>
        <w:tc>
          <w:tcPr>
            <w:tcW w:w="4186" w:type="dxa"/>
            <w:tcBorders>
              <w:top w:val="nil"/>
              <w:left w:val="nil"/>
              <w:bottom w:val="nil"/>
              <w:right w:val="nil"/>
            </w:tcBorders>
          </w:tcPr>
          <w:p w14:paraId="49180F78" w14:textId="77777777" w:rsidR="00515E1E" w:rsidRPr="005E1E85" w:rsidRDefault="00515E1E" w:rsidP="00515E1E">
            <w:pPr>
              <w:widowControl w:val="0"/>
              <w:autoSpaceDE w:val="0"/>
              <w:autoSpaceDN w:val="0"/>
              <w:adjustRightInd w:val="0"/>
              <w:rPr>
                <w:sz w:val="20"/>
                <w:szCs w:val="20"/>
              </w:rPr>
            </w:pPr>
            <w:r w:rsidRPr="005E1E85">
              <w:rPr>
                <w:sz w:val="20"/>
                <w:szCs w:val="20"/>
              </w:rPr>
              <w:t>Observations</w:t>
            </w:r>
          </w:p>
        </w:tc>
        <w:tc>
          <w:tcPr>
            <w:tcW w:w="305" w:type="dxa"/>
            <w:tcBorders>
              <w:top w:val="nil"/>
              <w:left w:val="nil"/>
              <w:bottom w:val="nil"/>
              <w:right w:val="nil"/>
            </w:tcBorders>
          </w:tcPr>
          <w:p w14:paraId="766C34B3"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2E9A052F" w14:textId="7855F16B" w:rsidR="00515E1E" w:rsidRPr="005E1E85" w:rsidRDefault="00515E1E" w:rsidP="00515E1E">
            <w:pPr>
              <w:widowControl w:val="0"/>
              <w:autoSpaceDE w:val="0"/>
              <w:autoSpaceDN w:val="0"/>
              <w:adjustRightInd w:val="0"/>
              <w:jc w:val="center"/>
              <w:rPr>
                <w:sz w:val="20"/>
                <w:szCs w:val="20"/>
              </w:rPr>
            </w:pPr>
            <w:r w:rsidRPr="001A5054">
              <w:rPr>
                <w:sz w:val="20"/>
                <w:szCs w:val="20"/>
              </w:rPr>
              <w:t>1,616,394</w:t>
            </w:r>
          </w:p>
        </w:tc>
        <w:tc>
          <w:tcPr>
            <w:tcW w:w="1170" w:type="dxa"/>
            <w:tcBorders>
              <w:top w:val="nil"/>
              <w:left w:val="nil"/>
              <w:bottom w:val="nil"/>
              <w:right w:val="nil"/>
            </w:tcBorders>
          </w:tcPr>
          <w:p w14:paraId="50392BA6" w14:textId="6ACDE84E" w:rsidR="00515E1E" w:rsidRPr="005E1E85" w:rsidRDefault="00515E1E" w:rsidP="00515E1E">
            <w:pPr>
              <w:widowControl w:val="0"/>
              <w:autoSpaceDE w:val="0"/>
              <w:autoSpaceDN w:val="0"/>
              <w:adjustRightInd w:val="0"/>
              <w:jc w:val="center"/>
              <w:rPr>
                <w:sz w:val="20"/>
                <w:szCs w:val="20"/>
              </w:rPr>
            </w:pPr>
            <w:r w:rsidRPr="001A5054">
              <w:rPr>
                <w:sz w:val="20"/>
                <w:szCs w:val="20"/>
              </w:rPr>
              <w:t>1,616,394</w:t>
            </w:r>
          </w:p>
        </w:tc>
      </w:tr>
      <w:tr w:rsidR="00515E1E" w:rsidRPr="005E1E85" w14:paraId="5C39BD2F" w14:textId="3C4C5B64" w:rsidTr="00515E1E">
        <w:tblPrEx>
          <w:tblBorders>
            <w:bottom w:val="single" w:sz="6" w:space="0" w:color="auto"/>
          </w:tblBorders>
        </w:tblPrEx>
        <w:trPr>
          <w:jc w:val="center"/>
        </w:trPr>
        <w:tc>
          <w:tcPr>
            <w:tcW w:w="4186" w:type="dxa"/>
            <w:tcBorders>
              <w:top w:val="nil"/>
              <w:left w:val="nil"/>
              <w:bottom w:val="nil"/>
              <w:right w:val="nil"/>
            </w:tcBorders>
          </w:tcPr>
          <w:p w14:paraId="24DC2B85" w14:textId="77777777" w:rsidR="00515E1E" w:rsidRPr="005E1E85" w:rsidRDefault="00515E1E" w:rsidP="00515E1E">
            <w:pPr>
              <w:widowControl w:val="0"/>
              <w:autoSpaceDE w:val="0"/>
              <w:autoSpaceDN w:val="0"/>
              <w:adjustRightInd w:val="0"/>
              <w:rPr>
                <w:sz w:val="20"/>
                <w:szCs w:val="20"/>
              </w:rPr>
            </w:pPr>
            <w:r w:rsidRPr="005E1E85">
              <w:rPr>
                <w:sz w:val="20"/>
                <w:szCs w:val="20"/>
              </w:rPr>
              <w:t>Pseudo R2</w:t>
            </w:r>
          </w:p>
        </w:tc>
        <w:tc>
          <w:tcPr>
            <w:tcW w:w="305" w:type="dxa"/>
            <w:tcBorders>
              <w:top w:val="nil"/>
              <w:left w:val="nil"/>
              <w:bottom w:val="nil"/>
              <w:right w:val="nil"/>
            </w:tcBorders>
          </w:tcPr>
          <w:p w14:paraId="0BBC5E3C"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nil"/>
              <w:right w:val="nil"/>
            </w:tcBorders>
          </w:tcPr>
          <w:p w14:paraId="6C314B91" w14:textId="77777777" w:rsidR="00515E1E" w:rsidRPr="005E1E85" w:rsidRDefault="00515E1E" w:rsidP="00515E1E">
            <w:pPr>
              <w:widowControl w:val="0"/>
              <w:autoSpaceDE w:val="0"/>
              <w:autoSpaceDN w:val="0"/>
              <w:adjustRightInd w:val="0"/>
              <w:jc w:val="center"/>
              <w:rPr>
                <w:sz w:val="20"/>
                <w:szCs w:val="20"/>
              </w:rPr>
            </w:pPr>
          </w:p>
        </w:tc>
        <w:tc>
          <w:tcPr>
            <w:tcW w:w="1170" w:type="dxa"/>
            <w:tcBorders>
              <w:top w:val="nil"/>
              <w:left w:val="nil"/>
              <w:bottom w:val="nil"/>
              <w:right w:val="nil"/>
            </w:tcBorders>
          </w:tcPr>
          <w:p w14:paraId="585AEE3B" w14:textId="77777777" w:rsidR="00515E1E" w:rsidRPr="005E1E85" w:rsidRDefault="00515E1E" w:rsidP="00515E1E">
            <w:pPr>
              <w:widowControl w:val="0"/>
              <w:autoSpaceDE w:val="0"/>
              <w:autoSpaceDN w:val="0"/>
              <w:adjustRightInd w:val="0"/>
              <w:jc w:val="center"/>
              <w:rPr>
                <w:sz w:val="20"/>
                <w:szCs w:val="20"/>
              </w:rPr>
            </w:pPr>
          </w:p>
        </w:tc>
      </w:tr>
      <w:tr w:rsidR="00515E1E" w:rsidRPr="005E1E85" w14:paraId="5FA6442A" w14:textId="77777777" w:rsidTr="00515E1E">
        <w:tblPrEx>
          <w:tblBorders>
            <w:bottom w:val="single" w:sz="6" w:space="0" w:color="auto"/>
          </w:tblBorders>
        </w:tblPrEx>
        <w:trPr>
          <w:jc w:val="center"/>
        </w:trPr>
        <w:tc>
          <w:tcPr>
            <w:tcW w:w="4186" w:type="dxa"/>
            <w:tcBorders>
              <w:top w:val="nil"/>
              <w:left w:val="nil"/>
              <w:bottom w:val="single" w:sz="6" w:space="0" w:color="auto"/>
              <w:right w:val="nil"/>
            </w:tcBorders>
          </w:tcPr>
          <w:p w14:paraId="32B46967" w14:textId="55603D12" w:rsidR="00515E1E" w:rsidRPr="005E1E85" w:rsidRDefault="00515E1E" w:rsidP="00515E1E">
            <w:pPr>
              <w:widowControl w:val="0"/>
              <w:autoSpaceDE w:val="0"/>
              <w:autoSpaceDN w:val="0"/>
              <w:adjustRightInd w:val="0"/>
              <w:rPr>
                <w:sz w:val="20"/>
                <w:szCs w:val="20"/>
              </w:rPr>
            </w:pPr>
            <w:r w:rsidRPr="008564AF">
              <w:rPr>
                <w:sz w:val="20"/>
                <w:szCs w:val="20"/>
              </w:rPr>
              <w:t>LR chi2</w:t>
            </w:r>
          </w:p>
        </w:tc>
        <w:tc>
          <w:tcPr>
            <w:tcW w:w="305" w:type="dxa"/>
            <w:tcBorders>
              <w:top w:val="nil"/>
              <w:left w:val="nil"/>
              <w:bottom w:val="single" w:sz="6" w:space="0" w:color="auto"/>
              <w:right w:val="nil"/>
            </w:tcBorders>
          </w:tcPr>
          <w:p w14:paraId="2AD34863" w14:textId="77777777" w:rsidR="00515E1E" w:rsidRPr="005E1E85" w:rsidRDefault="00515E1E" w:rsidP="00515E1E">
            <w:pPr>
              <w:widowControl w:val="0"/>
              <w:autoSpaceDE w:val="0"/>
              <w:autoSpaceDN w:val="0"/>
              <w:adjustRightInd w:val="0"/>
              <w:jc w:val="center"/>
              <w:rPr>
                <w:sz w:val="20"/>
                <w:szCs w:val="20"/>
              </w:rPr>
            </w:pPr>
          </w:p>
        </w:tc>
        <w:tc>
          <w:tcPr>
            <w:tcW w:w="1269" w:type="dxa"/>
            <w:tcBorders>
              <w:top w:val="nil"/>
              <w:left w:val="nil"/>
              <w:bottom w:val="single" w:sz="6" w:space="0" w:color="auto"/>
              <w:right w:val="nil"/>
            </w:tcBorders>
          </w:tcPr>
          <w:p w14:paraId="068CC24E" w14:textId="7809C347" w:rsidR="00515E1E" w:rsidRPr="005E1E85" w:rsidRDefault="00515E1E" w:rsidP="00515E1E">
            <w:pPr>
              <w:widowControl w:val="0"/>
              <w:autoSpaceDE w:val="0"/>
              <w:autoSpaceDN w:val="0"/>
              <w:adjustRightInd w:val="0"/>
              <w:jc w:val="center"/>
              <w:rPr>
                <w:sz w:val="20"/>
                <w:szCs w:val="20"/>
              </w:rPr>
            </w:pPr>
            <w:r w:rsidRPr="00515E1E">
              <w:rPr>
                <w:sz w:val="20"/>
                <w:szCs w:val="20"/>
              </w:rPr>
              <w:t>7031.18</w:t>
            </w:r>
          </w:p>
        </w:tc>
        <w:tc>
          <w:tcPr>
            <w:tcW w:w="1170" w:type="dxa"/>
            <w:tcBorders>
              <w:top w:val="nil"/>
              <w:left w:val="nil"/>
              <w:bottom w:val="single" w:sz="6" w:space="0" w:color="auto"/>
              <w:right w:val="nil"/>
            </w:tcBorders>
          </w:tcPr>
          <w:p w14:paraId="6106DF02" w14:textId="77777777" w:rsidR="00515E1E" w:rsidRPr="005E1E85" w:rsidRDefault="00515E1E" w:rsidP="00515E1E">
            <w:pPr>
              <w:widowControl w:val="0"/>
              <w:autoSpaceDE w:val="0"/>
              <w:autoSpaceDN w:val="0"/>
              <w:adjustRightInd w:val="0"/>
              <w:jc w:val="center"/>
              <w:rPr>
                <w:sz w:val="20"/>
                <w:szCs w:val="20"/>
              </w:rPr>
            </w:pPr>
          </w:p>
        </w:tc>
      </w:tr>
    </w:tbl>
    <w:p w14:paraId="4EC0B816" w14:textId="0102D044" w:rsidR="005E1E85" w:rsidRPr="006E2394" w:rsidRDefault="005E1E85" w:rsidP="006E2394">
      <w:pPr>
        <w:widowControl w:val="0"/>
        <w:autoSpaceDE w:val="0"/>
        <w:autoSpaceDN w:val="0"/>
        <w:adjustRightInd w:val="0"/>
        <w:jc w:val="center"/>
        <w:rPr>
          <w:sz w:val="20"/>
          <w:szCs w:val="20"/>
        </w:rPr>
      </w:pPr>
      <w:r w:rsidRPr="006E2394">
        <w:rPr>
          <w:sz w:val="20"/>
          <w:szCs w:val="20"/>
        </w:rPr>
        <w:t>Robust standard errors in parentheses</w:t>
      </w:r>
      <w:r w:rsidR="00623157">
        <w:rPr>
          <w:sz w:val="20"/>
          <w:szCs w:val="20"/>
        </w:rPr>
        <w:t>, clustered at the firm level.</w:t>
      </w:r>
    </w:p>
    <w:p w14:paraId="2C8B2596" w14:textId="0C85348C" w:rsidR="005E1E85" w:rsidRDefault="005E1E85" w:rsidP="00F23571">
      <w:pPr>
        <w:rPr>
          <w:b/>
        </w:rPr>
      </w:pPr>
    </w:p>
    <w:p w14:paraId="6D3D97CD" w14:textId="11909D86" w:rsidR="0020119A" w:rsidRDefault="0020119A" w:rsidP="00F23571">
      <w:pPr>
        <w:rPr>
          <w:b/>
        </w:rPr>
      </w:pPr>
    </w:p>
    <w:p w14:paraId="2FB3C756" w14:textId="77777777" w:rsidR="00C42A35" w:rsidRDefault="00C42A35">
      <w:pPr>
        <w:rPr>
          <w:b/>
        </w:rPr>
      </w:pPr>
      <w:r>
        <w:rPr>
          <w:b/>
        </w:rPr>
        <w:br w:type="page"/>
      </w:r>
    </w:p>
    <w:p w14:paraId="6B65495B" w14:textId="472348FC" w:rsidR="00C46109" w:rsidRPr="00425DD9" w:rsidRDefault="00425DD9" w:rsidP="00F23571">
      <w:pPr>
        <w:rPr>
          <w:b/>
        </w:rPr>
      </w:pPr>
      <w:r w:rsidRPr="00425DD9">
        <w:rPr>
          <w:b/>
        </w:rPr>
        <w:lastRenderedPageBreak/>
        <w:t xml:space="preserve">APPENDIX </w:t>
      </w:r>
    </w:p>
    <w:p w14:paraId="7984A946" w14:textId="77777777" w:rsidR="00425DD9" w:rsidRDefault="00425DD9" w:rsidP="00F23571"/>
    <w:p w14:paraId="14BE142F" w14:textId="6B7C4F2D" w:rsidR="00AE5583" w:rsidRDefault="00425DD9" w:rsidP="00F23571">
      <w:pPr>
        <w:rPr>
          <w:b/>
        </w:rPr>
      </w:pPr>
      <w:r w:rsidRPr="00425DD9">
        <w:rPr>
          <w:b/>
        </w:rPr>
        <w:t xml:space="preserve">Table </w:t>
      </w:r>
      <w:r>
        <w:rPr>
          <w:b/>
        </w:rPr>
        <w:t>A.</w:t>
      </w:r>
      <w:r w:rsidRPr="00425DD9">
        <w:rPr>
          <w:b/>
        </w:rPr>
        <w:t xml:space="preserve">1 – </w:t>
      </w:r>
      <w:r w:rsidR="00AE5583">
        <w:rPr>
          <w:b/>
        </w:rPr>
        <w:t>Odds Ratio</w:t>
      </w:r>
      <w:r w:rsidR="0061384E">
        <w:rPr>
          <w:b/>
        </w:rPr>
        <w:t>s</w:t>
      </w:r>
    </w:p>
    <w:p w14:paraId="1CE47175" w14:textId="3BAF3A0D" w:rsidR="00553B0F" w:rsidRPr="00E30FF7" w:rsidRDefault="00553B0F" w:rsidP="00B51FEB">
      <w:pPr>
        <w:contextualSpacing/>
      </w:pPr>
    </w:p>
    <w:tbl>
      <w:tblPr>
        <w:tblW w:w="6843" w:type="dxa"/>
        <w:jc w:val="center"/>
        <w:tblLayout w:type="fixed"/>
        <w:tblCellMar>
          <w:left w:w="75" w:type="dxa"/>
          <w:right w:w="75" w:type="dxa"/>
        </w:tblCellMar>
        <w:tblLook w:val="0000" w:firstRow="0" w:lastRow="0" w:firstColumn="0" w:lastColumn="0" w:noHBand="0" w:noVBand="0"/>
      </w:tblPr>
      <w:tblGrid>
        <w:gridCol w:w="4107"/>
        <w:gridCol w:w="1296"/>
        <w:gridCol w:w="1440"/>
      </w:tblGrid>
      <w:tr w:rsidR="00091B2C" w:rsidRPr="00FC398B" w14:paraId="71B4F5D2" w14:textId="77777777" w:rsidTr="0061384E">
        <w:trPr>
          <w:jc w:val="center"/>
        </w:trPr>
        <w:tc>
          <w:tcPr>
            <w:tcW w:w="4107" w:type="dxa"/>
            <w:tcBorders>
              <w:top w:val="single" w:sz="6" w:space="0" w:color="auto"/>
              <w:left w:val="nil"/>
              <w:bottom w:val="nil"/>
              <w:right w:val="nil"/>
            </w:tcBorders>
          </w:tcPr>
          <w:p w14:paraId="68E059AA" w14:textId="77777777" w:rsidR="00091B2C" w:rsidRPr="00FC398B" w:rsidRDefault="00091B2C" w:rsidP="00A2641F">
            <w:pPr>
              <w:widowControl w:val="0"/>
              <w:autoSpaceDE w:val="0"/>
              <w:autoSpaceDN w:val="0"/>
              <w:adjustRightInd w:val="0"/>
              <w:contextualSpacing/>
              <w:rPr>
                <w:sz w:val="20"/>
                <w:szCs w:val="20"/>
              </w:rPr>
            </w:pPr>
          </w:p>
        </w:tc>
        <w:tc>
          <w:tcPr>
            <w:tcW w:w="1296" w:type="dxa"/>
            <w:tcBorders>
              <w:top w:val="single" w:sz="6" w:space="0" w:color="auto"/>
              <w:left w:val="nil"/>
              <w:bottom w:val="nil"/>
              <w:right w:val="nil"/>
            </w:tcBorders>
          </w:tcPr>
          <w:p w14:paraId="01DCB484" w14:textId="77777777" w:rsidR="00091B2C" w:rsidRPr="00FC398B" w:rsidRDefault="00091B2C" w:rsidP="00A2641F">
            <w:pPr>
              <w:widowControl w:val="0"/>
              <w:autoSpaceDE w:val="0"/>
              <w:autoSpaceDN w:val="0"/>
              <w:adjustRightInd w:val="0"/>
              <w:contextualSpacing/>
              <w:jc w:val="center"/>
              <w:rPr>
                <w:sz w:val="20"/>
                <w:szCs w:val="20"/>
              </w:rPr>
            </w:pPr>
            <w:r w:rsidRPr="00FC398B">
              <w:rPr>
                <w:sz w:val="20"/>
                <w:szCs w:val="20"/>
              </w:rPr>
              <w:t>(1)</w:t>
            </w:r>
          </w:p>
        </w:tc>
        <w:tc>
          <w:tcPr>
            <w:tcW w:w="1440" w:type="dxa"/>
            <w:tcBorders>
              <w:top w:val="single" w:sz="6" w:space="0" w:color="auto"/>
              <w:left w:val="nil"/>
              <w:bottom w:val="nil"/>
              <w:right w:val="nil"/>
            </w:tcBorders>
          </w:tcPr>
          <w:p w14:paraId="0B05D2B2" w14:textId="77777777" w:rsidR="00091B2C" w:rsidRPr="00FC398B" w:rsidRDefault="00091B2C" w:rsidP="00A2641F">
            <w:pPr>
              <w:widowControl w:val="0"/>
              <w:autoSpaceDE w:val="0"/>
              <w:autoSpaceDN w:val="0"/>
              <w:adjustRightInd w:val="0"/>
              <w:contextualSpacing/>
              <w:jc w:val="center"/>
              <w:rPr>
                <w:sz w:val="20"/>
                <w:szCs w:val="20"/>
              </w:rPr>
            </w:pPr>
            <w:r w:rsidRPr="00FC398B">
              <w:rPr>
                <w:sz w:val="20"/>
                <w:szCs w:val="20"/>
              </w:rPr>
              <w:t>(2)</w:t>
            </w:r>
          </w:p>
        </w:tc>
      </w:tr>
      <w:tr w:rsidR="00091B2C" w:rsidRPr="00FC398B" w14:paraId="259CC0AC" w14:textId="77777777" w:rsidTr="0061384E">
        <w:trPr>
          <w:jc w:val="center"/>
        </w:trPr>
        <w:tc>
          <w:tcPr>
            <w:tcW w:w="4107" w:type="dxa"/>
            <w:tcBorders>
              <w:top w:val="nil"/>
              <w:left w:val="nil"/>
              <w:bottom w:val="single" w:sz="6" w:space="0" w:color="auto"/>
              <w:right w:val="nil"/>
            </w:tcBorders>
          </w:tcPr>
          <w:p w14:paraId="464762B7" w14:textId="77777777" w:rsidR="00091B2C" w:rsidRPr="00FC398B" w:rsidRDefault="00091B2C" w:rsidP="00A2641F">
            <w:pPr>
              <w:widowControl w:val="0"/>
              <w:autoSpaceDE w:val="0"/>
              <w:autoSpaceDN w:val="0"/>
              <w:adjustRightInd w:val="0"/>
              <w:contextualSpacing/>
              <w:rPr>
                <w:sz w:val="20"/>
                <w:szCs w:val="20"/>
              </w:rPr>
            </w:pPr>
            <w:r w:rsidRPr="00FC398B">
              <w:rPr>
                <w:sz w:val="20"/>
                <w:szCs w:val="20"/>
              </w:rPr>
              <w:t>VARIABLES</w:t>
            </w:r>
          </w:p>
        </w:tc>
        <w:tc>
          <w:tcPr>
            <w:tcW w:w="1296" w:type="dxa"/>
            <w:tcBorders>
              <w:top w:val="nil"/>
              <w:left w:val="nil"/>
              <w:bottom w:val="single" w:sz="6" w:space="0" w:color="auto"/>
              <w:right w:val="nil"/>
            </w:tcBorders>
          </w:tcPr>
          <w:p w14:paraId="3BA2CFD6" w14:textId="77777777" w:rsidR="00091B2C" w:rsidRPr="00FC398B" w:rsidRDefault="00091B2C" w:rsidP="00A2641F">
            <w:pPr>
              <w:widowControl w:val="0"/>
              <w:autoSpaceDE w:val="0"/>
              <w:autoSpaceDN w:val="0"/>
              <w:adjustRightInd w:val="0"/>
              <w:contextualSpacing/>
              <w:jc w:val="center"/>
              <w:rPr>
                <w:sz w:val="20"/>
                <w:szCs w:val="20"/>
              </w:rPr>
            </w:pPr>
            <w:r w:rsidRPr="00FC398B">
              <w:rPr>
                <w:sz w:val="20"/>
                <w:szCs w:val="20"/>
              </w:rPr>
              <w:t>EE</w:t>
            </w:r>
          </w:p>
        </w:tc>
        <w:tc>
          <w:tcPr>
            <w:tcW w:w="1440" w:type="dxa"/>
            <w:tcBorders>
              <w:top w:val="nil"/>
              <w:left w:val="nil"/>
              <w:bottom w:val="single" w:sz="6" w:space="0" w:color="auto"/>
              <w:right w:val="nil"/>
            </w:tcBorders>
          </w:tcPr>
          <w:p w14:paraId="700C17E9" w14:textId="77777777" w:rsidR="00091B2C" w:rsidRPr="00FC398B" w:rsidRDefault="00091B2C" w:rsidP="00A2641F">
            <w:pPr>
              <w:widowControl w:val="0"/>
              <w:autoSpaceDE w:val="0"/>
              <w:autoSpaceDN w:val="0"/>
              <w:adjustRightInd w:val="0"/>
              <w:contextualSpacing/>
              <w:jc w:val="center"/>
              <w:rPr>
                <w:sz w:val="20"/>
                <w:szCs w:val="20"/>
              </w:rPr>
            </w:pPr>
            <w:r w:rsidRPr="00FC398B">
              <w:rPr>
                <w:sz w:val="20"/>
                <w:szCs w:val="20"/>
              </w:rPr>
              <w:t>AE</w:t>
            </w:r>
          </w:p>
        </w:tc>
      </w:tr>
      <w:tr w:rsidR="00091B2C" w:rsidRPr="00FC398B" w14:paraId="1FD1CF75" w14:textId="77777777" w:rsidTr="0061384E">
        <w:trPr>
          <w:jc w:val="center"/>
        </w:trPr>
        <w:tc>
          <w:tcPr>
            <w:tcW w:w="4107" w:type="dxa"/>
            <w:tcBorders>
              <w:top w:val="nil"/>
              <w:left w:val="nil"/>
              <w:bottom w:val="nil"/>
              <w:right w:val="nil"/>
            </w:tcBorders>
          </w:tcPr>
          <w:p w14:paraId="09983A57" w14:textId="28DAD396" w:rsidR="00091B2C" w:rsidRPr="00FC398B" w:rsidRDefault="00091B2C" w:rsidP="00553B0F">
            <w:pPr>
              <w:widowControl w:val="0"/>
              <w:autoSpaceDE w:val="0"/>
              <w:autoSpaceDN w:val="0"/>
              <w:adjustRightInd w:val="0"/>
              <w:contextualSpacing/>
              <w:rPr>
                <w:sz w:val="20"/>
                <w:szCs w:val="20"/>
              </w:rPr>
            </w:pPr>
            <w:r>
              <w:rPr>
                <w:color w:val="000000"/>
                <w:kern w:val="24"/>
                <w:sz w:val="20"/>
                <w:szCs w:val="20"/>
                <w:lang w:eastAsia="en-GB"/>
              </w:rPr>
              <w:t>IPR protection</w:t>
            </w:r>
          </w:p>
        </w:tc>
        <w:tc>
          <w:tcPr>
            <w:tcW w:w="1296" w:type="dxa"/>
            <w:tcBorders>
              <w:top w:val="nil"/>
              <w:left w:val="nil"/>
              <w:bottom w:val="nil"/>
              <w:right w:val="nil"/>
            </w:tcBorders>
          </w:tcPr>
          <w:p w14:paraId="3002C365" w14:textId="63FC6DFF"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1.004</w:t>
            </w:r>
          </w:p>
        </w:tc>
        <w:tc>
          <w:tcPr>
            <w:tcW w:w="1440" w:type="dxa"/>
            <w:tcBorders>
              <w:top w:val="nil"/>
              <w:left w:val="nil"/>
              <w:bottom w:val="nil"/>
              <w:right w:val="nil"/>
            </w:tcBorders>
          </w:tcPr>
          <w:p w14:paraId="750EBE79" w14:textId="6614B50D"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1.008</w:t>
            </w:r>
          </w:p>
        </w:tc>
      </w:tr>
      <w:tr w:rsidR="00091B2C" w:rsidRPr="00FC398B" w14:paraId="779FF326" w14:textId="77777777" w:rsidTr="0061384E">
        <w:trPr>
          <w:jc w:val="center"/>
        </w:trPr>
        <w:tc>
          <w:tcPr>
            <w:tcW w:w="4107" w:type="dxa"/>
            <w:tcBorders>
              <w:top w:val="nil"/>
              <w:left w:val="nil"/>
              <w:bottom w:val="nil"/>
              <w:right w:val="nil"/>
            </w:tcBorders>
          </w:tcPr>
          <w:p w14:paraId="4F107426" w14:textId="59BF8813"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4544BBEF"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(0.001)</w:t>
            </w:r>
          </w:p>
        </w:tc>
        <w:tc>
          <w:tcPr>
            <w:tcW w:w="1440" w:type="dxa"/>
            <w:tcBorders>
              <w:top w:val="nil"/>
              <w:left w:val="nil"/>
              <w:bottom w:val="nil"/>
              <w:right w:val="nil"/>
            </w:tcBorders>
          </w:tcPr>
          <w:p w14:paraId="78EA8967"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(0.001)</w:t>
            </w:r>
          </w:p>
        </w:tc>
      </w:tr>
      <w:tr w:rsidR="00091B2C" w:rsidRPr="00FC398B" w14:paraId="61B6ECF1" w14:textId="77777777" w:rsidTr="0061384E">
        <w:trPr>
          <w:jc w:val="center"/>
        </w:trPr>
        <w:tc>
          <w:tcPr>
            <w:tcW w:w="4107" w:type="dxa"/>
            <w:tcBorders>
              <w:top w:val="nil"/>
              <w:left w:val="nil"/>
              <w:bottom w:val="nil"/>
              <w:right w:val="nil"/>
            </w:tcBorders>
          </w:tcPr>
          <w:p w14:paraId="4E3FEFCA" w14:textId="6DF3E779" w:rsidR="00091B2C" w:rsidRPr="00FC398B" w:rsidRDefault="00091B2C" w:rsidP="00553B0F">
            <w:pPr>
              <w:widowControl w:val="0"/>
              <w:autoSpaceDE w:val="0"/>
              <w:autoSpaceDN w:val="0"/>
              <w:adjustRightInd w:val="0"/>
              <w:contextualSpacing/>
              <w:rPr>
                <w:sz w:val="20"/>
                <w:szCs w:val="20"/>
              </w:rPr>
            </w:pPr>
            <w:r>
              <w:rPr>
                <w:color w:val="000000"/>
                <w:kern w:val="24"/>
                <w:sz w:val="20"/>
                <w:szCs w:val="20"/>
                <w:lang w:eastAsia="en-GB"/>
              </w:rPr>
              <w:t>Distance</w:t>
            </w:r>
          </w:p>
        </w:tc>
        <w:tc>
          <w:tcPr>
            <w:tcW w:w="1296" w:type="dxa"/>
            <w:tcBorders>
              <w:top w:val="nil"/>
              <w:left w:val="nil"/>
              <w:bottom w:val="nil"/>
              <w:right w:val="nil"/>
            </w:tcBorders>
          </w:tcPr>
          <w:p w14:paraId="05DF034F" w14:textId="4372A683"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0.593</w:t>
            </w:r>
          </w:p>
        </w:tc>
        <w:tc>
          <w:tcPr>
            <w:tcW w:w="1440" w:type="dxa"/>
            <w:tcBorders>
              <w:top w:val="nil"/>
              <w:left w:val="nil"/>
              <w:bottom w:val="nil"/>
              <w:right w:val="nil"/>
            </w:tcBorders>
          </w:tcPr>
          <w:p w14:paraId="578EA8E4" w14:textId="206AD3EC"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0.739</w:t>
            </w:r>
          </w:p>
        </w:tc>
      </w:tr>
      <w:tr w:rsidR="00091B2C" w:rsidRPr="00FC398B" w14:paraId="0B2EDC2E" w14:textId="77777777" w:rsidTr="0061384E">
        <w:trPr>
          <w:jc w:val="center"/>
        </w:trPr>
        <w:tc>
          <w:tcPr>
            <w:tcW w:w="4107" w:type="dxa"/>
            <w:tcBorders>
              <w:top w:val="nil"/>
              <w:left w:val="nil"/>
              <w:bottom w:val="nil"/>
              <w:right w:val="nil"/>
            </w:tcBorders>
          </w:tcPr>
          <w:p w14:paraId="41ACCE5D" w14:textId="23D424EF"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1D75A672"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(0.018)</w:t>
            </w:r>
          </w:p>
        </w:tc>
        <w:tc>
          <w:tcPr>
            <w:tcW w:w="1440" w:type="dxa"/>
            <w:tcBorders>
              <w:top w:val="nil"/>
              <w:left w:val="nil"/>
              <w:bottom w:val="nil"/>
              <w:right w:val="nil"/>
            </w:tcBorders>
          </w:tcPr>
          <w:p w14:paraId="457F2307"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(0.004)</w:t>
            </w:r>
          </w:p>
        </w:tc>
      </w:tr>
      <w:tr w:rsidR="00091B2C" w:rsidRPr="00FC398B" w14:paraId="3B58D7A7" w14:textId="77777777" w:rsidTr="0061384E">
        <w:trPr>
          <w:jc w:val="center"/>
        </w:trPr>
        <w:tc>
          <w:tcPr>
            <w:tcW w:w="4107" w:type="dxa"/>
            <w:tcBorders>
              <w:top w:val="nil"/>
              <w:left w:val="nil"/>
              <w:bottom w:val="nil"/>
              <w:right w:val="nil"/>
            </w:tcBorders>
          </w:tcPr>
          <w:p w14:paraId="1FC18EE7" w14:textId="515E6666" w:rsidR="00091B2C" w:rsidRPr="00FC398B" w:rsidRDefault="00091B2C" w:rsidP="00553B0F">
            <w:pPr>
              <w:widowControl w:val="0"/>
              <w:autoSpaceDE w:val="0"/>
              <w:autoSpaceDN w:val="0"/>
              <w:adjustRightInd w:val="0"/>
              <w:contextualSpacing/>
              <w:rPr>
                <w:sz w:val="20"/>
                <w:szCs w:val="20"/>
              </w:rPr>
            </w:pPr>
            <w:r w:rsidRPr="00FC398B">
              <w:rPr>
                <w:color w:val="000000"/>
                <w:kern w:val="24"/>
                <w:sz w:val="20"/>
                <w:szCs w:val="20"/>
                <w:lang w:eastAsia="en-GB"/>
              </w:rPr>
              <w:t>Foreign-born population</w:t>
            </w:r>
          </w:p>
        </w:tc>
        <w:tc>
          <w:tcPr>
            <w:tcW w:w="1296" w:type="dxa"/>
            <w:tcBorders>
              <w:top w:val="nil"/>
              <w:left w:val="nil"/>
              <w:bottom w:val="nil"/>
              <w:right w:val="nil"/>
            </w:tcBorders>
          </w:tcPr>
          <w:p w14:paraId="5F94049D" w14:textId="3D50C08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1.975</w:t>
            </w:r>
          </w:p>
        </w:tc>
        <w:tc>
          <w:tcPr>
            <w:tcW w:w="1440" w:type="dxa"/>
            <w:tcBorders>
              <w:top w:val="nil"/>
              <w:left w:val="nil"/>
              <w:bottom w:val="nil"/>
              <w:right w:val="nil"/>
            </w:tcBorders>
          </w:tcPr>
          <w:p w14:paraId="4C81ECED" w14:textId="5DF6D2EF"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1.149</w:t>
            </w:r>
          </w:p>
        </w:tc>
      </w:tr>
      <w:tr w:rsidR="00091B2C" w:rsidRPr="00FC398B" w14:paraId="1FEF9819" w14:textId="77777777" w:rsidTr="0061384E">
        <w:trPr>
          <w:jc w:val="center"/>
        </w:trPr>
        <w:tc>
          <w:tcPr>
            <w:tcW w:w="4107" w:type="dxa"/>
            <w:tcBorders>
              <w:top w:val="nil"/>
              <w:left w:val="nil"/>
              <w:bottom w:val="nil"/>
              <w:right w:val="nil"/>
            </w:tcBorders>
          </w:tcPr>
          <w:p w14:paraId="5A55F510" w14:textId="1C99AB1C"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2EA74706"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(0.013)</w:t>
            </w:r>
          </w:p>
        </w:tc>
        <w:tc>
          <w:tcPr>
            <w:tcW w:w="1440" w:type="dxa"/>
            <w:tcBorders>
              <w:top w:val="nil"/>
              <w:left w:val="nil"/>
              <w:bottom w:val="nil"/>
              <w:right w:val="nil"/>
            </w:tcBorders>
          </w:tcPr>
          <w:p w14:paraId="625C6D58"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(0.006)</w:t>
            </w:r>
          </w:p>
        </w:tc>
      </w:tr>
      <w:tr w:rsidR="00091B2C" w:rsidRPr="00FC398B" w14:paraId="2DAEA245" w14:textId="77777777" w:rsidTr="0061384E">
        <w:trPr>
          <w:jc w:val="center"/>
        </w:trPr>
        <w:tc>
          <w:tcPr>
            <w:tcW w:w="4107" w:type="dxa"/>
            <w:tcBorders>
              <w:top w:val="nil"/>
              <w:left w:val="nil"/>
              <w:bottom w:val="nil"/>
              <w:right w:val="nil"/>
            </w:tcBorders>
          </w:tcPr>
          <w:p w14:paraId="45AACA67" w14:textId="2D8B2B33" w:rsidR="00091B2C" w:rsidRPr="00FC398B" w:rsidRDefault="00091B2C" w:rsidP="00553B0F">
            <w:pPr>
              <w:widowControl w:val="0"/>
              <w:autoSpaceDE w:val="0"/>
              <w:autoSpaceDN w:val="0"/>
              <w:adjustRightInd w:val="0"/>
              <w:contextualSpacing/>
              <w:rPr>
                <w:sz w:val="20"/>
                <w:szCs w:val="20"/>
              </w:rPr>
            </w:pPr>
            <w:r>
              <w:rPr>
                <w:sz w:val="20"/>
                <w:szCs w:val="20"/>
              </w:rPr>
              <w:t>Population</w:t>
            </w:r>
          </w:p>
        </w:tc>
        <w:tc>
          <w:tcPr>
            <w:tcW w:w="1296" w:type="dxa"/>
            <w:tcBorders>
              <w:top w:val="nil"/>
              <w:left w:val="nil"/>
              <w:bottom w:val="nil"/>
              <w:right w:val="nil"/>
            </w:tcBorders>
          </w:tcPr>
          <w:p w14:paraId="4423AAA8" w14:textId="6106F722"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2.421</w:t>
            </w:r>
          </w:p>
        </w:tc>
        <w:tc>
          <w:tcPr>
            <w:tcW w:w="1440" w:type="dxa"/>
            <w:tcBorders>
              <w:top w:val="nil"/>
              <w:left w:val="nil"/>
              <w:bottom w:val="nil"/>
              <w:right w:val="nil"/>
            </w:tcBorders>
          </w:tcPr>
          <w:p w14:paraId="2756D5AF" w14:textId="6343CB29"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1.882</w:t>
            </w:r>
          </w:p>
        </w:tc>
      </w:tr>
      <w:tr w:rsidR="00091B2C" w:rsidRPr="00FC398B" w14:paraId="2603FA8D" w14:textId="77777777" w:rsidTr="0061384E">
        <w:trPr>
          <w:jc w:val="center"/>
        </w:trPr>
        <w:tc>
          <w:tcPr>
            <w:tcW w:w="4107" w:type="dxa"/>
            <w:tcBorders>
              <w:top w:val="nil"/>
              <w:left w:val="nil"/>
              <w:bottom w:val="nil"/>
              <w:right w:val="nil"/>
            </w:tcBorders>
          </w:tcPr>
          <w:p w14:paraId="1F93F2A2" w14:textId="4E46132F"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09CFE1DC"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(0.030)</w:t>
            </w:r>
          </w:p>
        </w:tc>
        <w:tc>
          <w:tcPr>
            <w:tcW w:w="1440" w:type="dxa"/>
            <w:tcBorders>
              <w:top w:val="nil"/>
              <w:left w:val="nil"/>
              <w:bottom w:val="nil"/>
              <w:right w:val="nil"/>
            </w:tcBorders>
          </w:tcPr>
          <w:p w14:paraId="07186076"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(0.019)</w:t>
            </w:r>
          </w:p>
        </w:tc>
      </w:tr>
      <w:tr w:rsidR="00091B2C" w:rsidRPr="00FC398B" w14:paraId="6F1D1638" w14:textId="77777777" w:rsidTr="0061384E">
        <w:trPr>
          <w:jc w:val="center"/>
        </w:trPr>
        <w:tc>
          <w:tcPr>
            <w:tcW w:w="4107" w:type="dxa"/>
            <w:tcBorders>
              <w:top w:val="nil"/>
              <w:left w:val="nil"/>
              <w:bottom w:val="nil"/>
              <w:right w:val="nil"/>
            </w:tcBorders>
          </w:tcPr>
          <w:p w14:paraId="01AFC01A" w14:textId="36FCFB8E" w:rsidR="00091B2C" w:rsidRPr="00FC398B" w:rsidRDefault="00091B2C" w:rsidP="00553B0F">
            <w:pPr>
              <w:widowControl w:val="0"/>
              <w:autoSpaceDE w:val="0"/>
              <w:autoSpaceDN w:val="0"/>
              <w:adjustRightInd w:val="0"/>
              <w:contextualSpacing/>
              <w:rPr>
                <w:sz w:val="20"/>
                <w:szCs w:val="20"/>
              </w:rPr>
            </w:pPr>
            <w:r w:rsidRPr="00FC398B">
              <w:rPr>
                <w:color w:val="000000"/>
                <w:kern w:val="24"/>
                <w:sz w:val="20"/>
                <w:szCs w:val="20"/>
                <w:lang w:eastAsia="en-GB"/>
              </w:rPr>
              <w:t>GDP Growth</w:t>
            </w:r>
          </w:p>
        </w:tc>
        <w:tc>
          <w:tcPr>
            <w:tcW w:w="1296" w:type="dxa"/>
            <w:tcBorders>
              <w:top w:val="nil"/>
              <w:left w:val="nil"/>
              <w:bottom w:val="nil"/>
              <w:right w:val="nil"/>
            </w:tcBorders>
          </w:tcPr>
          <w:p w14:paraId="4E6966DB" w14:textId="3AD5CEBE"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1.176</w:t>
            </w:r>
          </w:p>
        </w:tc>
        <w:tc>
          <w:tcPr>
            <w:tcW w:w="1440" w:type="dxa"/>
            <w:tcBorders>
              <w:top w:val="nil"/>
              <w:left w:val="nil"/>
              <w:bottom w:val="nil"/>
              <w:right w:val="nil"/>
            </w:tcBorders>
          </w:tcPr>
          <w:p w14:paraId="3C9BCF5B"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1.002</w:t>
            </w:r>
          </w:p>
        </w:tc>
      </w:tr>
      <w:tr w:rsidR="00091B2C" w:rsidRPr="00FC398B" w14:paraId="6CC036A9" w14:textId="77777777" w:rsidTr="0061384E">
        <w:trPr>
          <w:jc w:val="center"/>
        </w:trPr>
        <w:tc>
          <w:tcPr>
            <w:tcW w:w="4107" w:type="dxa"/>
            <w:tcBorders>
              <w:top w:val="nil"/>
              <w:left w:val="nil"/>
              <w:bottom w:val="nil"/>
              <w:right w:val="nil"/>
            </w:tcBorders>
          </w:tcPr>
          <w:p w14:paraId="49EA5270" w14:textId="715ACCE2"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3D696256"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(0.011)</w:t>
            </w:r>
          </w:p>
        </w:tc>
        <w:tc>
          <w:tcPr>
            <w:tcW w:w="1440" w:type="dxa"/>
            <w:tcBorders>
              <w:top w:val="nil"/>
              <w:left w:val="nil"/>
              <w:bottom w:val="nil"/>
              <w:right w:val="nil"/>
            </w:tcBorders>
          </w:tcPr>
          <w:p w14:paraId="0EEE5A4E"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(0.004)</w:t>
            </w:r>
          </w:p>
        </w:tc>
      </w:tr>
      <w:tr w:rsidR="00091B2C" w:rsidRPr="00FC398B" w14:paraId="06DB5543" w14:textId="77777777" w:rsidTr="0061384E">
        <w:trPr>
          <w:jc w:val="center"/>
        </w:trPr>
        <w:tc>
          <w:tcPr>
            <w:tcW w:w="4107" w:type="dxa"/>
            <w:tcBorders>
              <w:top w:val="nil"/>
              <w:left w:val="nil"/>
              <w:bottom w:val="nil"/>
              <w:right w:val="nil"/>
            </w:tcBorders>
          </w:tcPr>
          <w:p w14:paraId="78C13683" w14:textId="37CF79B3" w:rsidR="00091B2C" w:rsidRPr="00FC398B" w:rsidRDefault="00091B2C" w:rsidP="00553B0F">
            <w:pPr>
              <w:widowControl w:val="0"/>
              <w:autoSpaceDE w:val="0"/>
              <w:autoSpaceDN w:val="0"/>
              <w:adjustRightInd w:val="0"/>
              <w:contextualSpacing/>
              <w:rPr>
                <w:sz w:val="20"/>
                <w:szCs w:val="20"/>
              </w:rPr>
            </w:pPr>
            <w:r w:rsidRPr="00FC398B">
              <w:rPr>
                <w:sz w:val="20"/>
                <w:szCs w:val="20"/>
              </w:rPr>
              <w:t>Common Language</w:t>
            </w:r>
          </w:p>
        </w:tc>
        <w:tc>
          <w:tcPr>
            <w:tcW w:w="1296" w:type="dxa"/>
            <w:tcBorders>
              <w:top w:val="nil"/>
              <w:left w:val="nil"/>
              <w:bottom w:val="nil"/>
              <w:right w:val="nil"/>
            </w:tcBorders>
          </w:tcPr>
          <w:p w14:paraId="275527BE" w14:textId="3769299D"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4.345</w:t>
            </w:r>
          </w:p>
        </w:tc>
        <w:tc>
          <w:tcPr>
            <w:tcW w:w="1440" w:type="dxa"/>
            <w:tcBorders>
              <w:top w:val="nil"/>
              <w:left w:val="nil"/>
              <w:bottom w:val="nil"/>
              <w:right w:val="nil"/>
            </w:tcBorders>
          </w:tcPr>
          <w:p w14:paraId="08E26A16" w14:textId="586E36AA"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1.185</w:t>
            </w:r>
          </w:p>
        </w:tc>
      </w:tr>
      <w:tr w:rsidR="00091B2C" w:rsidRPr="00FC398B" w14:paraId="6B523734" w14:textId="77777777" w:rsidTr="0061384E">
        <w:trPr>
          <w:jc w:val="center"/>
        </w:trPr>
        <w:tc>
          <w:tcPr>
            <w:tcW w:w="4107" w:type="dxa"/>
            <w:tcBorders>
              <w:top w:val="nil"/>
              <w:left w:val="nil"/>
              <w:bottom w:val="nil"/>
              <w:right w:val="nil"/>
            </w:tcBorders>
          </w:tcPr>
          <w:p w14:paraId="2762A377" w14:textId="329FAB7A"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0E25C195"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(0.233)</w:t>
            </w:r>
          </w:p>
        </w:tc>
        <w:tc>
          <w:tcPr>
            <w:tcW w:w="1440" w:type="dxa"/>
            <w:tcBorders>
              <w:top w:val="nil"/>
              <w:left w:val="nil"/>
              <w:bottom w:val="nil"/>
              <w:right w:val="nil"/>
            </w:tcBorders>
          </w:tcPr>
          <w:p w14:paraId="59803131"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(0.018)</w:t>
            </w:r>
          </w:p>
        </w:tc>
      </w:tr>
      <w:tr w:rsidR="00091B2C" w:rsidRPr="00FC398B" w14:paraId="1F889535" w14:textId="77777777" w:rsidTr="0061384E">
        <w:trPr>
          <w:jc w:val="center"/>
        </w:trPr>
        <w:tc>
          <w:tcPr>
            <w:tcW w:w="4107" w:type="dxa"/>
            <w:tcBorders>
              <w:top w:val="nil"/>
              <w:left w:val="nil"/>
              <w:bottom w:val="nil"/>
              <w:right w:val="nil"/>
            </w:tcBorders>
          </w:tcPr>
          <w:p w14:paraId="4C1CACB1" w14:textId="2D7C8B8A" w:rsidR="00091B2C" w:rsidRPr="00FC398B" w:rsidRDefault="00091B2C" w:rsidP="00553B0F">
            <w:pPr>
              <w:widowControl w:val="0"/>
              <w:autoSpaceDE w:val="0"/>
              <w:autoSpaceDN w:val="0"/>
              <w:adjustRightInd w:val="0"/>
              <w:contextualSpacing/>
              <w:rPr>
                <w:sz w:val="20"/>
                <w:szCs w:val="20"/>
              </w:rPr>
            </w:pPr>
            <w:r w:rsidRPr="00FC398B">
              <w:rPr>
                <w:color w:val="000000"/>
                <w:kern w:val="24"/>
                <w:sz w:val="20"/>
                <w:szCs w:val="20"/>
                <w:lang w:eastAsia="en-GB"/>
              </w:rPr>
              <w:t>GDP per capita</w:t>
            </w:r>
          </w:p>
        </w:tc>
        <w:tc>
          <w:tcPr>
            <w:tcW w:w="1296" w:type="dxa"/>
            <w:tcBorders>
              <w:top w:val="nil"/>
              <w:left w:val="nil"/>
              <w:bottom w:val="nil"/>
              <w:right w:val="nil"/>
            </w:tcBorders>
          </w:tcPr>
          <w:p w14:paraId="0319E43C" w14:textId="1733EE4E"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1.003</w:t>
            </w:r>
          </w:p>
        </w:tc>
        <w:tc>
          <w:tcPr>
            <w:tcW w:w="1440" w:type="dxa"/>
            <w:tcBorders>
              <w:top w:val="nil"/>
              <w:left w:val="nil"/>
              <w:bottom w:val="nil"/>
              <w:right w:val="nil"/>
            </w:tcBorders>
          </w:tcPr>
          <w:p w14:paraId="135594C9"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0.999</w:t>
            </w:r>
          </w:p>
        </w:tc>
      </w:tr>
      <w:tr w:rsidR="00091B2C" w:rsidRPr="00FC398B" w14:paraId="3163C595" w14:textId="77777777" w:rsidTr="0061384E">
        <w:trPr>
          <w:jc w:val="center"/>
        </w:trPr>
        <w:tc>
          <w:tcPr>
            <w:tcW w:w="4107" w:type="dxa"/>
            <w:tcBorders>
              <w:top w:val="nil"/>
              <w:left w:val="nil"/>
              <w:bottom w:val="nil"/>
              <w:right w:val="nil"/>
            </w:tcBorders>
          </w:tcPr>
          <w:p w14:paraId="55D0D83C" w14:textId="32822882"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480468A9"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(0.001)</w:t>
            </w:r>
          </w:p>
        </w:tc>
        <w:tc>
          <w:tcPr>
            <w:tcW w:w="1440" w:type="dxa"/>
            <w:tcBorders>
              <w:top w:val="nil"/>
              <w:left w:val="nil"/>
              <w:bottom w:val="nil"/>
              <w:right w:val="nil"/>
            </w:tcBorders>
          </w:tcPr>
          <w:p w14:paraId="6C3006B1"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(0.001)</w:t>
            </w:r>
          </w:p>
        </w:tc>
      </w:tr>
      <w:tr w:rsidR="00091B2C" w:rsidRPr="00FC398B" w14:paraId="5A377551" w14:textId="77777777" w:rsidTr="0061384E">
        <w:trPr>
          <w:jc w:val="center"/>
        </w:trPr>
        <w:tc>
          <w:tcPr>
            <w:tcW w:w="4107" w:type="dxa"/>
            <w:tcBorders>
              <w:top w:val="nil"/>
              <w:left w:val="nil"/>
              <w:bottom w:val="nil"/>
              <w:right w:val="nil"/>
            </w:tcBorders>
          </w:tcPr>
          <w:p w14:paraId="5B9FC4E3" w14:textId="122A91FD" w:rsidR="00091B2C" w:rsidRPr="00FC398B" w:rsidRDefault="00091B2C" w:rsidP="00D6052A">
            <w:pPr>
              <w:widowControl w:val="0"/>
              <w:autoSpaceDE w:val="0"/>
              <w:autoSpaceDN w:val="0"/>
              <w:adjustRightInd w:val="0"/>
              <w:contextualSpacing/>
              <w:rPr>
                <w:sz w:val="20"/>
                <w:szCs w:val="20"/>
              </w:rPr>
            </w:pPr>
            <w:r w:rsidRPr="00FC398B">
              <w:rPr>
                <w:color w:val="000000"/>
                <w:kern w:val="24"/>
                <w:sz w:val="20"/>
                <w:szCs w:val="20"/>
                <w:lang w:eastAsia="en-GB"/>
              </w:rPr>
              <w:t>Manufacturing</w:t>
            </w:r>
          </w:p>
        </w:tc>
        <w:tc>
          <w:tcPr>
            <w:tcW w:w="1296" w:type="dxa"/>
            <w:tcBorders>
              <w:top w:val="nil"/>
              <w:left w:val="nil"/>
              <w:bottom w:val="nil"/>
              <w:right w:val="nil"/>
            </w:tcBorders>
          </w:tcPr>
          <w:p w14:paraId="1B51178D" w14:textId="3E49D1F2"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1.171</w:t>
            </w:r>
          </w:p>
        </w:tc>
        <w:tc>
          <w:tcPr>
            <w:tcW w:w="1440" w:type="dxa"/>
            <w:tcBorders>
              <w:top w:val="nil"/>
              <w:left w:val="nil"/>
              <w:bottom w:val="nil"/>
              <w:right w:val="nil"/>
            </w:tcBorders>
          </w:tcPr>
          <w:p w14:paraId="110142F5" w14:textId="3107FFD1"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1.027</w:t>
            </w:r>
          </w:p>
        </w:tc>
      </w:tr>
      <w:tr w:rsidR="00091B2C" w:rsidRPr="00FC398B" w14:paraId="093F9C12" w14:textId="77777777" w:rsidTr="0061384E">
        <w:trPr>
          <w:jc w:val="center"/>
        </w:trPr>
        <w:tc>
          <w:tcPr>
            <w:tcW w:w="4107" w:type="dxa"/>
            <w:tcBorders>
              <w:top w:val="nil"/>
              <w:left w:val="nil"/>
              <w:bottom w:val="nil"/>
              <w:right w:val="nil"/>
            </w:tcBorders>
          </w:tcPr>
          <w:p w14:paraId="1C9C865C" w14:textId="4658DE1D"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3BDB3A69"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(0.004)</w:t>
            </w:r>
          </w:p>
        </w:tc>
        <w:tc>
          <w:tcPr>
            <w:tcW w:w="1440" w:type="dxa"/>
            <w:tcBorders>
              <w:top w:val="nil"/>
              <w:left w:val="nil"/>
              <w:bottom w:val="nil"/>
              <w:right w:val="nil"/>
            </w:tcBorders>
          </w:tcPr>
          <w:p w14:paraId="645C9074"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(0.001)</w:t>
            </w:r>
          </w:p>
        </w:tc>
      </w:tr>
      <w:tr w:rsidR="00091B2C" w:rsidRPr="00FC398B" w14:paraId="76269F38" w14:textId="77777777" w:rsidTr="0061384E">
        <w:trPr>
          <w:jc w:val="center"/>
        </w:trPr>
        <w:tc>
          <w:tcPr>
            <w:tcW w:w="4107" w:type="dxa"/>
            <w:tcBorders>
              <w:top w:val="nil"/>
              <w:left w:val="nil"/>
              <w:bottom w:val="nil"/>
              <w:right w:val="nil"/>
            </w:tcBorders>
          </w:tcPr>
          <w:p w14:paraId="685303DA" w14:textId="062F48AB" w:rsidR="00091B2C" w:rsidRPr="00FC398B" w:rsidRDefault="00091B2C" w:rsidP="00553B0F">
            <w:pPr>
              <w:widowControl w:val="0"/>
              <w:autoSpaceDE w:val="0"/>
              <w:autoSpaceDN w:val="0"/>
              <w:adjustRightInd w:val="0"/>
              <w:contextualSpacing/>
              <w:rPr>
                <w:sz w:val="20"/>
                <w:szCs w:val="20"/>
              </w:rPr>
            </w:pPr>
            <w:r>
              <w:rPr>
                <w:color w:val="000000"/>
                <w:kern w:val="24"/>
                <w:sz w:val="20"/>
                <w:szCs w:val="20"/>
                <w:lang w:eastAsia="en-GB"/>
              </w:rPr>
              <w:t>Agglomeration</w:t>
            </w:r>
          </w:p>
        </w:tc>
        <w:tc>
          <w:tcPr>
            <w:tcW w:w="1296" w:type="dxa"/>
            <w:tcBorders>
              <w:top w:val="nil"/>
              <w:left w:val="nil"/>
              <w:bottom w:val="nil"/>
              <w:right w:val="nil"/>
            </w:tcBorders>
          </w:tcPr>
          <w:p w14:paraId="53C7AD91" w14:textId="1AEDB2AB"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1.014</w:t>
            </w:r>
          </w:p>
        </w:tc>
        <w:tc>
          <w:tcPr>
            <w:tcW w:w="1440" w:type="dxa"/>
            <w:tcBorders>
              <w:top w:val="nil"/>
              <w:left w:val="nil"/>
              <w:bottom w:val="nil"/>
              <w:right w:val="nil"/>
            </w:tcBorders>
          </w:tcPr>
          <w:p w14:paraId="2E5A78AE" w14:textId="2BEC1760"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1.088</w:t>
            </w:r>
          </w:p>
        </w:tc>
      </w:tr>
      <w:tr w:rsidR="00091B2C" w:rsidRPr="00FC398B" w14:paraId="2892DAFB" w14:textId="77777777" w:rsidTr="0061384E">
        <w:trPr>
          <w:jc w:val="center"/>
        </w:trPr>
        <w:tc>
          <w:tcPr>
            <w:tcW w:w="4107" w:type="dxa"/>
            <w:tcBorders>
              <w:top w:val="nil"/>
              <w:left w:val="nil"/>
              <w:bottom w:val="nil"/>
              <w:right w:val="nil"/>
            </w:tcBorders>
          </w:tcPr>
          <w:p w14:paraId="42B72D64" w14:textId="5A4DE509"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08552D86"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(0.003)</w:t>
            </w:r>
          </w:p>
        </w:tc>
        <w:tc>
          <w:tcPr>
            <w:tcW w:w="1440" w:type="dxa"/>
            <w:tcBorders>
              <w:top w:val="nil"/>
              <w:left w:val="nil"/>
              <w:bottom w:val="nil"/>
              <w:right w:val="nil"/>
            </w:tcBorders>
          </w:tcPr>
          <w:p w14:paraId="46C01923"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(0.006)</w:t>
            </w:r>
          </w:p>
        </w:tc>
      </w:tr>
      <w:tr w:rsidR="00091B2C" w:rsidRPr="00FC398B" w14:paraId="0E60F6EB" w14:textId="77777777" w:rsidTr="0061384E">
        <w:trPr>
          <w:jc w:val="center"/>
        </w:trPr>
        <w:tc>
          <w:tcPr>
            <w:tcW w:w="4107" w:type="dxa"/>
            <w:tcBorders>
              <w:top w:val="nil"/>
              <w:left w:val="nil"/>
              <w:bottom w:val="nil"/>
              <w:right w:val="nil"/>
            </w:tcBorders>
          </w:tcPr>
          <w:p w14:paraId="24E79BB0" w14:textId="5F036C9C" w:rsidR="00091B2C" w:rsidRPr="00FC398B" w:rsidRDefault="00091B2C" w:rsidP="00D6052A">
            <w:pPr>
              <w:widowControl w:val="0"/>
              <w:autoSpaceDE w:val="0"/>
              <w:autoSpaceDN w:val="0"/>
              <w:adjustRightInd w:val="0"/>
              <w:contextualSpacing/>
              <w:rPr>
                <w:sz w:val="20"/>
                <w:szCs w:val="20"/>
              </w:rPr>
            </w:pPr>
            <w:r w:rsidRPr="00FC398B">
              <w:rPr>
                <w:color w:val="000000"/>
                <w:kern w:val="24"/>
                <w:sz w:val="20"/>
                <w:szCs w:val="20"/>
                <w:lang w:eastAsia="en-GB"/>
              </w:rPr>
              <w:t>Trade</w:t>
            </w:r>
            <w:r>
              <w:rPr>
                <w:color w:val="000000"/>
                <w:kern w:val="24"/>
                <w:sz w:val="20"/>
                <w:szCs w:val="20"/>
                <w:lang w:eastAsia="en-GB"/>
              </w:rPr>
              <w:t xml:space="preserve"> openness</w:t>
            </w:r>
          </w:p>
        </w:tc>
        <w:tc>
          <w:tcPr>
            <w:tcW w:w="1296" w:type="dxa"/>
            <w:tcBorders>
              <w:top w:val="nil"/>
              <w:left w:val="nil"/>
              <w:bottom w:val="nil"/>
              <w:right w:val="nil"/>
            </w:tcBorders>
          </w:tcPr>
          <w:p w14:paraId="644C73DF" w14:textId="1B497BC5"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1.010</w:t>
            </w:r>
          </w:p>
        </w:tc>
        <w:tc>
          <w:tcPr>
            <w:tcW w:w="1440" w:type="dxa"/>
            <w:tcBorders>
              <w:top w:val="nil"/>
              <w:left w:val="nil"/>
              <w:bottom w:val="nil"/>
              <w:right w:val="nil"/>
            </w:tcBorders>
          </w:tcPr>
          <w:p w14:paraId="6406100B" w14:textId="6D1DE963"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1.009</w:t>
            </w:r>
          </w:p>
        </w:tc>
      </w:tr>
      <w:tr w:rsidR="00091B2C" w:rsidRPr="00FC398B" w14:paraId="2E853FFC" w14:textId="77777777" w:rsidTr="0061384E">
        <w:trPr>
          <w:jc w:val="center"/>
        </w:trPr>
        <w:tc>
          <w:tcPr>
            <w:tcW w:w="4107" w:type="dxa"/>
            <w:tcBorders>
              <w:top w:val="nil"/>
              <w:left w:val="nil"/>
              <w:bottom w:val="nil"/>
              <w:right w:val="nil"/>
            </w:tcBorders>
          </w:tcPr>
          <w:p w14:paraId="38ED5237" w14:textId="795876B0"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0377CE58"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(0.000)</w:t>
            </w:r>
          </w:p>
        </w:tc>
        <w:tc>
          <w:tcPr>
            <w:tcW w:w="1440" w:type="dxa"/>
            <w:tcBorders>
              <w:top w:val="nil"/>
              <w:left w:val="nil"/>
              <w:bottom w:val="nil"/>
              <w:right w:val="nil"/>
            </w:tcBorders>
          </w:tcPr>
          <w:p w14:paraId="2633A896"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(0.000)</w:t>
            </w:r>
          </w:p>
        </w:tc>
      </w:tr>
      <w:tr w:rsidR="00091B2C" w:rsidRPr="00FC398B" w14:paraId="74A1960E" w14:textId="77777777" w:rsidTr="0061384E">
        <w:trPr>
          <w:jc w:val="center"/>
        </w:trPr>
        <w:tc>
          <w:tcPr>
            <w:tcW w:w="4107" w:type="dxa"/>
            <w:tcBorders>
              <w:top w:val="nil"/>
              <w:left w:val="nil"/>
              <w:bottom w:val="nil"/>
              <w:right w:val="nil"/>
            </w:tcBorders>
          </w:tcPr>
          <w:p w14:paraId="48F46D34" w14:textId="77777777" w:rsidR="00091B2C" w:rsidRPr="00FC398B" w:rsidRDefault="00091B2C" w:rsidP="00553B0F">
            <w:pPr>
              <w:widowControl w:val="0"/>
              <w:autoSpaceDE w:val="0"/>
              <w:autoSpaceDN w:val="0"/>
              <w:adjustRightInd w:val="0"/>
              <w:contextualSpacing/>
              <w:rPr>
                <w:sz w:val="20"/>
                <w:szCs w:val="20"/>
              </w:rPr>
            </w:pPr>
          </w:p>
        </w:tc>
        <w:tc>
          <w:tcPr>
            <w:tcW w:w="1296" w:type="dxa"/>
            <w:tcBorders>
              <w:top w:val="nil"/>
              <w:left w:val="nil"/>
              <w:bottom w:val="nil"/>
              <w:right w:val="nil"/>
            </w:tcBorders>
          </w:tcPr>
          <w:p w14:paraId="640E48BE" w14:textId="77777777" w:rsidR="00091B2C" w:rsidRPr="00FC398B" w:rsidRDefault="00091B2C" w:rsidP="00553B0F">
            <w:pPr>
              <w:widowControl w:val="0"/>
              <w:autoSpaceDE w:val="0"/>
              <w:autoSpaceDN w:val="0"/>
              <w:adjustRightInd w:val="0"/>
              <w:contextualSpacing/>
              <w:jc w:val="center"/>
              <w:rPr>
                <w:sz w:val="20"/>
                <w:szCs w:val="20"/>
              </w:rPr>
            </w:pPr>
          </w:p>
        </w:tc>
        <w:tc>
          <w:tcPr>
            <w:tcW w:w="1440" w:type="dxa"/>
            <w:tcBorders>
              <w:top w:val="nil"/>
              <w:left w:val="nil"/>
              <w:bottom w:val="nil"/>
              <w:right w:val="nil"/>
            </w:tcBorders>
          </w:tcPr>
          <w:p w14:paraId="13098D99" w14:textId="77777777" w:rsidR="00091B2C" w:rsidRPr="00FC398B" w:rsidRDefault="00091B2C" w:rsidP="00553B0F">
            <w:pPr>
              <w:widowControl w:val="0"/>
              <w:autoSpaceDE w:val="0"/>
              <w:autoSpaceDN w:val="0"/>
              <w:adjustRightInd w:val="0"/>
              <w:contextualSpacing/>
              <w:jc w:val="center"/>
              <w:rPr>
                <w:sz w:val="20"/>
                <w:szCs w:val="20"/>
              </w:rPr>
            </w:pPr>
          </w:p>
        </w:tc>
      </w:tr>
      <w:tr w:rsidR="00091B2C" w:rsidRPr="00FC398B" w14:paraId="6FA6C4A4" w14:textId="77777777" w:rsidTr="0061384E">
        <w:trPr>
          <w:jc w:val="center"/>
        </w:trPr>
        <w:tc>
          <w:tcPr>
            <w:tcW w:w="4107" w:type="dxa"/>
            <w:tcBorders>
              <w:top w:val="nil"/>
              <w:left w:val="nil"/>
              <w:bottom w:val="nil"/>
              <w:right w:val="nil"/>
            </w:tcBorders>
          </w:tcPr>
          <w:p w14:paraId="76069CAE" w14:textId="2BBA12FB" w:rsidR="00091B2C" w:rsidRPr="00FC398B" w:rsidRDefault="00091B2C" w:rsidP="00553B0F">
            <w:pPr>
              <w:widowControl w:val="0"/>
              <w:autoSpaceDE w:val="0"/>
              <w:autoSpaceDN w:val="0"/>
              <w:adjustRightInd w:val="0"/>
              <w:contextualSpacing/>
              <w:rPr>
                <w:sz w:val="20"/>
                <w:szCs w:val="20"/>
              </w:rPr>
            </w:pPr>
            <w:r w:rsidRPr="00FC398B">
              <w:rPr>
                <w:sz w:val="20"/>
                <w:szCs w:val="20"/>
              </w:rPr>
              <w:t>Observations</w:t>
            </w:r>
          </w:p>
        </w:tc>
        <w:tc>
          <w:tcPr>
            <w:tcW w:w="1296" w:type="dxa"/>
            <w:tcBorders>
              <w:top w:val="nil"/>
              <w:left w:val="nil"/>
              <w:bottom w:val="nil"/>
              <w:right w:val="nil"/>
            </w:tcBorders>
          </w:tcPr>
          <w:p w14:paraId="76B5BA51"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401,110</w:t>
            </w:r>
          </w:p>
        </w:tc>
        <w:tc>
          <w:tcPr>
            <w:tcW w:w="1440" w:type="dxa"/>
            <w:tcBorders>
              <w:top w:val="nil"/>
              <w:left w:val="nil"/>
              <w:bottom w:val="nil"/>
              <w:right w:val="nil"/>
            </w:tcBorders>
          </w:tcPr>
          <w:p w14:paraId="34B9A00D"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1,215,284</w:t>
            </w:r>
          </w:p>
        </w:tc>
      </w:tr>
      <w:tr w:rsidR="00091B2C" w:rsidRPr="00FC398B" w14:paraId="10BDB303" w14:textId="77777777" w:rsidTr="0061384E">
        <w:tblPrEx>
          <w:tblBorders>
            <w:bottom w:val="single" w:sz="6" w:space="0" w:color="auto"/>
          </w:tblBorders>
        </w:tblPrEx>
        <w:trPr>
          <w:jc w:val="center"/>
        </w:trPr>
        <w:tc>
          <w:tcPr>
            <w:tcW w:w="4107" w:type="dxa"/>
            <w:tcBorders>
              <w:top w:val="nil"/>
              <w:left w:val="nil"/>
              <w:bottom w:val="single" w:sz="6" w:space="0" w:color="auto"/>
              <w:right w:val="nil"/>
            </w:tcBorders>
          </w:tcPr>
          <w:p w14:paraId="6BD2BF3C" w14:textId="3943A454" w:rsidR="00091B2C" w:rsidRPr="00FC398B" w:rsidRDefault="00091B2C" w:rsidP="00553B0F">
            <w:pPr>
              <w:widowControl w:val="0"/>
              <w:autoSpaceDE w:val="0"/>
              <w:autoSpaceDN w:val="0"/>
              <w:adjustRightInd w:val="0"/>
              <w:contextualSpacing/>
              <w:rPr>
                <w:sz w:val="20"/>
                <w:szCs w:val="20"/>
              </w:rPr>
            </w:pPr>
            <w:r>
              <w:rPr>
                <w:sz w:val="20"/>
                <w:szCs w:val="20"/>
              </w:rPr>
              <w:t>R2</w:t>
            </w:r>
          </w:p>
        </w:tc>
        <w:tc>
          <w:tcPr>
            <w:tcW w:w="1296" w:type="dxa"/>
            <w:tcBorders>
              <w:top w:val="nil"/>
              <w:left w:val="nil"/>
              <w:bottom w:val="single" w:sz="6" w:space="0" w:color="auto"/>
              <w:right w:val="nil"/>
            </w:tcBorders>
          </w:tcPr>
          <w:p w14:paraId="0EFF6426" w14:textId="77777777" w:rsidR="00091B2C" w:rsidRPr="00FC398B" w:rsidRDefault="00091B2C" w:rsidP="00553B0F">
            <w:pPr>
              <w:widowControl w:val="0"/>
              <w:autoSpaceDE w:val="0"/>
              <w:autoSpaceDN w:val="0"/>
              <w:adjustRightInd w:val="0"/>
              <w:contextualSpacing/>
              <w:jc w:val="center"/>
              <w:rPr>
                <w:sz w:val="20"/>
                <w:szCs w:val="20"/>
              </w:rPr>
            </w:pPr>
            <w:r w:rsidRPr="00FC398B">
              <w:rPr>
                <w:sz w:val="20"/>
                <w:szCs w:val="20"/>
              </w:rPr>
              <w:t>0.305</w:t>
            </w:r>
          </w:p>
        </w:tc>
        <w:tc>
          <w:tcPr>
            <w:tcW w:w="1440" w:type="dxa"/>
            <w:tcBorders>
              <w:top w:val="nil"/>
              <w:left w:val="nil"/>
              <w:bottom w:val="single" w:sz="6" w:space="0" w:color="auto"/>
              <w:right w:val="nil"/>
            </w:tcBorders>
          </w:tcPr>
          <w:p w14:paraId="76B1C950" w14:textId="77777777" w:rsidR="00091B2C" w:rsidRPr="00FC398B" w:rsidRDefault="00091B2C" w:rsidP="00553B0F">
            <w:pPr>
              <w:widowControl w:val="0"/>
              <w:autoSpaceDE w:val="0"/>
              <w:autoSpaceDN w:val="0"/>
              <w:adjustRightInd w:val="0"/>
              <w:contextualSpacing/>
              <w:jc w:val="center"/>
              <w:rPr>
                <w:sz w:val="20"/>
                <w:szCs w:val="20"/>
              </w:rPr>
            </w:pPr>
            <w:r>
              <w:rPr>
                <w:sz w:val="20"/>
                <w:szCs w:val="20"/>
              </w:rPr>
              <w:t>0.099</w:t>
            </w:r>
          </w:p>
        </w:tc>
      </w:tr>
    </w:tbl>
    <w:p w14:paraId="2485EFF8" w14:textId="22C816DC" w:rsidR="00654468" w:rsidRDefault="00654468" w:rsidP="00B979EE">
      <w:pPr>
        <w:widowControl w:val="0"/>
        <w:autoSpaceDE w:val="0"/>
        <w:autoSpaceDN w:val="0"/>
        <w:adjustRightInd w:val="0"/>
        <w:rPr>
          <w:b/>
        </w:rPr>
      </w:pPr>
      <w:r w:rsidRPr="000F253E">
        <w:rPr>
          <w:sz w:val="20"/>
          <w:szCs w:val="20"/>
        </w:rPr>
        <w:t>Robust</w:t>
      </w:r>
      <w:r>
        <w:rPr>
          <w:sz w:val="20"/>
          <w:szCs w:val="20"/>
        </w:rPr>
        <w:t xml:space="preserve"> standard errors in parentheses</w:t>
      </w:r>
      <w:r w:rsidR="00623157">
        <w:rPr>
          <w:sz w:val="20"/>
          <w:szCs w:val="20"/>
        </w:rPr>
        <w:t>, clustered at the firm level.</w:t>
      </w:r>
    </w:p>
    <w:p w14:paraId="60FCFD45" w14:textId="77777777" w:rsidR="00AE5583" w:rsidRDefault="00AE5583" w:rsidP="00F23571">
      <w:pPr>
        <w:rPr>
          <w:b/>
        </w:rPr>
      </w:pPr>
    </w:p>
    <w:p w14:paraId="45F65112" w14:textId="77777777" w:rsidR="001429B3" w:rsidRDefault="001429B3">
      <w:pPr>
        <w:rPr>
          <w:b/>
        </w:rPr>
      </w:pPr>
      <w:r>
        <w:rPr>
          <w:b/>
        </w:rPr>
        <w:br w:type="page"/>
      </w:r>
    </w:p>
    <w:p w14:paraId="27BC09D8" w14:textId="039D55EF" w:rsidR="00425DD9" w:rsidRDefault="00AE5583" w:rsidP="00F23571">
      <w:pPr>
        <w:rPr>
          <w:b/>
        </w:rPr>
      </w:pPr>
      <w:r>
        <w:rPr>
          <w:b/>
        </w:rPr>
        <w:lastRenderedPageBreak/>
        <w:t xml:space="preserve">Table A.2 - </w:t>
      </w:r>
      <w:r w:rsidR="00425DD9" w:rsidRPr="00425DD9">
        <w:rPr>
          <w:b/>
        </w:rPr>
        <w:t>Robus</w:t>
      </w:r>
      <w:r w:rsidR="00425DD9">
        <w:rPr>
          <w:b/>
        </w:rPr>
        <w:t>t</w:t>
      </w:r>
      <w:r w:rsidR="00425DD9" w:rsidRPr="00425DD9">
        <w:rPr>
          <w:b/>
        </w:rPr>
        <w:t>ness test: Cultural Distance</w:t>
      </w:r>
    </w:p>
    <w:p w14:paraId="5350B9DD" w14:textId="77777777" w:rsidR="005E1E85" w:rsidRDefault="005E1E85" w:rsidP="00F23571">
      <w:pPr>
        <w:rPr>
          <w:b/>
        </w:rPr>
      </w:pPr>
    </w:p>
    <w:tbl>
      <w:tblPr>
        <w:tblW w:w="9428" w:type="dxa"/>
        <w:jc w:val="center"/>
        <w:tblLayout w:type="fixed"/>
        <w:tblCellMar>
          <w:left w:w="75" w:type="dxa"/>
          <w:right w:w="75" w:type="dxa"/>
        </w:tblCellMar>
        <w:tblLook w:val="0000" w:firstRow="0" w:lastRow="0" w:firstColumn="0" w:lastColumn="0" w:noHBand="0" w:noVBand="0"/>
      </w:tblPr>
      <w:tblGrid>
        <w:gridCol w:w="3668"/>
        <w:gridCol w:w="1440"/>
        <w:gridCol w:w="1440"/>
        <w:gridCol w:w="1440"/>
        <w:gridCol w:w="1440"/>
      </w:tblGrid>
      <w:tr w:rsidR="005E1E85" w:rsidRPr="005E1E85" w14:paraId="6AA92521" w14:textId="77777777" w:rsidTr="00111420">
        <w:trPr>
          <w:jc w:val="center"/>
        </w:trPr>
        <w:tc>
          <w:tcPr>
            <w:tcW w:w="3668" w:type="dxa"/>
            <w:tcBorders>
              <w:top w:val="single" w:sz="6" w:space="0" w:color="auto"/>
              <w:left w:val="nil"/>
              <w:right w:val="nil"/>
            </w:tcBorders>
          </w:tcPr>
          <w:p w14:paraId="61BC2A88" w14:textId="77777777" w:rsidR="005E1E85" w:rsidRPr="005E1E85" w:rsidRDefault="005E1E85" w:rsidP="0020119A">
            <w:pPr>
              <w:widowControl w:val="0"/>
              <w:autoSpaceDE w:val="0"/>
              <w:autoSpaceDN w:val="0"/>
              <w:adjustRightInd w:val="0"/>
              <w:rPr>
                <w:sz w:val="20"/>
                <w:szCs w:val="20"/>
              </w:rPr>
            </w:pPr>
          </w:p>
        </w:tc>
        <w:tc>
          <w:tcPr>
            <w:tcW w:w="1440" w:type="dxa"/>
            <w:tcBorders>
              <w:top w:val="single" w:sz="6" w:space="0" w:color="auto"/>
              <w:left w:val="nil"/>
              <w:right w:val="nil"/>
            </w:tcBorders>
          </w:tcPr>
          <w:p w14:paraId="0AB8A077" w14:textId="77777777" w:rsidR="005E1E85" w:rsidRPr="005E1E85" w:rsidRDefault="005E1E85" w:rsidP="0020119A">
            <w:pPr>
              <w:widowControl w:val="0"/>
              <w:autoSpaceDE w:val="0"/>
              <w:autoSpaceDN w:val="0"/>
              <w:adjustRightInd w:val="0"/>
              <w:jc w:val="center"/>
              <w:rPr>
                <w:sz w:val="20"/>
                <w:szCs w:val="20"/>
              </w:rPr>
            </w:pPr>
            <w:r w:rsidRPr="005E1E85">
              <w:rPr>
                <w:sz w:val="20"/>
                <w:szCs w:val="20"/>
              </w:rPr>
              <w:t>(1)</w:t>
            </w:r>
          </w:p>
        </w:tc>
        <w:tc>
          <w:tcPr>
            <w:tcW w:w="1440" w:type="dxa"/>
            <w:tcBorders>
              <w:top w:val="single" w:sz="6" w:space="0" w:color="auto"/>
              <w:left w:val="nil"/>
              <w:right w:val="nil"/>
            </w:tcBorders>
          </w:tcPr>
          <w:p w14:paraId="67F0AEC6" w14:textId="77777777" w:rsidR="005E1E85" w:rsidRPr="005E1E85" w:rsidRDefault="005E1E85" w:rsidP="0020119A">
            <w:pPr>
              <w:widowControl w:val="0"/>
              <w:autoSpaceDE w:val="0"/>
              <w:autoSpaceDN w:val="0"/>
              <w:adjustRightInd w:val="0"/>
              <w:jc w:val="center"/>
              <w:rPr>
                <w:sz w:val="20"/>
                <w:szCs w:val="20"/>
              </w:rPr>
            </w:pPr>
            <w:r w:rsidRPr="005E1E85">
              <w:rPr>
                <w:sz w:val="20"/>
                <w:szCs w:val="20"/>
              </w:rPr>
              <w:t>(2)</w:t>
            </w:r>
          </w:p>
        </w:tc>
        <w:tc>
          <w:tcPr>
            <w:tcW w:w="1440" w:type="dxa"/>
            <w:tcBorders>
              <w:top w:val="single" w:sz="6" w:space="0" w:color="auto"/>
              <w:left w:val="nil"/>
              <w:right w:val="nil"/>
            </w:tcBorders>
          </w:tcPr>
          <w:p w14:paraId="4170D1F6" w14:textId="4412898B" w:rsidR="005E1E85" w:rsidRPr="005E1E85" w:rsidRDefault="005E1E85" w:rsidP="0020119A">
            <w:pPr>
              <w:widowControl w:val="0"/>
              <w:autoSpaceDE w:val="0"/>
              <w:autoSpaceDN w:val="0"/>
              <w:adjustRightInd w:val="0"/>
              <w:jc w:val="center"/>
              <w:rPr>
                <w:sz w:val="20"/>
                <w:szCs w:val="20"/>
              </w:rPr>
            </w:pPr>
            <w:r>
              <w:rPr>
                <w:sz w:val="20"/>
                <w:szCs w:val="20"/>
              </w:rPr>
              <w:t>(3)</w:t>
            </w:r>
          </w:p>
        </w:tc>
        <w:tc>
          <w:tcPr>
            <w:tcW w:w="1440" w:type="dxa"/>
            <w:tcBorders>
              <w:top w:val="single" w:sz="6" w:space="0" w:color="auto"/>
              <w:left w:val="nil"/>
              <w:right w:val="nil"/>
            </w:tcBorders>
          </w:tcPr>
          <w:p w14:paraId="176DCEF4" w14:textId="4D10909B" w:rsidR="005E1E85" w:rsidRPr="005E1E85" w:rsidRDefault="005E1E85" w:rsidP="0020119A">
            <w:pPr>
              <w:widowControl w:val="0"/>
              <w:autoSpaceDE w:val="0"/>
              <w:autoSpaceDN w:val="0"/>
              <w:adjustRightInd w:val="0"/>
              <w:jc w:val="center"/>
              <w:rPr>
                <w:sz w:val="20"/>
                <w:szCs w:val="20"/>
              </w:rPr>
            </w:pPr>
            <w:r>
              <w:rPr>
                <w:sz w:val="20"/>
                <w:szCs w:val="20"/>
              </w:rPr>
              <w:t>(4</w:t>
            </w:r>
            <w:r w:rsidRPr="005E1E85">
              <w:rPr>
                <w:sz w:val="20"/>
                <w:szCs w:val="20"/>
              </w:rPr>
              <w:t>)</w:t>
            </w:r>
          </w:p>
        </w:tc>
      </w:tr>
      <w:tr w:rsidR="005E1E85" w:rsidRPr="005E1E85" w14:paraId="3C339607" w14:textId="77777777" w:rsidTr="00111420">
        <w:trPr>
          <w:jc w:val="center"/>
        </w:trPr>
        <w:tc>
          <w:tcPr>
            <w:tcW w:w="3668" w:type="dxa"/>
            <w:tcBorders>
              <w:top w:val="nil"/>
              <w:left w:val="nil"/>
              <w:bottom w:val="single" w:sz="4" w:space="0" w:color="auto"/>
              <w:right w:val="nil"/>
            </w:tcBorders>
          </w:tcPr>
          <w:p w14:paraId="76024F8E" w14:textId="74F676DE" w:rsidR="005E1E85" w:rsidRPr="005E1E85" w:rsidRDefault="005E1E85" w:rsidP="005E1E85">
            <w:pPr>
              <w:widowControl w:val="0"/>
              <w:autoSpaceDE w:val="0"/>
              <w:autoSpaceDN w:val="0"/>
              <w:adjustRightInd w:val="0"/>
              <w:rPr>
                <w:sz w:val="20"/>
                <w:szCs w:val="20"/>
              </w:rPr>
            </w:pPr>
            <w:r w:rsidRPr="005E1E85">
              <w:rPr>
                <w:sz w:val="20"/>
                <w:szCs w:val="20"/>
              </w:rPr>
              <w:t>VARIABLES</w:t>
            </w:r>
          </w:p>
        </w:tc>
        <w:tc>
          <w:tcPr>
            <w:tcW w:w="1440" w:type="dxa"/>
            <w:tcBorders>
              <w:top w:val="nil"/>
              <w:left w:val="nil"/>
              <w:bottom w:val="single" w:sz="4" w:space="0" w:color="auto"/>
              <w:right w:val="nil"/>
            </w:tcBorders>
          </w:tcPr>
          <w:p w14:paraId="51B3025B" w14:textId="291C44CF" w:rsidR="005E1E85" w:rsidRPr="005E1E85" w:rsidRDefault="005E1E85" w:rsidP="005E1E85">
            <w:pPr>
              <w:widowControl w:val="0"/>
              <w:autoSpaceDE w:val="0"/>
              <w:autoSpaceDN w:val="0"/>
              <w:adjustRightInd w:val="0"/>
              <w:jc w:val="center"/>
              <w:rPr>
                <w:sz w:val="20"/>
                <w:szCs w:val="20"/>
              </w:rPr>
            </w:pPr>
            <w:r w:rsidRPr="007337F3">
              <w:rPr>
                <w:sz w:val="20"/>
                <w:szCs w:val="20"/>
                <w:lang w:eastAsia="en-GB"/>
              </w:rPr>
              <w:t>EE MNE</w:t>
            </w:r>
          </w:p>
        </w:tc>
        <w:tc>
          <w:tcPr>
            <w:tcW w:w="1440" w:type="dxa"/>
            <w:tcBorders>
              <w:top w:val="nil"/>
              <w:left w:val="nil"/>
              <w:bottom w:val="single" w:sz="4" w:space="0" w:color="auto"/>
              <w:right w:val="nil"/>
            </w:tcBorders>
          </w:tcPr>
          <w:p w14:paraId="5B6E3BFE" w14:textId="3C8886C0" w:rsidR="005E1E85" w:rsidRPr="005E1E85" w:rsidRDefault="005E1E85" w:rsidP="005E1E85">
            <w:pPr>
              <w:widowControl w:val="0"/>
              <w:autoSpaceDE w:val="0"/>
              <w:autoSpaceDN w:val="0"/>
              <w:adjustRightInd w:val="0"/>
              <w:jc w:val="center"/>
              <w:rPr>
                <w:sz w:val="20"/>
                <w:szCs w:val="20"/>
              </w:rPr>
            </w:pPr>
            <w:r w:rsidRPr="007337F3">
              <w:rPr>
                <w:sz w:val="20"/>
                <w:szCs w:val="20"/>
                <w:lang w:eastAsia="en-GB"/>
              </w:rPr>
              <w:t>AE MNE</w:t>
            </w:r>
          </w:p>
        </w:tc>
        <w:tc>
          <w:tcPr>
            <w:tcW w:w="1440" w:type="dxa"/>
            <w:tcBorders>
              <w:top w:val="nil"/>
              <w:left w:val="nil"/>
              <w:bottom w:val="single" w:sz="4" w:space="0" w:color="auto"/>
              <w:right w:val="nil"/>
            </w:tcBorders>
          </w:tcPr>
          <w:p w14:paraId="78A251C0" w14:textId="38298927" w:rsidR="005E1E85" w:rsidRPr="005E1E85" w:rsidRDefault="005E1E85" w:rsidP="00364891">
            <w:pPr>
              <w:widowControl w:val="0"/>
              <w:autoSpaceDE w:val="0"/>
              <w:autoSpaceDN w:val="0"/>
              <w:adjustRightInd w:val="0"/>
              <w:jc w:val="center"/>
              <w:rPr>
                <w:sz w:val="20"/>
                <w:szCs w:val="20"/>
              </w:rPr>
            </w:pPr>
            <w:r>
              <w:rPr>
                <w:sz w:val="20"/>
                <w:szCs w:val="20"/>
              </w:rPr>
              <w:t xml:space="preserve">Test </w:t>
            </w:r>
            <w:r w:rsidR="00364891">
              <w:rPr>
                <w:sz w:val="20"/>
                <w:szCs w:val="20"/>
              </w:rPr>
              <w:t xml:space="preserve">of </w:t>
            </w:r>
            <w:r>
              <w:rPr>
                <w:sz w:val="20"/>
                <w:szCs w:val="20"/>
              </w:rPr>
              <w:t xml:space="preserve">difference </w:t>
            </w:r>
            <w:r w:rsidR="00364891">
              <w:rPr>
                <w:sz w:val="20"/>
                <w:szCs w:val="20"/>
              </w:rPr>
              <w:t xml:space="preserve">of </w:t>
            </w:r>
            <w:r>
              <w:rPr>
                <w:sz w:val="20"/>
                <w:szCs w:val="20"/>
              </w:rPr>
              <w:t>coeff</w:t>
            </w:r>
            <w:r w:rsidR="00364891">
              <w:rPr>
                <w:sz w:val="20"/>
                <w:szCs w:val="20"/>
              </w:rPr>
              <w:t>icients</w:t>
            </w:r>
            <w:r>
              <w:rPr>
                <w:sz w:val="20"/>
                <w:szCs w:val="20"/>
              </w:rPr>
              <w:t xml:space="preserve"> </w:t>
            </w:r>
            <w:r w:rsidR="00364891">
              <w:rPr>
                <w:sz w:val="20"/>
                <w:szCs w:val="20"/>
              </w:rPr>
              <w:t>Χ</w:t>
            </w:r>
            <w:r w:rsidR="002C667B">
              <w:rPr>
                <w:sz w:val="20"/>
                <w:szCs w:val="20"/>
              </w:rPr>
              <w:t>2</w:t>
            </w:r>
          </w:p>
        </w:tc>
        <w:tc>
          <w:tcPr>
            <w:tcW w:w="1440" w:type="dxa"/>
            <w:tcBorders>
              <w:top w:val="nil"/>
              <w:left w:val="nil"/>
              <w:bottom w:val="single" w:sz="4" w:space="0" w:color="auto"/>
              <w:right w:val="nil"/>
            </w:tcBorders>
          </w:tcPr>
          <w:p w14:paraId="2F005E6F" w14:textId="72F88BA7" w:rsidR="005E1E85" w:rsidRPr="005E1E85" w:rsidRDefault="005E1E85" w:rsidP="005E1E85">
            <w:pPr>
              <w:widowControl w:val="0"/>
              <w:autoSpaceDE w:val="0"/>
              <w:autoSpaceDN w:val="0"/>
              <w:adjustRightInd w:val="0"/>
              <w:jc w:val="center"/>
              <w:rPr>
                <w:sz w:val="20"/>
                <w:szCs w:val="20"/>
              </w:rPr>
            </w:pPr>
            <w:r>
              <w:rPr>
                <w:sz w:val="20"/>
                <w:szCs w:val="20"/>
              </w:rPr>
              <w:t>ALL</w:t>
            </w:r>
          </w:p>
        </w:tc>
      </w:tr>
      <w:tr w:rsidR="005E1E85" w:rsidRPr="005E1E85" w14:paraId="11305912" w14:textId="77777777" w:rsidTr="00111420">
        <w:trPr>
          <w:jc w:val="center"/>
        </w:trPr>
        <w:tc>
          <w:tcPr>
            <w:tcW w:w="3668" w:type="dxa"/>
            <w:tcBorders>
              <w:top w:val="single" w:sz="4" w:space="0" w:color="auto"/>
              <w:left w:val="nil"/>
              <w:bottom w:val="nil"/>
              <w:right w:val="nil"/>
            </w:tcBorders>
          </w:tcPr>
          <w:p w14:paraId="55506553" w14:textId="77777777" w:rsidR="005E1E85" w:rsidRPr="005E1E85" w:rsidRDefault="005E1E85" w:rsidP="005E1E85">
            <w:pPr>
              <w:widowControl w:val="0"/>
              <w:autoSpaceDE w:val="0"/>
              <w:autoSpaceDN w:val="0"/>
              <w:adjustRightInd w:val="0"/>
              <w:rPr>
                <w:sz w:val="20"/>
                <w:szCs w:val="20"/>
              </w:rPr>
            </w:pPr>
          </w:p>
        </w:tc>
        <w:tc>
          <w:tcPr>
            <w:tcW w:w="1440" w:type="dxa"/>
            <w:tcBorders>
              <w:top w:val="single" w:sz="4" w:space="0" w:color="auto"/>
              <w:left w:val="nil"/>
              <w:bottom w:val="nil"/>
              <w:right w:val="nil"/>
            </w:tcBorders>
          </w:tcPr>
          <w:p w14:paraId="084C0350" w14:textId="77777777" w:rsidR="005E1E85" w:rsidRPr="005E1E85" w:rsidRDefault="005E1E85" w:rsidP="005E1E85">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6727C597" w14:textId="77777777" w:rsidR="005E1E85" w:rsidRPr="005E1E85" w:rsidRDefault="005E1E85" w:rsidP="005E1E85">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6908C438" w14:textId="77777777" w:rsidR="005E1E85" w:rsidRPr="005E1E85" w:rsidRDefault="005E1E85" w:rsidP="005E1E85">
            <w:pPr>
              <w:widowControl w:val="0"/>
              <w:autoSpaceDE w:val="0"/>
              <w:autoSpaceDN w:val="0"/>
              <w:adjustRightInd w:val="0"/>
              <w:jc w:val="center"/>
              <w:rPr>
                <w:sz w:val="20"/>
                <w:szCs w:val="20"/>
              </w:rPr>
            </w:pPr>
          </w:p>
        </w:tc>
        <w:tc>
          <w:tcPr>
            <w:tcW w:w="1440" w:type="dxa"/>
            <w:tcBorders>
              <w:top w:val="single" w:sz="4" w:space="0" w:color="auto"/>
              <w:left w:val="nil"/>
              <w:bottom w:val="nil"/>
              <w:right w:val="nil"/>
            </w:tcBorders>
          </w:tcPr>
          <w:p w14:paraId="7BD40E2A" w14:textId="53D33799" w:rsidR="005E1E85" w:rsidRPr="005E1E85" w:rsidRDefault="005E1E85" w:rsidP="005E1E85">
            <w:pPr>
              <w:widowControl w:val="0"/>
              <w:autoSpaceDE w:val="0"/>
              <w:autoSpaceDN w:val="0"/>
              <w:adjustRightInd w:val="0"/>
              <w:jc w:val="center"/>
              <w:rPr>
                <w:sz w:val="20"/>
                <w:szCs w:val="20"/>
              </w:rPr>
            </w:pPr>
          </w:p>
        </w:tc>
      </w:tr>
      <w:tr w:rsidR="00A31457" w:rsidRPr="005E1E85" w14:paraId="5CD06918" w14:textId="77777777" w:rsidTr="00111420">
        <w:trPr>
          <w:jc w:val="center"/>
        </w:trPr>
        <w:tc>
          <w:tcPr>
            <w:tcW w:w="3668" w:type="dxa"/>
            <w:tcBorders>
              <w:top w:val="nil"/>
              <w:left w:val="nil"/>
              <w:bottom w:val="nil"/>
              <w:right w:val="nil"/>
            </w:tcBorders>
          </w:tcPr>
          <w:p w14:paraId="06D5CC1A" w14:textId="216A881F" w:rsidR="00A31457" w:rsidRPr="005E1E85" w:rsidRDefault="00A31457" w:rsidP="00A31457">
            <w:pPr>
              <w:widowControl w:val="0"/>
              <w:autoSpaceDE w:val="0"/>
              <w:autoSpaceDN w:val="0"/>
              <w:adjustRightInd w:val="0"/>
              <w:rPr>
                <w:sz w:val="20"/>
                <w:szCs w:val="20"/>
              </w:rPr>
            </w:pPr>
            <w:r>
              <w:rPr>
                <w:color w:val="000000"/>
                <w:kern w:val="24"/>
                <w:sz w:val="20"/>
                <w:szCs w:val="20"/>
                <w:lang w:eastAsia="en-GB"/>
              </w:rPr>
              <w:t>IPR protection</w:t>
            </w:r>
          </w:p>
        </w:tc>
        <w:tc>
          <w:tcPr>
            <w:tcW w:w="1440" w:type="dxa"/>
            <w:tcBorders>
              <w:top w:val="nil"/>
              <w:left w:val="nil"/>
              <w:bottom w:val="nil"/>
              <w:right w:val="nil"/>
            </w:tcBorders>
          </w:tcPr>
          <w:p w14:paraId="5303BCA3" w14:textId="2C7F69D2" w:rsidR="00A31457" w:rsidRPr="005E1E85" w:rsidRDefault="00A31457" w:rsidP="00A31457">
            <w:pPr>
              <w:widowControl w:val="0"/>
              <w:autoSpaceDE w:val="0"/>
              <w:autoSpaceDN w:val="0"/>
              <w:adjustRightInd w:val="0"/>
              <w:jc w:val="center"/>
              <w:rPr>
                <w:sz w:val="20"/>
                <w:szCs w:val="20"/>
              </w:rPr>
            </w:pPr>
            <w:r w:rsidRPr="005E1E85">
              <w:rPr>
                <w:sz w:val="20"/>
                <w:szCs w:val="20"/>
              </w:rPr>
              <w:t>0.003</w:t>
            </w:r>
          </w:p>
        </w:tc>
        <w:tc>
          <w:tcPr>
            <w:tcW w:w="1440" w:type="dxa"/>
            <w:tcBorders>
              <w:top w:val="nil"/>
              <w:left w:val="nil"/>
              <w:bottom w:val="nil"/>
              <w:right w:val="nil"/>
            </w:tcBorders>
          </w:tcPr>
          <w:p w14:paraId="5168A616" w14:textId="2F0B7029" w:rsidR="00A31457" w:rsidRPr="005E1E85" w:rsidRDefault="00A31457" w:rsidP="00A31457">
            <w:pPr>
              <w:widowControl w:val="0"/>
              <w:autoSpaceDE w:val="0"/>
              <w:autoSpaceDN w:val="0"/>
              <w:adjustRightInd w:val="0"/>
              <w:jc w:val="center"/>
              <w:rPr>
                <w:sz w:val="20"/>
                <w:szCs w:val="20"/>
              </w:rPr>
            </w:pPr>
            <w:r w:rsidRPr="005E1E85">
              <w:rPr>
                <w:sz w:val="20"/>
                <w:szCs w:val="20"/>
              </w:rPr>
              <w:t>0.002</w:t>
            </w:r>
          </w:p>
        </w:tc>
        <w:tc>
          <w:tcPr>
            <w:tcW w:w="1440" w:type="dxa"/>
            <w:tcBorders>
              <w:top w:val="nil"/>
              <w:left w:val="nil"/>
              <w:bottom w:val="nil"/>
              <w:right w:val="nil"/>
            </w:tcBorders>
          </w:tcPr>
          <w:p w14:paraId="466CDD0C" w14:textId="417FC788" w:rsidR="00A31457" w:rsidRPr="005E1E85" w:rsidRDefault="00A31457" w:rsidP="00A31457">
            <w:pPr>
              <w:widowControl w:val="0"/>
              <w:autoSpaceDE w:val="0"/>
              <w:autoSpaceDN w:val="0"/>
              <w:adjustRightInd w:val="0"/>
              <w:jc w:val="center"/>
              <w:rPr>
                <w:sz w:val="20"/>
                <w:szCs w:val="20"/>
              </w:rPr>
            </w:pPr>
            <w:r w:rsidRPr="005E1E85">
              <w:rPr>
                <w:sz w:val="20"/>
                <w:szCs w:val="20"/>
              </w:rPr>
              <w:t>0.78</w:t>
            </w:r>
          </w:p>
        </w:tc>
        <w:tc>
          <w:tcPr>
            <w:tcW w:w="1440" w:type="dxa"/>
            <w:tcBorders>
              <w:top w:val="nil"/>
              <w:left w:val="nil"/>
              <w:bottom w:val="nil"/>
              <w:right w:val="nil"/>
            </w:tcBorders>
          </w:tcPr>
          <w:p w14:paraId="36B870E9" w14:textId="64DAAAAF" w:rsidR="00A31457" w:rsidRPr="005E1E85" w:rsidRDefault="00A31457" w:rsidP="00A31457">
            <w:pPr>
              <w:widowControl w:val="0"/>
              <w:autoSpaceDE w:val="0"/>
              <w:autoSpaceDN w:val="0"/>
              <w:adjustRightInd w:val="0"/>
              <w:jc w:val="center"/>
              <w:rPr>
                <w:sz w:val="20"/>
                <w:szCs w:val="20"/>
              </w:rPr>
            </w:pPr>
            <w:r w:rsidRPr="00753459">
              <w:rPr>
                <w:sz w:val="20"/>
                <w:szCs w:val="20"/>
              </w:rPr>
              <w:t>0.004</w:t>
            </w:r>
          </w:p>
        </w:tc>
      </w:tr>
      <w:tr w:rsidR="00A31457" w:rsidRPr="005E1E85" w14:paraId="0B732207" w14:textId="77777777" w:rsidTr="00111420">
        <w:trPr>
          <w:jc w:val="center"/>
        </w:trPr>
        <w:tc>
          <w:tcPr>
            <w:tcW w:w="3668" w:type="dxa"/>
            <w:tcBorders>
              <w:top w:val="nil"/>
              <w:left w:val="nil"/>
              <w:bottom w:val="nil"/>
              <w:right w:val="nil"/>
            </w:tcBorders>
          </w:tcPr>
          <w:p w14:paraId="425C9E60"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7634AED9"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(0.001)</w:t>
            </w:r>
          </w:p>
        </w:tc>
        <w:tc>
          <w:tcPr>
            <w:tcW w:w="1440" w:type="dxa"/>
            <w:tcBorders>
              <w:top w:val="nil"/>
              <w:left w:val="nil"/>
              <w:bottom w:val="nil"/>
              <w:right w:val="nil"/>
            </w:tcBorders>
          </w:tcPr>
          <w:p w14:paraId="5E24C333"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(0.001)</w:t>
            </w:r>
          </w:p>
        </w:tc>
        <w:tc>
          <w:tcPr>
            <w:tcW w:w="1440" w:type="dxa"/>
            <w:tcBorders>
              <w:top w:val="nil"/>
              <w:left w:val="nil"/>
              <w:bottom w:val="nil"/>
              <w:right w:val="nil"/>
            </w:tcBorders>
          </w:tcPr>
          <w:p w14:paraId="2948ADBA"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43616BD8" w14:textId="6E1C0537" w:rsidR="00A31457" w:rsidRPr="005E1E85" w:rsidRDefault="00A31457" w:rsidP="00A31457">
            <w:pPr>
              <w:widowControl w:val="0"/>
              <w:autoSpaceDE w:val="0"/>
              <w:autoSpaceDN w:val="0"/>
              <w:adjustRightInd w:val="0"/>
              <w:jc w:val="center"/>
              <w:rPr>
                <w:sz w:val="20"/>
                <w:szCs w:val="20"/>
              </w:rPr>
            </w:pPr>
            <w:r w:rsidRPr="00753459">
              <w:rPr>
                <w:sz w:val="20"/>
                <w:szCs w:val="20"/>
              </w:rPr>
              <w:t>(0.001)</w:t>
            </w:r>
          </w:p>
        </w:tc>
      </w:tr>
      <w:tr w:rsidR="00A31457" w:rsidRPr="005E1E85" w14:paraId="53D7ECC3" w14:textId="77777777" w:rsidTr="00111420">
        <w:trPr>
          <w:jc w:val="center"/>
        </w:trPr>
        <w:tc>
          <w:tcPr>
            <w:tcW w:w="3668" w:type="dxa"/>
            <w:tcBorders>
              <w:top w:val="nil"/>
              <w:left w:val="nil"/>
              <w:bottom w:val="nil"/>
              <w:right w:val="nil"/>
            </w:tcBorders>
          </w:tcPr>
          <w:p w14:paraId="5AED10E0" w14:textId="3D4AC2B4" w:rsidR="00A31457" w:rsidRPr="005E1E85" w:rsidRDefault="00A31457" w:rsidP="00A31457">
            <w:pPr>
              <w:widowControl w:val="0"/>
              <w:autoSpaceDE w:val="0"/>
              <w:autoSpaceDN w:val="0"/>
              <w:adjustRightInd w:val="0"/>
              <w:rPr>
                <w:sz w:val="20"/>
                <w:szCs w:val="20"/>
              </w:rPr>
            </w:pPr>
            <w:r>
              <w:rPr>
                <w:color w:val="000000"/>
                <w:kern w:val="24"/>
                <w:sz w:val="20"/>
                <w:szCs w:val="20"/>
                <w:lang w:eastAsia="en-GB"/>
              </w:rPr>
              <w:t>Cultural Distance</w:t>
            </w:r>
          </w:p>
        </w:tc>
        <w:tc>
          <w:tcPr>
            <w:tcW w:w="1440" w:type="dxa"/>
            <w:tcBorders>
              <w:top w:val="nil"/>
              <w:left w:val="nil"/>
              <w:bottom w:val="nil"/>
              <w:right w:val="nil"/>
            </w:tcBorders>
          </w:tcPr>
          <w:p w14:paraId="53AD5344" w14:textId="33D2FAF4" w:rsidR="00A31457" w:rsidRPr="005E1E85" w:rsidRDefault="00A31457" w:rsidP="00A31457">
            <w:pPr>
              <w:widowControl w:val="0"/>
              <w:autoSpaceDE w:val="0"/>
              <w:autoSpaceDN w:val="0"/>
              <w:adjustRightInd w:val="0"/>
              <w:jc w:val="center"/>
              <w:rPr>
                <w:sz w:val="20"/>
                <w:szCs w:val="20"/>
              </w:rPr>
            </w:pPr>
            <w:r w:rsidRPr="005E1E85">
              <w:rPr>
                <w:sz w:val="20"/>
                <w:szCs w:val="20"/>
              </w:rPr>
              <w:t>-0.140</w:t>
            </w:r>
          </w:p>
        </w:tc>
        <w:tc>
          <w:tcPr>
            <w:tcW w:w="1440" w:type="dxa"/>
            <w:tcBorders>
              <w:top w:val="nil"/>
              <w:left w:val="nil"/>
              <w:bottom w:val="nil"/>
              <w:right w:val="nil"/>
            </w:tcBorders>
          </w:tcPr>
          <w:p w14:paraId="3B603524" w14:textId="3FF23463" w:rsidR="00A31457" w:rsidRPr="005E1E85" w:rsidRDefault="00A31457" w:rsidP="00A31457">
            <w:pPr>
              <w:widowControl w:val="0"/>
              <w:autoSpaceDE w:val="0"/>
              <w:autoSpaceDN w:val="0"/>
              <w:adjustRightInd w:val="0"/>
              <w:jc w:val="center"/>
              <w:rPr>
                <w:sz w:val="20"/>
                <w:szCs w:val="20"/>
              </w:rPr>
            </w:pPr>
            <w:r w:rsidRPr="005E1E85">
              <w:rPr>
                <w:sz w:val="20"/>
                <w:szCs w:val="20"/>
              </w:rPr>
              <w:t>-0.111</w:t>
            </w:r>
          </w:p>
        </w:tc>
        <w:tc>
          <w:tcPr>
            <w:tcW w:w="1440" w:type="dxa"/>
            <w:tcBorders>
              <w:top w:val="nil"/>
              <w:left w:val="nil"/>
              <w:bottom w:val="nil"/>
              <w:right w:val="nil"/>
            </w:tcBorders>
          </w:tcPr>
          <w:p w14:paraId="27B3C880" w14:textId="49D09A53" w:rsidR="00A31457" w:rsidRPr="005E1E85" w:rsidRDefault="00A31457" w:rsidP="00A31457">
            <w:pPr>
              <w:widowControl w:val="0"/>
              <w:autoSpaceDE w:val="0"/>
              <w:autoSpaceDN w:val="0"/>
              <w:adjustRightInd w:val="0"/>
              <w:jc w:val="center"/>
              <w:rPr>
                <w:sz w:val="20"/>
                <w:szCs w:val="20"/>
              </w:rPr>
            </w:pPr>
            <w:r w:rsidRPr="005E1E85">
              <w:rPr>
                <w:sz w:val="20"/>
                <w:szCs w:val="20"/>
              </w:rPr>
              <w:t>5.63</w:t>
            </w:r>
          </w:p>
        </w:tc>
        <w:tc>
          <w:tcPr>
            <w:tcW w:w="1440" w:type="dxa"/>
            <w:tcBorders>
              <w:top w:val="nil"/>
              <w:left w:val="nil"/>
              <w:bottom w:val="nil"/>
              <w:right w:val="nil"/>
            </w:tcBorders>
          </w:tcPr>
          <w:p w14:paraId="74E36CF5" w14:textId="62BD2C41" w:rsidR="00A31457" w:rsidRPr="005E1E85" w:rsidRDefault="00A31457" w:rsidP="00A31457">
            <w:pPr>
              <w:widowControl w:val="0"/>
              <w:autoSpaceDE w:val="0"/>
              <w:autoSpaceDN w:val="0"/>
              <w:adjustRightInd w:val="0"/>
              <w:jc w:val="center"/>
              <w:rPr>
                <w:sz w:val="20"/>
                <w:szCs w:val="20"/>
              </w:rPr>
            </w:pPr>
            <w:r w:rsidRPr="00753459">
              <w:rPr>
                <w:sz w:val="20"/>
                <w:szCs w:val="20"/>
              </w:rPr>
              <w:t>-0.094</w:t>
            </w:r>
          </w:p>
        </w:tc>
      </w:tr>
      <w:tr w:rsidR="00A31457" w:rsidRPr="005E1E85" w14:paraId="0A2F66A4" w14:textId="77777777" w:rsidTr="00111420">
        <w:trPr>
          <w:jc w:val="center"/>
        </w:trPr>
        <w:tc>
          <w:tcPr>
            <w:tcW w:w="3668" w:type="dxa"/>
            <w:tcBorders>
              <w:top w:val="nil"/>
              <w:left w:val="nil"/>
              <w:bottom w:val="nil"/>
              <w:right w:val="nil"/>
            </w:tcBorders>
          </w:tcPr>
          <w:p w14:paraId="1DA2D520"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0AD6EFC4"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(0.011)</w:t>
            </w:r>
          </w:p>
        </w:tc>
        <w:tc>
          <w:tcPr>
            <w:tcW w:w="1440" w:type="dxa"/>
            <w:tcBorders>
              <w:top w:val="nil"/>
              <w:left w:val="nil"/>
              <w:bottom w:val="nil"/>
              <w:right w:val="nil"/>
            </w:tcBorders>
          </w:tcPr>
          <w:p w14:paraId="72B8DC16"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(0.006)</w:t>
            </w:r>
          </w:p>
        </w:tc>
        <w:tc>
          <w:tcPr>
            <w:tcW w:w="1440" w:type="dxa"/>
            <w:tcBorders>
              <w:top w:val="nil"/>
              <w:left w:val="nil"/>
              <w:bottom w:val="nil"/>
              <w:right w:val="nil"/>
            </w:tcBorders>
          </w:tcPr>
          <w:p w14:paraId="54D9B57E"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38E02670" w14:textId="751E0D82" w:rsidR="00A31457" w:rsidRPr="005E1E85" w:rsidRDefault="00A31457" w:rsidP="00A31457">
            <w:pPr>
              <w:widowControl w:val="0"/>
              <w:autoSpaceDE w:val="0"/>
              <w:autoSpaceDN w:val="0"/>
              <w:adjustRightInd w:val="0"/>
              <w:jc w:val="center"/>
              <w:rPr>
                <w:sz w:val="20"/>
                <w:szCs w:val="20"/>
              </w:rPr>
            </w:pPr>
            <w:r w:rsidRPr="00753459">
              <w:rPr>
                <w:sz w:val="20"/>
                <w:szCs w:val="20"/>
              </w:rPr>
              <w:t>(0.006)</w:t>
            </w:r>
          </w:p>
        </w:tc>
      </w:tr>
      <w:tr w:rsidR="00A31457" w:rsidRPr="005E1E85" w14:paraId="0FF1C66A" w14:textId="77777777" w:rsidTr="00111420">
        <w:trPr>
          <w:jc w:val="center"/>
        </w:trPr>
        <w:tc>
          <w:tcPr>
            <w:tcW w:w="3668" w:type="dxa"/>
            <w:tcBorders>
              <w:top w:val="nil"/>
              <w:left w:val="nil"/>
              <w:bottom w:val="nil"/>
              <w:right w:val="nil"/>
            </w:tcBorders>
          </w:tcPr>
          <w:p w14:paraId="57814DC9" w14:textId="02DE83D0" w:rsidR="00A31457" w:rsidRPr="005E1E85" w:rsidRDefault="00A31457" w:rsidP="00A31457">
            <w:pPr>
              <w:widowControl w:val="0"/>
              <w:autoSpaceDE w:val="0"/>
              <w:autoSpaceDN w:val="0"/>
              <w:adjustRightInd w:val="0"/>
              <w:rPr>
                <w:sz w:val="20"/>
                <w:szCs w:val="20"/>
              </w:rPr>
            </w:pPr>
            <w:r w:rsidRPr="005E1E85">
              <w:rPr>
                <w:color w:val="000000"/>
                <w:kern w:val="24"/>
                <w:sz w:val="20"/>
                <w:szCs w:val="20"/>
                <w:lang w:eastAsia="en-GB"/>
              </w:rPr>
              <w:t>Foreign-born population</w:t>
            </w:r>
          </w:p>
        </w:tc>
        <w:tc>
          <w:tcPr>
            <w:tcW w:w="1440" w:type="dxa"/>
            <w:tcBorders>
              <w:top w:val="nil"/>
              <w:left w:val="nil"/>
              <w:bottom w:val="nil"/>
              <w:right w:val="nil"/>
            </w:tcBorders>
          </w:tcPr>
          <w:p w14:paraId="1691F84E" w14:textId="0E57AC1B" w:rsidR="00A31457" w:rsidRPr="005E1E85" w:rsidRDefault="00A31457" w:rsidP="00A31457">
            <w:pPr>
              <w:widowControl w:val="0"/>
              <w:autoSpaceDE w:val="0"/>
              <w:autoSpaceDN w:val="0"/>
              <w:adjustRightInd w:val="0"/>
              <w:jc w:val="center"/>
              <w:rPr>
                <w:sz w:val="20"/>
                <w:szCs w:val="20"/>
              </w:rPr>
            </w:pPr>
            <w:r w:rsidRPr="005E1E85">
              <w:rPr>
                <w:sz w:val="20"/>
                <w:szCs w:val="20"/>
              </w:rPr>
              <w:t>0.717</w:t>
            </w:r>
          </w:p>
        </w:tc>
        <w:tc>
          <w:tcPr>
            <w:tcW w:w="1440" w:type="dxa"/>
            <w:tcBorders>
              <w:top w:val="nil"/>
              <w:left w:val="nil"/>
              <w:bottom w:val="nil"/>
              <w:right w:val="nil"/>
            </w:tcBorders>
          </w:tcPr>
          <w:p w14:paraId="78EF8B78" w14:textId="54725043" w:rsidR="00A31457" w:rsidRPr="005E1E85" w:rsidRDefault="00A31457" w:rsidP="00A31457">
            <w:pPr>
              <w:widowControl w:val="0"/>
              <w:autoSpaceDE w:val="0"/>
              <w:autoSpaceDN w:val="0"/>
              <w:adjustRightInd w:val="0"/>
              <w:jc w:val="center"/>
              <w:rPr>
                <w:sz w:val="20"/>
                <w:szCs w:val="20"/>
              </w:rPr>
            </w:pPr>
            <w:r w:rsidRPr="005E1E85">
              <w:rPr>
                <w:sz w:val="20"/>
                <w:szCs w:val="20"/>
              </w:rPr>
              <w:t>0.097</w:t>
            </w:r>
          </w:p>
        </w:tc>
        <w:tc>
          <w:tcPr>
            <w:tcW w:w="1440" w:type="dxa"/>
            <w:tcBorders>
              <w:top w:val="nil"/>
              <w:left w:val="nil"/>
              <w:bottom w:val="nil"/>
              <w:right w:val="nil"/>
            </w:tcBorders>
          </w:tcPr>
          <w:p w14:paraId="12B7E549" w14:textId="407E0CFB" w:rsidR="00A31457" w:rsidRPr="005E1E85" w:rsidRDefault="00A31457" w:rsidP="00A31457">
            <w:pPr>
              <w:widowControl w:val="0"/>
              <w:autoSpaceDE w:val="0"/>
              <w:autoSpaceDN w:val="0"/>
              <w:adjustRightInd w:val="0"/>
              <w:jc w:val="center"/>
              <w:rPr>
                <w:sz w:val="20"/>
                <w:szCs w:val="20"/>
              </w:rPr>
            </w:pPr>
            <w:r w:rsidRPr="005E1E85">
              <w:rPr>
                <w:sz w:val="20"/>
                <w:szCs w:val="20"/>
              </w:rPr>
              <w:t>5800.09</w:t>
            </w:r>
          </w:p>
        </w:tc>
        <w:tc>
          <w:tcPr>
            <w:tcW w:w="1440" w:type="dxa"/>
            <w:tcBorders>
              <w:top w:val="nil"/>
              <w:left w:val="nil"/>
              <w:bottom w:val="nil"/>
              <w:right w:val="nil"/>
            </w:tcBorders>
          </w:tcPr>
          <w:p w14:paraId="18C67135" w14:textId="3EC4CF94" w:rsidR="00A31457" w:rsidRPr="005E1E85" w:rsidRDefault="00A31457" w:rsidP="00A31457">
            <w:pPr>
              <w:widowControl w:val="0"/>
              <w:autoSpaceDE w:val="0"/>
              <w:autoSpaceDN w:val="0"/>
              <w:adjustRightInd w:val="0"/>
              <w:jc w:val="center"/>
              <w:rPr>
                <w:sz w:val="20"/>
                <w:szCs w:val="20"/>
              </w:rPr>
            </w:pPr>
            <w:r w:rsidRPr="00753459">
              <w:rPr>
                <w:sz w:val="20"/>
                <w:szCs w:val="20"/>
              </w:rPr>
              <w:t>0.103</w:t>
            </w:r>
          </w:p>
        </w:tc>
      </w:tr>
      <w:tr w:rsidR="00A31457" w:rsidRPr="005E1E85" w14:paraId="74FCF54D" w14:textId="77777777" w:rsidTr="00111420">
        <w:trPr>
          <w:jc w:val="center"/>
        </w:trPr>
        <w:tc>
          <w:tcPr>
            <w:tcW w:w="3668" w:type="dxa"/>
            <w:tcBorders>
              <w:top w:val="nil"/>
              <w:left w:val="nil"/>
              <w:bottom w:val="nil"/>
              <w:right w:val="nil"/>
            </w:tcBorders>
          </w:tcPr>
          <w:p w14:paraId="495580E9"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703F5185"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(0.007)</w:t>
            </w:r>
          </w:p>
        </w:tc>
        <w:tc>
          <w:tcPr>
            <w:tcW w:w="1440" w:type="dxa"/>
            <w:tcBorders>
              <w:top w:val="nil"/>
              <w:left w:val="nil"/>
              <w:bottom w:val="nil"/>
              <w:right w:val="nil"/>
            </w:tcBorders>
          </w:tcPr>
          <w:p w14:paraId="48274437"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(0.005)</w:t>
            </w:r>
          </w:p>
        </w:tc>
        <w:tc>
          <w:tcPr>
            <w:tcW w:w="1440" w:type="dxa"/>
            <w:tcBorders>
              <w:top w:val="nil"/>
              <w:left w:val="nil"/>
              <w:bottom w:val="nil"/>
              <w:right w:val="nil"/>
            </w:tcBorders>
          </w:tcPr>
          <w:p w14:paraId="45C573F0"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2570D736" w14:textId="1F155505" w:rsidR="00A31457" w:rsidRPr="005E1E85" w:rsidRDefault="00A31457" w:rsidP="00A31457">
            <w:pPr>
              <w:widowControl w:val="0"/>
              <w:autoSpaceDE w:val="0"/>
              <w:autoSpaceDN w:val="0"/>
              <w:adjustRightInd w:val="0"/>
              <w:jc w:val="center"/>
              <w:rPr>
                <w:sz w:val="20"/>
                <w:szCs w:val="20"/>
              </w:rPr>
            </w:pPr>
            <w:r w:rsidRPr="00753459">
              <w:rPr>
                <w:sz w:val="20"/>
                <w:szCs w:val="20"/>
              </w:rPr>
              <w:t>(0.005)</w:t>
            </w:r>
          </w:p>
        </w:tc>
      </w:tr>
      <w:tr w:rsidR="00A31457" w:rsidRPr="005E1E85" w14:paraId="4D29F76F" w14:textId="77777777" w:rsidTr="00111420">
        <w:trPr>
          <w:jc w:val="center"/>
        </w:trPr>
        <w:tc>
          <w:tcPr>
            <w:tcW w:w="3668" w:type="dxa"/>
            <w:tcBorders>
              <w:top w:val="nil"/>
              <w:left w:val="nil"/>
              <w:bottom w:val="nil"/>
              <w:right w:val="nil"/>
            </w:tcBorders>
          </w:tcPr>
          <w:p w14:paraId="275B7E24" w14:textId="2D73785D" w:rsidR="00A31457" w:rsidRPr="005E1E85" w:rsidRDefault="00A31457" w:rsidP="00A31457">
            <w:pPr>
              <w:widowControl w:val="0"/>
              <w:autoSpaceDE w:val="0"/>
              <w:autoSpaceDN w:val="0"/>
              <w:adjustRightInd w:val="0"/>
              <w:rPr>
                <w:sz w:val="20"/>
                <w:szCs w:val="20"/>
              </w:rPr>
            </w:pPr>
            <w:r>
              <w:rPr>
                <w:sz w:val="20"/>
                <w:szCs w:val="20"/>
              </w:rPr>
              <w:t>Population</w:t>
            </w:r>
          </w:p>
        </w:tc>
        <w:tc>
          <w:tcPr>
            <w:tcW w:w="1440" w:type="dxa"/>
            <w:tcBorders>
              <w:top w:val="nil"/>
              <w:left w:val="nil"/>
              <w:bottom w:val="nil"/>
              <w:right w:val="nil"/>
            </w:tcBorders>
          </w:tcPr>
          <w:p w14:paraId="7C02E598" w14:textId="1F5C24CE" w:rsidR="00A31457" w:rsidRPr="005E1E85" w:rsidRDefault="00A31457" w:rsidP="00A31457">
            <w:pPr>
              <w:widowControl w:val="0"/>
              <w:autoSpaceDE w:val="0"/>
              <w:autoSpaceDN w:val="0"/>
              <w:adjustRightInd w:val="0"/>
              <w:jc w:val="center"/>
              <w:rPr>
                <w:sz w:val="20"/>
                <w:szCs w:val="20"/>
              </w:rPr>
            </w:pPr>
            <w:r w:rsidRPr="005E1E85">
              <w:rPr>
                <w:sz w:val="20"/>
                <w:szCs w:val="20"/>
              </w:rPr>
              <w:t>0.786</w:t>
            </w:r>
          </w:p>
        </w:tc>
        <w:tc>
          <w:tcPr>
            <w:tcW w:w="1440" w:type="dxa"/>
            <w:tcBorders>
              <w:top w:val="nil"/>
              <w:left w:val="nil"/>
              <w:bottom w:val="nil"/>
              <w:right w:val="nil"/>
            </w:tcBorders>
          </w:tcPr>
          <w:p w14:paraId="162EF31B" w14:textId="2CFCA39E" w:rsidR="00A31457" w:rsidRPr="005E1E85" w:rsidRDefault="00A31457" w:rsidP="00A31457">
            <w:pPr>
              <w:widowControl w:val="0"/>
              <w:autoSpaceDE w:val="0"/>
              <w:autoSpaceDN w:val="0"/>
              <w:adjustRightInd w:val="0"/>
              <w:jc w:val="center"/>
              <w:rPr>
                <w:sz w:val="20"/>
                <w:szCs w:val="20"/>
              </w:rPr>
            </w:pPr>
            <w:r w:rsidRPr="005E1E85">
              <w:rPr>
                <w:sz w:val="20"/>
                <w:szCs w:val="20"/>
              </w:rPr>
              <w:t>0.442</w:t>
            </w:r>
          </w:p>
        </w:tc>
        <w:tc>
          <w:tcPr>
            <w:tcW w:w="1440" w:type="dxa"/>
            <w:tcBorders>
              <w:top w:val="nil"/>
              <w:left w:val="nil"/>
              <w:bottom w:val="nil"/>
              <w:right w:val="nil"/>
            </w:tcBorders>
          </w:tcPr>
          <w:p w14:paraId="179E209F" w14:textId="731DA163" w:rsidR="00A31457" w:rsidRPr="005E1E85" w:rsidRDefault="00A31457" w:rsidP="00A31457">
            <w:pPr>
              <w:widowControl w:val="0"/>
              <w:autoSpaceDE w:val="0"/>
              <w:autoSpaceDN w:val="0"/>
              <w:adjustRightInd w:val="0"/>
              <w:jc w:val="center"/>
              <w:rPr>
                <w:sz w:val="20"/>
                <w:szCs w:val="20"/>
              </w:rPr>
            </w:pPr>
            <w:r w:rsidRPr="005E1E85">
              <w:rPr>
                <w:sz w:val="20"/>
                <w:szCs w:val="20"/>
              </w:rPr>
              <w:t>529.02</w:t>
            </w:r>
          </w:p>
        </w:tc>
        <w:tc>
          <w:tcPr>
            <w:tcW w:w="1440" w:type="dxa"/>
            <w:tcBorders>
              <w:top w:val="nil"/>
              <w:left w:val="nil"/>
              <w:bottom w:val="nil"/>
              <w:right w:val="nil"/>
            </w:tcBorders>
          </w:tcPr>
          <w:p w14:paraId="22310217" w14:textId="52C54D9F" w:rsidR="00A31457" w:rsidRPr="005E1E85" w:rsidRDefault="00A31457" w:rsidP="00A31457">
            <w:pPr>
              <w:widowControl w:val="0"/>
              <w:autoSpaceDE w:val="0"/>
              <w:autoSpaceDN w:val="0"/>
              <w:adjustRightInd w:val="0"/>
              <w:jc w:val="center"/>
              <w:rPr>
                <w:sz w:val="20"/>
                <w:szCs w:val="20"/>
              </w:rPr>
            </w:pPr>
            <w:r w:rsidRPr="00753459">
              <w:rPr>
                <w:sz w:val="20"/>
                <w:szCs w:val="20"/>
              </w:rPr>
              <w:t>0.597</w:t>
            </w:r>
          </w:p>
        </w:tc>
      </w:tr>
      <w:tr w:rsidR="00A31457" w:rsidRPr="005E1E85" w14:paraId="5B1AECB9" w14:textId="77777777" w:rsidTr="00111420">
        <w:trPr>
          <w:jc w:val="center"/>
        </w:trPr>
        <w:tc>
          <w:tcPr>
            <w:tcW w:w="3668" w:type="dxa"/>
            <w:tcBorders>
              <w:top w:val="nil"/>
              <w:left w:val="nil"/>
              <w:bottom w:val="nil"/>
              <w:right w:val="nil"/>
            </w:tcBorders>
          </w:tcPr>
          <w:p w14:paraId="5E063750"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2F84D7AC"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(0.011)</w:t>
            </w:r>
          </w:p>
        </w:tc>
        <w:tc>
          <w:tcPr>
            <w:tcW w:w="1440" w:type="dxa"/>
            <w:tcBorders>
              <w:top w:val="nil"/>
              <w:left w:val="nil"/>
              <w:bottom w:val="nil"/>
              <w:right w:val="nil"/>
            </w:tcBorders>
          </w:tcPr>
          <w:p w14:paraId="1652B2A2"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(0.010)</w:t>
            </w:r>
          </w:p>
        </w:tc>
        <w:tc>
          <w:tcPr>
            <w:tcW w:w="1440" w:type="dxa"/>
            <w:tcBorders>
              <w:top w:val="nil"/>
              <w:left w:val="nil"/>
              <w:bottom w:val="nil"/>
              <w:right w:val="nil"/>
            </w:tcBorders>
          </w:tcPr>
          <w:p w14:paraId="0C73FD9A"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7D9BBFD3" w14:textId="00C43077" w:rsidR="00A31457" w:rsidRPr="005E1E85" w:rsidRDefault="00A31457" w:rsidP="00A31457">
            <w:pPr>
              <w:widowControl w:val="0"/>
              <w:autoSpaceDE w:val="0"/>
              <w:autoSpaceDN w:val="0"/>
              <w:adjustRightInd w:val="0"/>
              <w:jc w:val="center"/>
              <w:rPr>
                <w:sz w:val="20"/>
                <w:szCs w:val="20"/>
              </w:rPr>
            </w:pPr>
            <w:r w:rsidRPr="00753459">
              <w:rPr>
                <w:sz w:val="20"/>
                <w:szCs w:val="20"/>
              </w:rPr>
              <w:t>(0.006)</w:t>
            </w:r>
          </w:p>
        </w:tc>
      </w:tr>
      <w:tr w:rsidR="00A31457" w:rsidRPr="005E1E85" w14:paraId="0BA0964B" w14:textId="77777777" w:rsidTr="00111420">
        <w:trPr>
          <w:jc w:val="center"/>
        </w:trPr>
        <w:tc>
          <w:tcPr>
            <w:tcW w:w="3668" w:type="dxa"/>
            <w:tcBorders>
              <w:top w:val="nil"/>
              <w:left w:val="nil"/>
              <w:bottom w:val="nil"/>
              <w:right w:val="nil"/>
            </w:tcBorders>
          </w:tcPr>
          <w:p w14:paraId="1C25055B" w14:textId="763FB3EF" w:rsidR="00A31457" w:rsidRPr="005E1E85" w:rsidRDefault="00A31457" w:rsidP="00A31457">
            <w:pPr>
              <w:widowControl w:val="0"/>
              <w:autoSpaceDE w:val="0"/>
              <w:autoSpaceDN w:val="0"/>
              <w:adjustRightInd w:val="0"/>
              <w:rPr>
                <w:sz w:val="20"/>
                <w:szCs w:val="20"/>
              </w:rPr>
            </w:pPr>
            <w:r w:rsidRPr="005E1E85">
              <w:rPr>
                <w:color w:val="000000"/>
                <w:kern w:val="24"/>
                <w:sz w:val="20"/>
                <w:szCs w:val="20"/>
                <w:lang w:eastAsia="en-GB"/>
              </w:rPr>
              <w:t>IPR  EE</w:t>
            </w:r>
          </w:p>
        </w:tc>
        <w:tc>
          <w:tcPr>
            <w:tcW w:w="1440" w:type="dxa"/>
            <w:tcBorders>
              <w:top w:val="nil"/>
              <w:left w:val="nil"/>
              <w:bottom w:val="nil"/>
              <w:right w:val="nil"/>
            </w:tcBorders>
          </w:tcPr>
          <w:p w14:paraId="534B382B"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7B6A7BC"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77251B7C"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54D902C" w14:textId="0183F6B0" w:rsidR="00A31457" w:rsidRPr="005E1E85" w:rsidRDefault="00A31457" w:rsidP="00A31457">
            <w:pPr>
              <w:widowControl w:val="0"/>
              <w:autoSpaceDE w:val="0"/>
              <w:autoSpaceDN w:val="0"/>
              <w:adjustRightInd w:val="0"/>
              <w:jc w:val="center"/>
              <w:rPr>
                <w:sz w:val="20"/>
                <w:szCs w:val="20"/>
              </w:rPr>
            </w:pPr>
            <w:r w:rsidRPr="00753459">
              <w:rPr>
                <w:sz w:val="20"/>
                <w:szCs w:val="20"/>
              </w:rPr>
              <w:t>0.001</w:t>
            </w:r>
          </w:p>
        </w:tc>
      </w:tr>
      <w:tr w:rsidR="00A31457" w:rsidRPr="005E1E85" w14:paraId="2FDA80B4" w14:textId="77777777" w:rsidTr="00111420">
        <w:trPr>
          <w:jc w:val="center"/>
        </w:trPr>
        <w:tc>
          <w:tcPr>
            <w:tcW w:w="3668" w:type="dxa"/>
            <w:tcBorders>
              <w:top w:val="nil"/>
              <w:left w:val="nil"/>
              <w:bottom w:val="nil"/>
              <w:right w:val="nil"/>
            </w:tcBorders>
          </w:tcPr>
          <w:p w14:paraId="2AB27877"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1BC43012"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5074D6EA"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3A51AD59"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2D65A793" w14:textId="3E9B6CEB" w:rsidR="00A31457" w:rsidRPr="005E1E85" w:rsidRDefault="00A31457" w:rsidP="00A31457">
            <w:pPr>
              <w:widowControl w:val="0"/>
              <w:autoSpaceDE w:val="0"/>
              <w:autoSpaceDN w:val="0"/>
              <w:adjustRightInd w:val="0"/>
              <w:jc w:val="center"/>
              <w:rPr>
                <w:sz w:val="20"/>
                <w:szCs w:val="20"/>
              </w:rPr>
            </w:pPr>
            <w:r w:rsidRPr="00753459">
              <w:rPr>
                <w:sz w:val="20"/>
                <w:szCs w:val="20"/>
              </w:rPr>
              <w:t>(0.001)</w:t>
            </w:r>
          </w:p>
        </w:tc>
      </w:tr>
      <w:tr w:rsidR="00A31457" w:rsidRPr="005E1E85" w14:paraId="1A937CB4" w14:textId="77777777" w:rsidTr="00111420">
        <w:trPr>
          <w:jc w:val="center"/>
        </w:trPr>
        <w:tc>
          <w:tcPr>
            <w:tcW w:w="3668" w:type="dxa"/>
            <w:tcBorders>
              <w:top w:val="nil"/>
              <w:left w:val="nil"/>
              <w:bottom w:val="nil"/>
              <w:right w:val="nil"/>
            </w:tcBorders>
          </w:tcPr>
          <w:p w14:paraId="6C884C1C" w14:textId="04E6DC9A" w:rsidR="00A31457" w:rsidRPr="005E1E85" w:rsidRDefault="00A31457" w:rsidP="00A31457">
            <w:pPr>
              <w:widowControl w:val="0"/>
              <w:autoSpaceDE w:val="0"/>
              <w:autoSpaceDN w:val="0"/>
              <w:adjustRightInd w:val="0"/>
              <w:rPr>
                <w:sz w:val="20"/>
                <w:szCs w:val="20"/>
              </w:rPr>
            </w:pPr>
            <w:r>
              <w:rPr>
                <w:color w:val="000000"/>
                <w:kern w:val="24"/>
                <w:sz w:val="20"/>
                <w:szCs w:val="20"/>
                <w:lang w:eastAsia="en-GB"/>
              </w:rPr>
              <w:t>Cultural Distance</w:t>
            </w:r>
            <w:r w:rsidRPr="005E1E85">
              <w:rPr>
                <w:color w:val="000000"/>
                <w:kern w:val="24"/>
                <w:sz w:val="20"/>
                <w:szCs w:val="20"/>
                <w:lang w:eastAsia="en-GB"/>
              </w:rPr>
              <w:t xml:space="preserve">  EE</w:t>
            </w:r>
          </w:p>
        </w:tc>
        <w:tc>
          <w:tcPr>
            <w:tcW w:w="1440" w:type="dxa"/>
            <w:tcBorders>
              <w:top w:val="nil"/>
              <w:left w:val="nil"/>
              <w:bottom w:val="nil"/>
              <w:right w:val="nil"/>
            </w:tcBorders>
          </w:tcPr>
          <w:p w14:paraId="43DCBC64"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63429AA"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7E716718"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1A2F105D" w14:textId="27A9AE54" w:rsidR="00A31457" w:rsidRPr="005E1E85" w:rsidRDefault="00A31457" w:rsidP="00A31457">
            <w:pPr>
              <w:widowControl w:val="0"/>
              <w:autoSpaceDE w:val="0"/>
              <w:autoSpaceDN w:val="0"/>
              <w:adjustRightInd w:val="0"/>
              <w:jc w:val="center"/>
              <w:rPr>
                <w:sz w:val="20"/>
                <w:szCs w:val="20"/>
              </w:rPr>
            </w:pPr>
            <w:r w:rsidRPr="00753459">
              <w:rPr>
                <w:sz w:val="20"/>
                <w:szCs w:val="20"/>
              </w:rPr>
              <w:t>-0.146</w:t>
            </w:r>
          </w:p>
        </w:tc>
      </w:tr>
      <w:tr w:rsidR="00A31457" w:rsidRPr="005E1E85" w14:paraId="3D61CC3E" w14:textId="77777777" w:rsidTr="00111420">
        <w:trPr>
          <w:jc w:val="center"/>
        </w:trPr>
        <w:tc>
          <w:tcPr>
            <w:tcW w:w="3668" w:type="dxa"/>
            <w:tcBorders>
              <w:top w:val="nil"/>
              <w:left w:val="nil"/>
              <w:bottom w:val="nil"/>
              <w:right w:val="nil"/>
            </w:tcBorders>
          </w:tcPr>
          <w:p w14:paraId="2723D2B8"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2457A1B4"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50E34D75"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41889323"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3B1F5DE4" w14:textId="19EA2ED9" w:rsidR="00A31457" w:rsidRPr="005E1E85" w:rsidRDefault="00A31457" w:rsidP="00A31457">
            <w:pPr>
              <w:widowControl w:val="0"/>
              <w:autoSpaceDE w:val="0"/>
              <w:autoSpaceDN w:val="0"/>
              <w:adjustRightInd w:val="0"/>
              <w:jc w:val="center"/>
              <w:rPr>
                <w:sz w:val="20"/>
                <w:szCs w:val="20"/>
              </w:rPr>
            </w:pPr>
            <w:r w:rsidRPr="00753459">
              <w:rPr>
                <w:sz w:val="20"/>
                <w:szCs w:val="20"/>
              </w:rPr>
              <w:t>(0.011)</w:t>
            </w:r>
          </w:p>
        </w:tc>
      </w:tr>
      <w:tr w:rsidR="00A31457" w:rsidRPr="005E1E85" w14:paraId="3620CCE0" w14:textId="77777777" w:rsidTr="00111420">
        <w:trPr>
          <w:jc w:val="center"/>
        </w:trPr>
        <w:tc>
          <w:tcPr>
            <w:tcW w:w="3668" w:type="dxa"/>
            <w:tcBorders>
              <w:top w:val="nil"/>
              <w:left w:val="nil"/>
              <w:bottom w:val="nil"/>
              <w:right w:val="nil"/>
            </w:tcBorders>
          </w:tcPr>
          <w:p w14:paraId="6BE54D3F" w14:textId="339190B4" w:rsidR="00A31457" w:rsidRPr="005E1E85" w:rsidRDefault="00A31457" w:rsidP="00A31457">
            <w:pPr>
              <w:widowControl w:val="0"/>
              <w:autoSpaceDE w:val="0"/>
              <w:autoSpaceDN w:val="0"/>
              <w:adjustRightInd w:val="0"/>
              <w:rPr>
                <w:sz w:val="20"/>
                <w:szCs w:val="20"/>
              </w:rPr>
            </w:pPr>
            <w:r w:rsidRPr="005E1E85">
              <w:rPr>
                <w:color w:val="000000"/>
                <w:kern w:val="24"/>
                <w:sz w:val="20"/>
                <w:szCs w:val="20"/>
                <w:lang w:eastAsia="en-GB"/>
              </w:rPr>
              <w:t>Foreign-born pop  EE</w:t>
            </w:r>
          </w:p>
        </w:tc>
        <w:tc>
          <w:tcPr>
            <w:tcW w:w="1440" w:type="dxa"/>
            <w:tcBorders>
              <w:top w:val="nil"/>
              <w:left w:val="nil"/>
              <w:bottom w:val="nil"/>
              <w:right w:val="nil"/>
            </w:tcBorders>
          </w:tcPr>
          <w:p w14:paraId="56D16B36"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3B0AE43D"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15ED5D6D"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2BE2C809" w14:textId="7269081A" w:rsidR="00A31457" w:rsidRPr="005E1E85" w:rsidRDefault="00A31457" w:rsidP="00A31457">
            <w:pPr>
              <w:widowControl w:val="0"/>
              <w:autoSpaceDE w:val="0"/>
              <w:autoSpaceDN w:val="0"/>
              <w:adjustRightInd w:val="0"/>
              <w:jc w:val="center"/>
              <w:rPr>
                <w:sz w:val="20"/>
                <w:szCs w:val="20"/>
              </w:rPr>
            </w:pPr>
            <w:r w:rsidRPr="00753459">
              <w:rPr>
                <w:sz w:val="20"/>
                <w:szCs w:val="20"/>
              </w:rPr>
              <w:t>0.415</w:t>
            </w:r>
          </w:p>
        </w:tc>
      </w:tr>
      <w:tr w:rsidR="00A31457" w:rsidRPr="005E1E85" w14:paraId="67D1B5B3" w14:textId="77777777" w:rsidTr="00111420">
        <w:trPr>
          <w:jc w:val="center"/>
        </w:trPr>
        <w:tc>
          <w:tcPr>
            <w:tcW w:w="3668" w:type="dxa"/>
            <w:tcBorders>
              <w:top w:val="nil"/>
              <w:left w:val="nil"/>
              <w:bottom w:val="nil"/>
              <w:right w:val="nil"/>
            </w:tcBorders>
          </w:tcPr>
          <w:p w14:paraId="23606B6B"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4505AAA2"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56FDCA0"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1BB6D78D"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2F6F9C73" w14:textId="3F65217A" w:rsidR="00A31457" w:rsidRPr="005E1E85" w:rsidRDefault="00A31457" w:rsidP="00A31457">
            <w:pPr>
              <w:widowControl w:val="0"/>
              <w:autoSpaceDE w:val="0"/>
              <w:autoSpaceDN w:val="0"/>
              <w:adjustRightInd w:val="0"/>
              <w:jc w:val="center"/>
              <w:rPr>
                <w:sz w:val="20"/>
                <w:szCs w:val="20"/>
              </w:rPr>
            </w:pPr>
            <w:r w:rsidRPr="00753459">
              <w:rPr>
                <w:sz w:val="20"/>
                <w:szCs w:val="20"/>
              </w:rPr>
              <w:t>(0.006)</w:t>
            </w:r>
          </w:p>
        </w:tc>
      </w:tr>
      <w:tr w:rsidR="00A31457" w:rsidRPr="005E1E85" w14:paraId="212981F0" w14:textId="77777777" w:rsidTr="00111420">
        <w:trPr>
          <w:jc w:val="center"/>
        </w:trPr>
        <w:tc>
          <w:tcPr>
            <w:tcW w:w="3668" w:type="dxa"/>
            <w:tcBorders>
              <w:top w:val="nil"/>
              <w:left w:val="nil"/>
              <w:bottom w:val="nil"/>
              <w:right w:val="nil"/>
            </w:tcBorders>
          </w:tcPr>
          <w:p w14:paraId="733490A1" w14:textId="4268CEEC" w:rsidR="00A31457" w:rsidRPr="005E1E85" w:rsidRDefault="00A31457" w:rsidP="00A31457">
            <w:pPr>
              <w:widowControl w:val="0"/>
              <w:autoSpaceDE w:val="0"/>
              <w:autoSpaceDN w:val="0"/>
              <w:adjustRightInd w:val="0"/>
              <w:rPr>
                <w:sz w:val="20"/>
                <w:szCs w:val="20"/>
              </w:rPr>
            </w:pPr>
            <w:r w:rsidRPr="005E1E85">
              <w:rPr>
                <w:color w:val="000000"/>
                <w:kern w:val="24"/>
                <w:sz w:val="20"/>
                <w:szCs w:val="20"/>
                <w:lang w:eastAsia="en-GB"/>
              </w:rPr>
              <w:t>Population  EE</w:t>
            </w:r>
          </w:p>
        </w:tc>
        <w:tc>
          <w:tcPr>
            <w:tcW w:w="1440" w:type="dxa"/>
            <w:tcBorders>
              <w:top w:val="nil"/>
              <w:left w:val="nil"/>
              <w:bottom w:val="nil"/>
              <w:right w:val="nil"/>
            </w:tcBorders>
          </w:tcPr>
          <w:p w14:paraId="429D7350"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2D5DA399"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26D6F94F"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7C59EEC2" w14:textId="49D708C7" w:rsidR="00A31457" w:rsidRPr="005E1E85" w:rsidRDefault="00A31457" w:rsidP="00A31457">
            <w:pPr>
              <w:widowControl w:val="0"/>
              <w:autoSpaceDE w:val="0"/>
              <w:autoSpaceDN w:val="0"/>
              <w:adjustRightInd w:val="0"/>
              <w:jc w:val="center"/>
              <w:rPr>
                <w:sz w:val="20"/>
                <w:szCs w:val="20"/>
              </w:rPr>
            </w:pPr>
            <w:r w:rsidRPr="00753459">
              <w:rPr>
                <w:sz w:val="20"/>
                <w:szCs w:val="20"/>
              </w:rPr>
              <w:t>0.128</w:t>
            </w:r>
          </w:p>
        </w:tc>
      </w:tr>
      <w:tr w:rsidR="00A31457" w:rsidRPr="005E1E85" w14:paraId="382097E1" w14:textId="77777777" w:rsidTr="00111420">
        <w:trPr>
          <w:jc w:val="center"/>
        </w:trPr>
        <w:tc>
          <w:tcPr>
            <w:tcW w:w="3668" w:type="dxa"/>
            <w:tcBorders>
              <w:top w:val="nil"/>
              <w:left w:val="nil"/>
              <w:bottom w:val="nil"/>
              <w:right w:val="nil"/>
            </w:tcBorders>
          </w:tcPr>
          <w:p w14:paraId="506A9899"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246CF934"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3A10EA5"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175F61C0"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54BB7FBF" w14:textId="20B41647" w:rsidR="00A31457" w:rsidRPr="005E1E85" w:rsidRDefault="00A31457" w:rsidP="00A31457">
            <w:pPr>
              <w:widowControl w:val="0"/>
              <w:autoSpaceDE w:val="0"/>
              <w:autoSpaceDN w:val="0"/>
              <w:adjustRightInd w:val="0"/>
              <w:jc w:val="center"/>
              <w:rPr>
                <w:sz w:val="20"/>
                <w:szCs w:val="20"/>
              </w:rPr>
            </w:pPr>
            <w:r w:rsidRPr="00753459">
              <w:rPr>
                <w:sz w:val="20"/>
                <w:szCs w:val="20"/>
              </w:rPr>
              <w:t>(0.006)</w:t>
            </w:r>
          </w:p>
        </w:tc>
      </w:tr>
      <w:tr w:rsidR="00A31457" w:rsidRPr="005E1E85" w14:paraId="73893B6B" w14:textId="77777777" w:rsidTr="00515E1E">
        <w:trPr>
          <w:jc w:val="center"/>
        </w:trPr>
        <w:tc>
          <w:tcPr>
            <w:tcW w:w="3668" w:type="dxa"/>
            <w:tcBorders>
              <w:top w:val="nil"/>
              <w:left w:val="nil"/>
              <w:bottom w:val="nil"/>
              <w:right w:val="nil"/>
            </w:tcBorders>
          </w:tcPr>
          <w:p w14:paraId="23EE8031" w14:textId="77777777" w:rsidR="00A31457" w:rsidRPr="005E1E85" w:rsidRDefault="00A31457" w:rsidP="00A31457">
            <w:pPr>
              <w:widowControl w:val="0"/>
              <w:autoSpaceDE w:val="0"/>
              <w:autoSpaceDN w:val="0"/>
              <w:adjustRightInd w:val="0"/>
              <w:rPr>
                <w:sz w:val="20"/>
                <w:szCs w:val="20"/>
              </w:rPr>
            </w:pPr>
            <w:r w:rsidRPr="005E1E85">
              <w:rPr>
                <w:color w:val="000000"/>
                <w:kern w:val="24"/>
                <w:sz w:val="20"/>
                <w:szCs w:val="20"/>
                <w:lang w:eastAsia="en-GB"/>
              </w:rPr>
              <w:t>GDP Growth</w:t>
            </w:r>
          </w:p>
        </w:tc>
        <w:tc>
          <w:tcPr>
            <w:tcW w:w="1440" w:type="dxa"/>
            <w:tcBorders>
              <w:top w:val="nil"/>
              <w:left w:val="nil"/>
              <w:bottom w:val="nil"/>
              <w:right w:val="nil"/>
            </w:tcBorders>
          </w:tcPr>
          <w:p w14:paraId="0FB88E47" w14:textId="59789A5A" w:rsidR="00A31457" w:rsidRPr="005E1E85" w:rsidRDefault="00A31457" w:rsidP="00A31457">
            <w:pPr>
              <w:widowControl w:val="0"/>
              <w:autoSpaceDE w:val="0"/>
              <w:autoSpaceDN w:val="0"/>
              <w:adjustRightInd w:val="0"/>
              <w:jc w:val="center"/>
              <w:rPr>
                <w:sz w:val="20"/>
                <w:szCs w:val="20"/>
              </w:rPr>
            </w:pPr>
            <w:r w:rsidRPr="005E1E85">
              <w:rPr>
                <w:sz w:val="20"/>
                <w:szCs w:val="20"/>
              </w:rPr>
              <w:t>0.164</w:t>
            </w:r>
          </w:p>
        </w:tc>
        <w:tc>
          <w:tcPr>
            <w:tcW w:w="1440" w:type="dxa"/>
            <w:tcBorders>
              <w:top w:val="nil"/>
              <w:left w:val="nil"/>
              <w:bottom w:val="nil"/>
              <w:right w:val="nil"/>
            </w:tcBorders>
          </w:tcPr>
          <w:p w14:paraId="3636EF4B"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-0.005</w:t>
            </w:r>
          </w:p>
        </w:tc>
        <w:tc>
          <w:tcPr>
            <w:tcW w:w="1440" w:type="dxa"/>
            <w:tcBorders>
              <w:top w:val="nil"/>
              <w:left w:val="nil"/>
              <w:bottom w:val="nil"/>
              <w:right w:val="nil"/>
            </w:tcBorders>
          </w:tcPr>
          <w:p w14:paraId="7486DE3E" w14:textId="4C15F0E0"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7508F418" w14:textId="02C6434B" w:rsidR="00A31457" w:rsidRPr="005E1E85" w:rsidRDefault="00A31457" w:rsidP="00A31457">
            <w:pPr>
              <w:widowControl w:val="0"/>
              <w:autoSpaceDE w:val="0"/>
              <w:autoSpaceDN w:val="0"/>
              <w:adjustRightInd w:val="0"/>
              <w:jc w:val="center"/>
              <w:rPr>
                <w:sz w:val="20"/>
                <w:szCs w:val="20"/>
              </w:rPr>
            </w:pPr>
            <w:r w:rsidRPr="00753459">
              <w:rPr>
                <w:sz w:val="20"/>
                <w:szCs w:val="20"/>
              </w:rPr>
              <w:t>0.029</w:t>
            </w:r>
          </w:p>
        </w:tc>
      </w:tr>
      <w:tr w:rsidR="00A31457" w:rsidRPr="005E1E85" w14:paraId="610A22AE" w14:textId="77777777" w:rsidTr="00515E1E">
        <w:trPr>
          <w:jc w:val="center"/>
        </w:trPr>
        <w:tc>
          <w:tcPr>
            <w:tcW w:w="3668" w:type="dxa"/>
            <w:tcBorders>
              <w:top w:val="nil"/>
              <w:left w:val="nil"/>
              <w:bottom w:val="nil"/>
              <w:right w:val="nil"/>
            </w:tcBorders>
          </w:tcPr>
          <w:p w14:paraId="72B97E11"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5126384D"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(0.009)</w:t>
            </w:r>
          </w:p>
        </w:tc>
        <w:tc>
          <w:tcPr>
            <w:tcW w:w="1440" w:type="dxa"/>
            <w:tcBorders>
              <w:top w:val="nil"/>
              <w:left w:val="nil"/>
              <w:bottom w:val="nil"/>
              <w:right w:val="nil"/>
            </w:tcBorders>
          </w:tcPr>
          <w:p w14:paraId="424AD1FE"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(0.004)</w:t>
            </w:r>
          </w:p>
        </w:tc>
        <w:tc>
          <w:tcPr>
            <w:tcW w:w="1440" w:type="dxa"/>
            <w:tcBorders>
              <w:top w:val="nil"/>
              <w:left w:val="nil"/>
              <w:bottom w:val="nil"/>
              <w:right w:val="nil"/>
            </w:tcBorders>
          </w:tcPr>
          <w:p w14:paraId="4B66C5F4"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40C502D3" w14:textId="79ED5262" w:rsidR="00A31457" w:rsidRPr="005E1E85" w:rsidRDefault="00A31457" w:rsidP="00A31457">
            <w:pPr>
              <w:widowControl w:val="0"/>
              <w:autoSpaceDE w:val="0"/>
              <w:autoSpaceDN w:val="0"/>
              <w:adjustRightInd w:val="0"/>
              <w:jc w:val="center"/>
              <w:rPr>
                <w:sz w:val="20"/>
                <w:szCs w:val="20"/>
              </w:rPr>
            </w:pPr>
            <w:r w:rsidRPr="00753459">
              <w:rPr>
                <w:sz w:val="20"/>
                <w:szCs w:val="20"/>
              </w:rPr>
              <w:t>(0.003)</w:t>
            </w:r>
          </w:p>
        </w:tc>
      </w:tr>
      <w:tr w:rsidR="00A31457" w:rsidRPr="005E1E85" w14:paraId="0CC29004" w14:textId="77777777" w:rsidTr="00111420">
        <w:trPr>
          <w:jc w:val="center"/>
        </w:trPr>
        <w:tc>
          <w:tcPr>
            <w:tcW w:w="3668" w:type="dxa"/>
            <w:tcBorders>
              <w:top w:val="nil"/>
              <w:left w:val="nil"/>
              <w:bottom w:val="nil"/>
              <w:right w:val="nil"/>
            </w:tcBorders>
          </w:tcPr>
          <w:p w14:paraId="64F7CEDD" w14:textId="702F7758" w:rsidR="00A31457" w:rsidRPr="005E1E85" w:rsidRDefault="00A31457" w:rsidP="00A31457">
            <w:pPr>
              <w:widowControl w:val="0"/>
              <w:autoSpaceDE w:val="0"/>
              <w:autoSpaceDN w:val="0"/>
              <w:adjustRightInd w:val="0"/>
              <w:rPr>
                <w:sz w:val="20"/>
                <w:szCs w:val="20"/>
              </w:rPr>
            </w:pPr>
            <w:r w:rsidRPr="005E1E85">
              <w:rPr>
                <w:color w:val="000000"/>
                <w:kern w:val="24"/>
                <w:sz w:val="20"/>
                <w:szCs w:val="20"/>
                <w:lang w:eastAsia="en-GB"/>
              </w:rPr>
              <w:t>GDP per capita</w:t>
            </w:r>
          </w:p>
        </w:tc>
        <w:tc>
          <w:tcPr>
            <w:tcW w:w="1440" w:type="dxa"/>
            <w:tcBorders>
              <w:top w:val="nil"/>
              <w:left w:val="nil"/>
              <w:bottom w:val="nil"/>
              <w:right w:val="nil"/>
            </w:tcBorders>
          </w:tcPr>
          <w:p w14:paraId="11C7D339" w14:textId="0B104A7F" w:rsidR="00A31457" w:rsidRPr="005E1E85" w:rsidRDefault="00A31457" w:rsidP="00A31457">
            <w:pPr>
              <w:widowControl w:val="0"/>
              <w:autoSpaceDE w:val="0"/>
              <w:autoSpaceDN w:val="0"/>
              <w:adjustRightInd w:val="0"/>
              <w:jc w:val="center"/>
              <w:rPr>
                <w:sz w:val="20"/>
                <w:szCs w:val="20"/>
              </w:rPr>
            </w:pPr>
            <w:r w:rsidRPr="005E1E85">
              <w:rPr>
                <w:sz w:val="20"/>
                <w:szCs w:val="20"/>
              </w:rPr>
              <w:t>0.007</w:t>
            </w:r>
          </w:p>
        </w:tc>
        <w:tc>
          <w:tcPr>
            <w:tcW w:w="1440" w:type="dxa"/>
            <w:tcBorders>
              <w:top w:val="nil"/>
              <w:left w:val="nil"/>
              <w:bottom w:val="nil"/>
              <w:right w:val="nil"/>
            </w:tcBorders>
          </w:tcPr>
          <w:p w14:paraId="39FEEA81" w14:textId="0B06B11A" w:rsidR="00A31457" w:rsidRPr="005E1E85" w:rsidRDefault="00A31457" w:rsidP="00A31457">
            <w:pPr>
              <w:widowControl w:val="0"/>
              <w:autoSpaceDE w:val="0"/>
              <w:autoSpaceDN w:val="0"/>
              <w:adjustRightInd w:val="0"/>
              <w:jc w:val="center"/>
              <w:rPr>
                <w:sz w:val="20"/>
                <w:szCs w:val="20"/>
              </w:rPr>
            </w:pPr>
            <w:r w:rsidRPr="005E1E85">
              <w:rPr>
                <w:sz w:val="20"/>
                <w:szCs w:val="20"/>
              </w:rPr>
              <w:t>-0.003</w:t>
            </w:r>
          </w:p>
        </w:tc>
        <w:tc>
          <w:tcPr>
            <w:tcW w:w="1440" w:type="dxa"/>
            <w:tcBorders>
              <w:top w:val="nil"/>
              <w:left w:val="nil"/>
              <w:bottom w:val="nil"/>
              <w:right w:val="nil"/>
            </w:tcBorders>
          </w:tcPr>
          <w:p w14:paraId="2B29619B"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3772491" w14:textId="1AC4D714" w:rsidR="00A31457" w:rsidRPr="005E1E85" w:rsidRDefault="00A31457" w:rsidP="00A31457">
            <w:pPr>
              <w:widowControl w:val="0"/>
              <w:autoSpaceDE w:val="0"/>
              <w:autoSpaceDN w:val="0"/>
              <w:adjustRightInd w:val="0"/>
              <w:jc w:val="center"/>
              <w:rPr>
                <w:sz w:val="20"/>
                <w:szCs w:val="20"/>
              </w:rPr>
            </w:pPr>
            <w:r w:rsidRPr="00753459">
              <w:rPr>
                <w:sz w:val="20"/>
                <w:szCs w:val="20"/>
              </w:rPr>
              <w:t>0.002</w:t>
            </w:r>
          </w:p>
        </w:tc>
      </w:tr>
      <w:tr w:rsidR="00A31457" w:rsidRPr="005E1E85" w14:paraId="346B70CD" w14:textId="77777777" w:rsidTr="00111420">
        <w:trPr>
          <w:jc w:val="center"/>
        </w:trPr>
        <w:tc>
          <w:tcPr>
            <w:tcW w:w="3668" w:type="dxa"/>
            <w:tcBorders>
              <w:top w:val="nil"/>
              <w:left w:val="nil"/>
              <w:bottom w:val="nil"/>
              <w:right w:val="nil"/>
            </w:tcBorders>
          </w:tcPr>
          <w:p w14:paraId="1F1BABEB"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039F0E46"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(0.001)</w:t>
            </w:r>
          </w:p>
        </w:tc>
        <w:tc>
          <w:tcPr>
            <w:tcW w:w="1440" w:type="dxa"/>
            <w:tcBorders>
              <w:top w:val="nil"/>
              <w:left w:val="nil"/>
              <w:bottom w:val="nil"/>
              <w:right w:val="nil"/>
            </w:tcBorders>
          </w:tcPr>
          <w:p w14:paraId="07F333E1"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(0.001)</w:t>
            </w:r>
          </w:p>
        </w:tc>
        <w:tc>
          <w:tcPr>
            <w:tcW w:w="1440" w:type="dxa"/>
            <w:tcBorders>
              <w:top w:val="nil"/>
              <w:left w:val="nil"/>
              <w:bottom w:val="nil"/>
              <w:right w:val="nil"/>
            </w:tcBorders>
          </w:tcPr>
          <w:p w14:paraId="1FD5C0C6"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1819E4CE" w14:textId="2F24E4CF" w:rsidR="00A31457" w:rsidRPr="005E1E85" w:rsidRDefault="00A31457" w:rsidP="00A31457">
            <w:pPr>
              <w:widowControl w:val="0"/>
              <w:autoSpaceDE w:val="0"/>
              <w:autoSpaceDN w:val="0"/>
              <w:adjustRightInd w:val="0"/>
              <w:jc w:val="center"/>
              <w:rPr>
                <w:sz w:val="20"/>
                <w:szCs w:val="20"/>
              </w:rPr>
            </w:pPr>
            <w:r w:rsidRPr="00753459">
              <w:rPr>
                <w:sz w:val="20"/>
                <w:szCs w:val="20"/>
              </w:rPr>
              <w:t>(0.000)</w:t>
            </w:r>
          </w:p>
        </w:tc>
      </w:tr>
      <w:tr w:rsidR="00A31457" w:rsidRPr="005E1E85" w14:paraId="22427124" w14:textId="77777777" w:rsidTr="00515E1E">
        <w:trPr>
          <w:jc w:val="center"/>
        </w:trPr>
        <w:tc>
          <w:tcPr>
            <w:tcW w:w="3668" w:type="dxa"/>
            <w:tcBorders>
              <w:top w:val="nil"/>
              <w:left w:val="nil"/>
              <w:bottom w:val="nil"/>
              <w:right w:val="nil"/>
            </w:tcBorders>
          </w:tcPr>
          <w:p w14:paraId="6E7B11F4" w14:textId="77777777" w:rsidR="00A31457" w:rsidRPr="005E1E85" w:rsidRDefault="00A31457" w:rsidP="00A31457">
            <w:pPr>
              <w:widowControl w:val="0"/>
              <w:autoSpaceDE w:val="0"/>
              <w:autoSpaceDN w:val="0"/>
              <w:adjustRightInd w:val="0"/>
              <w:rPr>
                <w:sz w:val="20"/>
                <w:szCs w:val="20"/>
              </w:rPr>
            </w:pPr>
            <w:r>
              <w:rPr>
                <w:color w:val="000000"/>
                <w:kern w:val="24"/>
                <w:sz w:val="20"/>
                <w:szCs w:val="20"/>
                <w:lang w:eastAsia="en-GB"/>
              </w:rPr>
              <w:t>Agglomeration</w:t>
            </w:r>
          </w:p>
        </w:tc>
        <w:tc>
          <w:tcPr>
            <w:tcW w:w="1440" w:type="dxa"/>
            <w:tcBorders>
              <w:top w:val="nil"/>
              <w:left w:val="nil"/>
              <w:bottom w:val="nil"/>
              <w:right w:val="nil"/>
            </w:tcBorders>
          </w:tcPr>
          <w:p w14:paraId="026CBA7A" w14:textId="0C7BDE08" w:rsidR="00A31457" w:rsidRPr="005E1E85" w:rsidRDefault="00A31457" w:rsidP="00A31457">
            <w:pPr>
              <w:widowControl w:val="0"/>
              <w:autoSpaceDE w:val="0"/>
              <w:autoSpaceDN w:val="0"/>
              <w:adjustRightInd w:val="0"/>
              <w:jc w:val="center"/>
              <w:rPr>
                <w:sz w:val="20"/>
                <w:szCs w:val="20"/>
              </w:rPr>
            </w:pPr>
            <w:r w:rsidRPr="005E1E85">
              <w:rPr>
                <w:sz w:val="20"/>
                <w:szCs w:val="20"/>
              </w:rPr>
              <w:t>0.024</w:t>
            </w:r>
          </w:p>
        </w:tc>
        <w:tc>
          <w:tcPr>
            <w:tcW w:w="1440" w:type="dxa"/>
            <w:tcBorders>
              <w:top w:val="nil"/>
              <w:left w:val="nil"/>
              <w:bottom w:val="nil"/>
              <w:right w:val="nil"/>
            </w:tcBorders>
          </w:tcPr>
          <w:p w14:paraId="203A7F1D" w14:textId="07019B99" w:rsidR="00A31457" w:rsidRPr="005E1E85" w:rsidRDefault="00A31457" w:rsidP="00A31457">
            <w:pPr>
              <w:widowControl w:val="0"/>
              <w:autoSpaceDE w:val="0"/>
              <w:autoSpaceDN w:val="0"/>
              <w:adjustRightInd w:val="0"/>
              <w:jc w:val="center"/>
              <w:rPr>
                <w:sz w:val="20"/>
                <w:szCs w:val="20"/>
              </w:rPr>
            </w:pPr>
            <w:r w:rsidRPr="005E1E85">
              <w:rPr>
                <w:sz w:val="20"/>
                <w:szCs w:val="20"/>
              </w:rPr>
              <w:t>0.168</w:t>
            </w:r>
          </w:p>
        </w:tc>
        <w:tc>
          <w:tcPr>
            <w:tcW w:w="1440" w:type="dxa"/>
            <w:tcBorders>
              <w:top w:val="nil"/>
              <w:left w:val="nil"/>
              <w:bottom w:val="nil"/>
              <w:right w:val="nil"/>
            </w:tcBorders>
          </w:tcPr>
          <w:p w14:paraId="7F2B3621"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37C8827B" w14:textId="63BAE305" w:rsidR="00A31457" w:rsidRPr="005E1E85" w:rsidRDefault="00A31457" w:rsidP="00A31457">
            <w:pPr>
              <w:widowControl w:val="0"/>
              <w:autoSpaceDE w:val="0"/>
              <w:autoSpaceDN w:val="0"/>
              <w:adjustRightInd w:val="0"/>
              <w:jc w:val="center"/>
              <w:rPr>
                <w:sz w:val="20"/>
                <w:szCs w:val="20"/>
              </w:rPr>
            </w:pPr>
            <w:r w:rsidRPr="00753459">
              <w:rPr>
                <w:sz w:val="20"/>
                <w:szCs w:val="20"/>
              </w:rPr>
              <w:t>0.070</w:t>
            </w:r>
          </w:p>
        </w:tc>
      </w:tr>
      <w:tr w:rsidR="00A31457" w:rsidRPr="005E1E85" w14:paraId="1B2E83A6" w14:textId="77777777" w:rsidTr="00515E1E">
        <w:trPr>
          <w:jc w:val="center"/>
        </w:trPr>
        <w:tc>
          <w:tcPr>
            <w:tcW w:w="3668" w:type="dxa"/>
            <w:tcBorders>
              <w:top w:val="nil"/>
              <w:left w:val="nil"/>
              <w:bottom w:val="nil"/>
              <w:right w:val="nil"/>
            </w:tcBorders>
          </w:tcPr>
          <w:p w14:paraId="69FB3E5A"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6693FF73"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(0.002)</w:t>
            </w:r>
          </w:p>
        </w:tc>
        <w:tc>
          <w:tcPr>
            <w:tcW w:w="1440" w:type="dxa"/>
            <w:tcBorders>
              <w:top w:val="nil"/>
              <w:left w:val="nil"/>
              <w:bottom w:val="nil"/>
              <w:right w:val="nil"/>
            </w:tcBorders>
          </w:tcPr>
          <w:p w14:paraId="56BBC92D"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(0.006)</w:t>
            </w:r>
          </w:p>
        </w:tc>
        <w:tc>
          <w:tcPr>
            <w:tcW w:w="1440" w:type="dxa"/>
            <w:tcBorders>
              <w:top w:val="nil"/>
              <w:left w:val="nil"/>
              <w:bottom w:val="nil"/>
              <w:right w:val="nil"/>
            </w:tcBorders>
          </w:tcPr>
          <w:p w14:paraId="7D219A7C"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D3090C5" w14:textId="56A8D7BB" w:rsidR="00A31457" w:rsidRPr="005E1E85" w:rsidRDefault="00A31457" w:rsidP="00A31457">
            <w:pPr>
              <w:widowControl w:val="0"/>
              <w:autoSpaceDE w:val="0"/>
              <w:autoSpaceDN w:val="0"/>
              <w:adjustRightInd w:val="0"/>
              <w:jc w:val="center"/>
              <w:rPr>
                <w:sz w:val="20"/>
                <w:szCs w:val="20"/>
              </w:rPr>
            </w:pPr>
            <w:r w:rsidRPr="00753459">
              <w:rPr>
                <w:sz w:val="20"/>
                <w:szCs w:val="20"/>
              </w:rPr>
              <w:t>(0.002)</w:t>
            </w:r>
          </w:p>
        </w:tc>
      </w:tr>
      <w:tr w:rsidR="00A31457" w:rsidRPr="005E1E85" w14:paraId="7B984F32" w14:textId="77777777" w:rsidTr="00515E1E">
        <w:trPr>
          <w:jc w:val="center"/>
        </w:trPr>
        <w:tc>
          <w:tcPr>
            <w:tcW w:w="3668" w:type="dxa"/>
            <w:tcBorders>
              <w:top w:val="nil"/>
              <w:left w:val="nil"/>
              <w:bottom w:val="nil"/>
              <w:right w:val="nil"/>
            </w:tcBorders>
          </w:tcPr>
          <w:p w14:paraId="627D45FA" w14:textId="77777777" w:rsidR="00A31457" w:rsidRPr="005E1E85" w:rsidRDefault="00A31457" w:rsidP="00A31457">
            <w:pPr>
              <w:widowControl w:val="0"/>
              <w:autoSpaceDE w:val="0"/>
              <w:autoSpaceDN w:val="0"/>
              <w:adjustRightInd w:val="0"/>
              <w:rPr>
                <w:sz w:val="20"/>
                <w:szCs w:val="20"/>
              </w:rPr>
            </w:pPr>
            <w:r w:rsidRPr="005E1E85">
              <w:rPr>
                <w:color w:val="000000"/>
                <w:kern w:val="24"/>
                <w:sz w:val="20"/>
                <w:szCs w:val="20"/>
                <w:lang w:eastAsia="en-GB"/>
              </w:rPr>
              <w:t>Trade</w:t>
            </w:r>
            <w:r>
              <w:rPr>
                <w:color w:val="000000"/>
                <w:kern w:val="24"/>
                <w:sz w:val="20"/>
                <w:szCs w:val="20"/>
                <w:lang w:eastAsia="en-GB"/>
              </w:rPr>
              <w:t xml:space="preserve"> openness</w:t>
            </w:r>
          </w:p>
        </w:tc>
        <w:tc>
          <w:tcPr>
            <w:tcW w:w="1440" w:type="dxa"/>
            <w:tcBorders>
              <w:top w:val="nil"/>
              <w:left w:val="nil"/>
              <w:bottom w:val="nil"/>
              <w:right w:val="nil"/>
            </w:tcBorders>
          </w:tcPr>
          <w:p w14:paraId="7AF27D61" w14:textId="13A417A0" w:rsidR="00A31457" w:rsidRPr="005E1E85" w:rsidRDefault="00A31457" w:rsidP="00A31457">
            <w:pPr>
              <w:widowControl w:val="0"/>
              <w:autoSpaceDE w:val="0"/>
              <w:autoSpaceDN w:val="0"/>
              <w:adjustRightInd w:val="0"/>
              <w:jc w:val="center"/>
              <w:rPr>
                <w:sz w:val="20"/>
                <w:szCs w:val="20"/>
              </w:rPr>
            </w:pPr>
            <w:r w:rsidRPr="005E1E85">
              <w:rPr>
                <w:sz w:val="20"/>
                <w:szCs w:val="20"/>
              </w:rPr>
              <w:t>0.009</w:t>
            </w:r>
          </w:p>
        </w:tc>
        <w:tc>
          <w:tcPr>
            <w:tcW w:w="1440" w:type="dxa"/>
            <w:tcBorders>
              <w:top w:val="nil"/>
              <w:left w:val="nil"/>
              <w:bottom w:val="nil"/>
              <w:right w:val="nil"/>
            </w:tcBorders>
          </w:tcPr>
          <w:p w14:paraId="43C0F237" w14:textId="192B22AE" w:rsidR="00A31457" w:rsidRPr="005E1E85" w:rsidRDefault="00A31457" w:rsidP="00A31457">
            <w:pPr>
              <w:widowControl w:val="0"/>
              <w:autoSpaceDE w:val="0"/>
              <w:autoSpaceDN w:val="0"/>
              <w:adjustRightInd w:val="0"/>
              <w:jc w:val="center"/>
              <w:rPr>
                <w:sz w:val="20"/>
                <w:szCs w:val="20"/>
              </w:rPr>
            </w:pPr>
            <w:r w:rsidRPr="005E1E85">
              <w:rPr>
                <w:sz w:val="20"/>
                <w:szCs w:val="20"/>
              </w:rPr>
              <w:t>0.008</w:t>
            </w:r>
          </w:p>
        </w:tc>
        <w:tc>
          <w:tcPr>
            <w:tcW w:w="1440" w:type="dxa"/>
            <w:tcBorders>
              <w:top w:val="nil"/>
              <w:left w:val="nil"/>
              <w:bottom w:val="nil"/>
              <w:right w:val="nil"/>
            </w:tcBorders>
          </w:tcPr>
          <w:p w14:paraId="5C190B1C"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47CC16ED" w14:textId="26DE209D" w:rsidR="00A31457" w:rsidRPr="005E1E85" w:rsidRDefault="00A31457" w:rsidP="00A31457">
            <w:pPr>
              <w:widowControl w:val="0"/>
              <w:autoSpaceDE w:val="0"/>
              <w:autoSpaceDN w:val="0"/>
              <w:adjustRightInd w:val="0"/>
              <w:jc w:val="center"/>
              <w:rPr>
                <w:sz w:val="20"/>
                <w:szCs w:val="20"/>
              </w:rPr>
            </w:pPr>
            <w:r w:rsidRPr="00753459">
              <w:rPr>
                <w:sz w:val="20"/>
                <w:szCs w:val="20"/>
              </w:rPr>
              <w:t>0.010</w:t>
            </w:r>
          </w:p>
        </w:tc>
      </w:tr>
      <w:tr w:rsidR="00A31457" w:rsidRPr="005E1E85" w14:paraId="504F686D" w14:textId="77777777" w:rsidTr="00515E1E">
        <w:trPr>
          <w:jc w:val="center"/>
        </w:trPr>
        <w:tc>
          <w:tcPr>
            <w:tcW w:w="3668" w:type="dxa"/>
            <w:tcBorders>
              <w:top w:val="nil"/>
              <w:left w:val="nil"/>
              <w:bottom w:val="nil"/>
              <w:right w:val="nil"/>
            </w:tcBorders>
          </w:tcPr>
          <w:p w14:paraId="1D232DD9"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69A29AE5"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(0.000)</w:t>
            </w:r>
          </w:p>
        </w:tc>
        <w:tc>
          <w:tcPr>
            <w:tcW w:w="1440" w:type="dxa"/>
            <w:tcBorders>
              <w:top w:val="nil"/>
              <w:left w:val="nil"/>
              <w:bottom w:val="nil"/>
              <w:right w:val="nil"/>
            </w:tcBorders>
          </w:tcPr>
          <w:p w14:paraId="1E1D44D2"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(0.000)</w:t>
            </w:r>
          </w:p>
        </w:tc>
        <w:tc>
          <w:tcPr>
            <w:tcW w:w="1440" w:type="dxa"/>
            <w:tcBorders>
              <w:top w:val="nil"/>
              <w:left w:val="nil"/>
              <w:bottom w:val="nil"/>
              <w:right w:val="nil"/>
            </w:tcBorders>
          </w:tcPr>
          <w:p w14:paraId="63E5E8E7"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624E41A" w14:textId="24F06986" w:rsidR="00A31457" w:rsidRPr="005E1E85" w:rsidRDefault="00A31457" w:rsidP="00A31457">
            <w:pPr>
              <w:widowControl w:val="0"/>
              <w:autoSpaceDE w:val="0"/>
              <w:autoSpaceDN w:val="0"/>
              <w:adjustRightInd w:val="0"/>
              <w:jc w:val="center"/>
              <w:rPr>
                <w:sz w:val="20"/>
                <w:szCs w:val="20"/>
              </w:rPr>
            </w:pPr>
            <w:r w:rsidRPr="00753459">
              <w:rPr>
                <w:sz w:val="20"/>
                <w:szCs w:val="20"/>
              </w:rPr>
              <w:t>(0.000)</w:t>
            </w:r>
          </w:p>
        </w:tc>
      </w:tr>
      <w:tr w:rsidR="00A31457" w:rsidRPr="005E1E85" w14:paraId="482BE73A" w14:textId="77777777" w:rsidTr="00515E1E">
        <w:trPr>
          <w:jc w:val="center"/>
        </w:trPr>
        <w:tc>
          <w:tcPr>
            <w:tcW w:w="3668" w:type="dxa"/>
            <w:tcBorders>
              <w:top w:val="nil"/>
              <w:left w:val="nil"/>
              <w:bottom w:val="nil"/>
              <w:right w:val="nil"/>
            </w:tcBorders>
          </w:tcPr>
          <w:p w14:paraId="39CC5886" w14:textId="77777777" w:rsidR="00A31457" w:rsidRPr="005E1E85" w:rsidRDefault="00A31457" w:rsidP="00A31457">
            <w:pPr>
              <w:widowControl w:val="0"/>
              <w:autoSpaceDE w:val="0"/>
              <w:autoSpaceDN w:val="0"/>
              <w:adjustRightInd w:val="0"/>
              <w:rPr>
                <w:sz w:val="20"/>
                <w:szCs w:val="20"/>
              </w:rPr>
            </w:pPr>
            <w:r w:rsidRPr="005E1E85">
              <w:rPr>
                <w:color w:val="000000"/>
                <w:kern w:val="24"/>
                <w:sz w:val="20"/>
                <w:szCs w:val="20"/>
                <w:lang w:eastAsia="en-GB"/>
              </w:rPr>
              <w:t>Manufacturing</w:t>
            </w:r>
          </w:p>
        </w:tc>
        <w:tc>
          <w:tcPr>
            <w:tcW w:w="1440" w:type="dxa"/>
            <w:tcBorders>
              <w:top w:val="nil"/>
              <w:left w:val="nil"/>
              <w:bottom w:val="nil"/>
              <w:right w:val="nil"/>
            </w:tcBorders>
          </w:tcPr>
          <w:p w14:paraId="6F6CD369" w14:textId="3295F1BD" w:rsidR="00A31457" w:rsidRPr="005E1E85" w:rsidRDefault="00A31457" w:rsidP="00A31457">
            <w:pPr>
              <w:widowControl w:val="0"/>
              <w:autoSpaceDE w:val="0"/>
              <w:autoSpaceDN w:val="0"/>
              <w:adjustRightInd w:val="0"/>
              <w:jc w:val="center"/>
              <w:rPr>
                <w:sz w:val="20"/>
                <w:szCs w:val="20"/>
              </w:rPr>
            </w:pPr>
            <w:r w:rsidRPr="005E1E85">
              <w:rPr>
                <w:sz w:val="20"/>
                <w:szCs w:val="20"/>
              </w:rPr>
              <w:t>0.175</w:t>
            </w:r>
          </w:p>
        </w:tc>
        <w:tc>
          <w:tcPr>
            <w:tcW w:w="1440" w:type="dxa"/>
            <w:tcBorders>
              <w:top w:val="nil"/>
              <w:left w:val="nil"/>
              <w:bottom w:val="nil"/>
              <w:right w:val="nil"/>
            </w:tcBorders>
          </w:tcPr>
          <w:p w14:paraId="3CF74EF8" w14:textId="3D67BD2C" w:rsidR="00A31457" w:rsidRPr="005E1E85" w:rsidRDefault="00A31457" w:rsidP="00A31457">
            <w:pPr>
              <w:widowControl w:val="0"/>
              <w:autoSpaceDE w:val="0"/>
              <w:autoSpaceDN w:val="0"/>
              <w:adjustRightInd w:val="0"/>
              <w:jc w:val="center"/>
              <w:rPr>
                <w:sz w:val="20"/>
                <w:szCs w:val="20"/>
              </w:rPr>
            </w:pPr>
            <w:r w:rsidRPr="005E1E85">
              <w:rPr>
                <w:sz w:val="20"/>
                <w:szCs w:val="20"/>
              </w:rPr>
              <w:t>0.036</w:t>
            </w:r>
          </w:p>
        </w:tc>
        <w:tc>
          <w:tcPr>
            <w:tcW w:w="1440" w:type="dxa"/>
            <w:tcBorders>
              <w:top w:val="nil"/>
              <w:left w:val="nil"/>
              <w:bottom w:val="nil"/>
              <w:right w:val="nil"/>
            </w:tcBorders>
          </w:tcPr>
          <w:p w14:paraId="769D4241"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0A03A05E" w14:textId="4FD10ED6" w:rsidR="00A31457" w:rsidRPr="005E1E85" w:rsidRDefault="00A31457" w:rsidP="00A31457">
            <w:pPr>
              <w:widowControl w:val="0"/>
              <w:autoSpaceDE w:val="0"/>
              <w:autoSpaceDN w:val="0"/>
              <w:adjustRightInd w:val="0"/>
              <w:jc w:val="center"/>
              <w:rPr>
                <w:sz w:val="20"/>
                <w:szCs w:val="20"/>
              </w:rPr>
            </w:pPr>
            <w:r w:rsidRPr="00753459">
              <w:rPr>
                <w:sz w:val="20"/>
                <w:szCs w:val="20"/>
              </w:rPr>
              <w:t>0.061</w:t>
            </w:r>
          </w:p>
        </w:tc>
      </w:tr>
      <w:tr w:rsidR="00A31457" w:rsidRPr="005E1E85" w14:paraId="6376D3ED" w14:textId="77777777" w:rsidTr="00515E1E">
        <w:trPr>
          <w:jc w:val="center"/>
        </w:trPr>
        <w:tc>
          <w:tcPr>
            <w:tcW w:w="3668" w:type="dxa"/>
            <w:tcBorders>
              <w:top w:val="nil"/>
              <w:left w:val="nil"/>
              <w:bottom w:val="nil"/>
              <w:right w:val="nil"/>
            </w:tcBorders>
          </w:tcPr>
          <w:p w14:paraId="575274EF"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115CDF00"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(0.003)</w:t>
            </w:r>
          </w:p>
        </w:tc>
        <w:tc>
          <w:tcPr>
            <w:tcW w:w="1440" w:type="dxa"/>
            <w:tcBorders>
              <w:top w:val="nil"/>
              <w:left w:val="nil"/>
              <w:bottom w:val="nil"/>
              <w:right w:val="nil"/>
            </w:tcBorders>
          </w:tcPr>
          <w:p w14:paraId="32E3C53D"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(0.001)</w:t>
            </w:r>
          </w:p>
        </w:tc>
        <w:tc>
          <w:tcPr>
            <w:tcW w:w="1440" w:type="dxa"/>
            <w:tcBorders>
              <w:top w:val="nil"/>
              <w:left w:val="nil"/>
              <w:bottom w:val="nil"/>
              <w:right w:val="nil"/>
            </w:tcBorders>
          </w:tcPr>
          <w:p w14:paraId="67127E83"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4B8C6120" w14:textId="2E598B00" w:rsidR="00A31457" w:rsidRPr="005E1E85" w:rsidRDefault="00A31457" w:rsidP="00A31457">
            <w:pPr>
              <w:widowControl w:val="0"/>
              <w:autoSpaceDE w:val="0"/>
              <w:autoSpaceDN w:val="0"/>
              <w:adjustRightInd w:val="0"/>
              <w:jc w:val="center"/>
              <w:rPr>
                <w:sz w:val="20"/>
                <w:szCs w:val="20"/>
              </w:rPr>
            </w:pPr>
            <w:r w:rsidRPr="00753459">
              <w:rPr>
                <w:sz w:val="20"/>
                <w:szCs w:val="20"/>
              </w:rPr>
              <w:t>(0.001)</w:t>
            </w:r>
          </w:p>
        </w:tc>
      </w:tr>
      <w:tr w:rsidR="00A31457" w:rsidRPr="005E1E85" w14:paraId="02DE46B3" w14:textId="77777777" w:rsidTr="00515E1E">
        <w:trPr>
          <w:jc w:val="center"/>
        </w:trPr>
        <w:tc>
          <w:tcPr>
            <w:tcW w:w="3668" w:type="dxa"/>
            <w:tcBorders>
              <w:top w:val="nil"/>
              <w:left w:val="nil"/>
              <w:bottom w:val="nil"/>
              <w:right w:val="nil"/>
            </w:tcBorders>
          </w:tcPr>
          <w:p w14:paraId="5C2C0837" w14:textId="77777777" w:rsidR="00A31457" w:rsidRPr="005E1E85" w:rsidRDefault="00A31457" w:rsidP="00A31457">
            <w:pPr>
              <w:widowControl w:val="0"/>
              <w:autoSpaceDE w:val="0"/>
              <w:autoSpaceDN w:val="0"/>
              <w:adjustRightInd w:val="0"/>
              <w:rPr>
                <w:sz w:val="20"/>
                <w:szCs w:val="20"/>
              </w:rPr>
            </w:pPr>
            <w:r w:rsidRPr="005E1E85">
              <w:rPr>
                <w:sz w:val="20"/>
                <w:szCs w:val="20"/>
              </w:rPr>
              <w:t>Common Language</w:t>
            </w:r>
          </w:p>
        </w:tc>
        <w:tc>
          <w:tcPr>
            <w:tcW w:w="1440" w:type="dxa"/>
            <w:tcBorders>
              <w:top w:val="nil"/>
              <w:left w:val="nil"/>
              <w:bottom w:val="nil"/>
              <w:right w:val="nil"/>
            </w:tcBorders>
          </w:tcPr>
          <w:p w14:paraId="20440D29" w14:textId="2232F705" w:rsidR="00A31457" w:rsidRPr="005E1E85" w:rsidRDefault="00A31457" w:rsidP="00A31457">
            <w:pPr>
              <w:widowControl w:val="0"/>
              <w:autoSpaceDE w:val="0"/>
              <w:autoSpaceDN w:val="0"/>
              <w:adjustRightInd w:val="0"/>
              <w:jc w:val="center"/>
              <w:rPr>
                <w:sz w:val="20"/>
                <w:szCs w:val="20"/>
              </w:rPr>
            </w:pPr>
            <w:r w:rsidRPr="005E1E85">
              <w:rPr>
                <w:sz w:val="20"/>
                <w:szCs w:val="20"/>
              </w:rPr>
              <w:t>1.289</w:t>
            </w:r>
          </w:p>
        </w:tc>
        <w:tc>
          <w:tcPr>
            <w:tcW w:w="1440" w:type="dxa"/>
            <w:tcBorders>
              <w:top w:val="nil"/>
              <w:left w:val="nil"/>
              <w:bottom w:val="nil"/>
              <w:right w:val="nil"/>
            </w:tcBorders>
          </w:tcPr>
          <w:p w14:paraId="6DB995F0" w14:textId="183B350A" w:rsidR="00A31457" w:rsidRPr="005E1E85" w:rsidRDefault="00A31457" w:rsidP="00A31457">
            <w:pPr>
              <w:widowControl w:val="0"/>
              <w:autoSpaceDE w:val="0"/>
              <w:autoSpaceDN w:val="0"/>
              <w:adjustRightInd w:val="0"/>
              <w:jc w:val="center"/>
              <w:rPr>
                <w:sz w:val="20"/>
                <w:szCs w:val="20"/>
              </w:rPr>
            </w:pPr>
            <w:r w:rsidRPr="005E1E85">
              <w:rPr>
                <w:sz w:val="20"/>
                <w:szCs w:val="20"/>
              </w:rPr>
              <w:t>0.104</w:t>
            </w:r>
          </w:p>
        </w:tc>
        <w:tc>
          <w:tcPr>
            <w:tcW w:w="1440" w:type="dxa"/>
            <w:tcBorders>
              <w:top w:val="nil"/>
              <w:left w:val="nil"/>
              <w:bottom w:val="nil"/>
              <w:right w:val="nil"/>
            </w:tcBorders>
          </w:tcPr>
          <w:p w14:paraId="03BA134C"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14830EDF" w14:textId="326E7948" w:rsidR="00A31457" w:rsidRPr="005E1E85" w:rsidRDefault="00A31457" w:rsidP="00A31457">
            <w:pPr>
              <w:widowControl w:val="0"/>
              <w:autoSpaceDE w:val="0"/>
              <w:autoSpaceDN w:val="0"/>
              <w:adjustRightInd w:val="0"/>
              <w:jc w:val="center"/>
              <w:rPr>
                <w:sz w:val="20"/>
                <w:szCs w:val="20"/>
              </w:rPr>
            </w:pPr>
            <w:r w:rsidRPr="00753459">
              <w:rPr>
                <w:sz w:val="20"/>
                <w:szCs w:val="20"/>
              </w:rPr>
              <w:t>0.274</w:t>
            </w:r>
          </w:p>
        </w:tc>
      </w:tr>
      <w:tr w:rsidR="00A31457" w:rsidRPr="005E1E85" w14:paraId="28534C3D" w14:textId="77777777" w:rsidTr="00515E1E">
        <w:trPr>
          <w:jc w:val="center"/>
        </w:trPr>
        <w:tc>
          <w:tcPr>
            <w:tcW w:w="3668" w:type="dxa"/>
            <w:tcBorders>
              <w:top w:val="nil"/>
              <w:left w:val="nil"/>
              <w:bottom w:val="nil"/>
              <w:right w:val="nil"/>
            </w:tcBorders>
          </w:tcPr>
          <w:p w14:paraId="244AF1A8"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6A258F73"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(0.053)</w:t>
            </w:r>
          </w:p>
        </w:tc>
        <w:tc>
          <w:tcPr>
            <w:tcW w:w="1440" w:type="dxa"/>
            <w:tcBorders>
              <w:top w:val="nil"/>
              <w:left w:val="nil"/>
              <w:bottom w:val="nil"/>
              <w:right w:val="nil"/>
            </w:tcBorders>
          </w:tcPr>
          <w:p w14:paraId="3DFD2251"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(0.016)</w:t>
            </w:r>
          </w:p>
        </w:tc>
        <w:tc>
          <w:tcPr>
            <w:tcW w:w="1440" w:type="dxa"/>
            <w:tcBorders>
              <w:top w:val="nil"/>
              <w:left w:val="nil"/>
              <w:bottom w:val="nil"/>
              <w:right w:val="nil"/>
            </w:tcBorders>
          </w:tcPr>
          <w:p w14:paraId="331A5AB6"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1516D76E" w14:textId="080FCEEA" w:rsidR="00A31457" w:rsidRPr="005E1E85" w:rsidRDefault="00A31457" w:rsidP="00A31457">
            <w:pPr>
              <w:widowControl w:val="0"/>
              <w:autoSpaceDE w:val="0"/>
              <w:autoSpaceDN w:val="0"/>
              <w:adjustRightInd w:val="0"/>
              <w:jc w:val="center"/>
              <w:rPr>
                <w:sz w:val="20"/>
                <w:szCs w:val="20"/>
              </w:rPr>
            </w:pPr>
            <w:r w:rsidRPr="00753459">
              <w:rPr>
                <w:sz w:val="20"/>
                <w:szCs w:val="20"/>
              </w:rPr>
              <w:t>(0.015)</w:t>
            </w:r>
          </w:p>
        </w:tc>
      </w:tr>
      <w:tr w:rsidR="00A31457" w:rsidRPr="005E1E85" w14:paraId="280C5D83" w14:textId="77777777" w:rsidTr="00111420">
        <w:trPr>
          <w:jc w:val="center"/>
        </w:trPr>
        <w:tc>
          <w:tcPr>
            <w:tcW w:w="3668" w:type="dxa"/>
            <w:tcBorders>
              <w:top w:val="nil"/>
              <w:left w:val="nil"/>
              <w:bottom w:val="nil"/>
              <w:right w:val="nil"/>
            </w:tcBorders>
          </w:tcPr>
          <w:p w14:paraId="7B94FD46" w14:textId="77777777" w:rsidR="00A31457" w:rsidRPr="005E1E85" w:rsidRDefault="00A31457" w:rsidP="00A31457">
            <w:pPr>
              <w:widowControl w:val="0"/>
              <w:autoSpaceDE w:val="0"/>
              <w:autoSpaceDN w:val="0"/>
              <w:adjustRightInd w:val="0"/>
              <w:rPr>
                <w:sz w:val="20"/>
                <w:szCs w:val="20"/>
              </w:rPr>
            </w:pPr>
          </w:p>
        </w:tc>
        <w:tc>
          <w:tcPr>
            <w:tcW w:w="1440" w:type="dxa"/>
            <w:tcBorders>
              <w:top w:val="nil"/>
              <w:left w:val="nil"/>
              <w:bottom w:val="nil"/>
              <w:right w:val="nil"/>
            </w:tcBorders>
          </w:tcPr>
          <w:p w14:paraId="1DC55D58"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379AB6A3"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281C5AF9"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455D517F" w14:textId="25361DA7" w:rsidR="00A31457" w:rsidRPr="005E1E85" w:rsidRDefault="00A31457" w:rsidP="00A31457">
            <w:pPr>
              <w:widowControl w:val="0"/>
              <w:autoSpaceDE w:val="0"/>
              <w:autoSpaceDN w:val="0"/>
              <w:adjustRightInd w:val="0"/>
              <w:jc w:val="center"/>
              <w:rPr>
                <w:sz w:val="20"/>
                <w:szCs w:val="20"/>
              </w:rPr>
            </w:pPr>
          </w:p>
        </w:tc>
      </w:tr>
      <w:tr w:rsidR="00A31457" w:rsidRPr="005E1E85" w14:paraId="6E71C830" w14:textId="77777777" w:rsidTr="00111420">
        <w:trPr>
          <w:jc w:val="center"/>
        </w:trPr>
        <w:tc>
          <w:tcPr>
            <w:tcW w:w="3668" w:type="dxa"/>
            <w:tcBorders>
              <w:top w:val="nil"/>
              <w:left w:val="nil"/>
              <w:bottom w:val="nil"/>
              <w:right w:val="nil"/>
            </w:tcBorders>
          </w:tcPr>
          <w:p w14:paraId="7D6C4566" w14:textId="77777777" w:rsidR="00A31457" w:rsidRPr="005E1E85" w:rsidRDefault="00A31457" w:rsidP="00A31457">
            <w:pPr>
              <w:widowControl w:val="0"/>
              <w:autoSpaceDE w:val="0"/>
              <w:autoSpaceDN w:val="0"/>
              <w:adjustRightInd w:val="0"/>
              <w:rPr>
                <w:sz w:val="20"/>
                <w:szCs w:val="20"/>
              </w:rPr>
            </w:pPr>
            <w:r w:rsidRPr="005E1E85">
              <w:rPr>
                <w:sz w:val="20"/>
                <w:szCs w:val="20"/>
              </w:rPr>
              <w:t>Observations</w:t>
            </w:r>
          </w:p>
        </w:tc>
        <w:tc>
          <w:tcPr>
            <w:tcW w:w="1440" w:type="dxa"/>
            <w:tcBorders>
              <w:top w:val="nil"/>
              <w:left w:val="nil"/>
              <w:bottom w:val="nil"/>
              <w:right w:val="nil"/>
            </w:tcBorders>
          </w:tcPr>
          <w:p w14:paraId="3DAF5FF4"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386,117</w:t>
            </w:r>
          </w:p>
        </w:tc>
        <w:tc>
          <w:tcPr>
            <w:tcW w:w="1440" w:type="dxa"/>
            <w:tcBorders>
              <w:top w:val="nil"/>
              <w:left w:val="nil"/>
              <w:bottom w:val="nil"/>
              <w:right w:val="nil"/>
            </w:tcBorders>
          </w:tcPr>
          <w:p w14:paraId="0C00DDE6" w14:textId="77777777" w:rsidR="00A31457" w:rsidRPr="005E1E85" w:rsidRDefault="00A31457" w:rsidP="00A31457">
            <w:pPr>
              <w:widowControl w:val="0"/>
              <w:autoSpaceDE w:val="0"/>
              <w:autoSpaceDN w:val="0"/>
              <w:adjustRightInd w:val="0"/>
              <w:jc w:val="center"/>
              <w:rPr>
                <w:sz w:val="20"/>
                <w:szCs w:val="20"/>
              </w:rPr>
            </w:pPr>
            <w:r w:rsidRPr="005E1E85">
              <w:rPr>
                <w:sz w:val="20"/>
                <w:szCs w:val="20"/>
              </w:rPr>
              <w:t>1,169,962</w:t>
            </w:r>
          </w:p>
        </w:tc>
        <w:tc>
          <w:tcPr>
            <w:tcW w:w="1440" w:type="dxa"/>
            <w:tcBorders>
              <w:top w:val="nil"/>
              <w:left w:val="nil"/>
              <w:bottom w:val="nil"/>
              <w:right w:val="nil"/>
            </w:tcBorders>
          </w:tcPr>
          <w:p w14:paraId="7EAA1F27"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nil"/>
              <w:right w:val="nil"/>
            </w:tcBorders>
          </w:tcPr>
          <w:p w14:paraId="184D7442" w14:textId="6181ACD7" w:rsidR="00A31457" w:rsidRPr="005E1E85" w:rsidRDefault="00A31457" w:rsidP="00A31457">
            <w:pPr>
              <w:widowControl w:val="0"/>
              <w:autoSpaceDE w:val="0"/>
              <w:autoSpaceDN w:val="0"/>
              <w:adjustRightInd w:val="0"/>
              <w:jc w:val="center"/>
              <w:rPr>
                <w:sz w:val="20"/>
                <w:szCs w:val="20"/>
              </w:rPr>
            </w:pPr>
            <w:r w:rsidRPr="00753459">
              <w:rPr>
                <w:sz w:val="20"/>
                <w:szCs w:val="20"/>
              </w:rPr>
              <w:t>1,556,079</w:t>
            </w:r>
          </w:p>
        </w:tc>
      </w:tr>
      <w:tr w:rsidR="00A31457" w:rsidRPr="005E1E85" w14:paraId="13101D91" w14:textId="77777777" w:rsidTr="00111420">
        <w:tblPrEx>
          <w:tblBorders>
            <w:bottom w:val="single" w:sz="6" w:space="0" w:color="auto"/>
          </w:tblBorders>
        </w:tblPrEx>
        <w:trPr>
          <w:jc w:val="center"/>
        </w:trPr>
        <w:tc>
          <w:tcPr>
            <w:tcW w:w="3668" w:type="dxa"/>
            <w:tcBorders>
              <w:top w:val="nil"/>
              <w:left w:val="nil"/>
              <w:bottom w:val="single" w:sz="6" w:space="0" w:color="auto"/>
              <w:right w:val="nil"/>
            </w:tcBorders>
          </w:tcPr>
          <w:p w14:paraId="1E19CCD4" w14:textId="77777777" w:rsidR="00A31457" w:rsidRPr="005E1E85" w:rsidRDefault="00A31457" w:rsidP="00A31457">
            <w:pPr>
              <w:widowControl w:val="0"/>
              <w:autoSpaceDE w:val="0"/>
              <w:autoSpaceDN w:val="0"/>
              <w:adjustRightInd w:val="0"/>
              <w:rPr>
                <w:sz w:val="20"/>
                <w:szCs w:val="20"/>
              </w:rPr>
            </w:pPr>
            <w:r w:rsidRPr="005E1E85">
              <w:rPr>
                <w:sz w:val="20"/>
                <w:szCs w:val="20"/>
              </w:rPr>
              <w:t>Pseudo R2</w:t>
            </w:r>
          </w:p>
        </w:tc>
        <w:tc>
          <w:tcPr>
            <w:tcW w:w="1440" w:type="dxa"/>
            <w:tcBorders>
              <w:top w:val="nil"/>
              <w:left w:val="nil"/>
              <w:bottom w:val="single" w:sz="6" w:space="0" w:color="auto"/>
              <w:right w:val="nil"/>
            </w:tcBorders>
          </w:tcPr>
          <w:p w14:paraId="5ED3B05D" w14:textId="120D434D" w:rsidR="00A31457" w:rsidRPr="005E1E85" w:rsidRDefault="00A31457" w:rsidP="00A31457">
            <w:pPr>
              <w:widowControl w:val="0"/>
              <w:autoSpaceDE w:val="0"/>
              <w:autoSpaceDN w:val="0"/>
              <w:adjustRightInd w:val="0"/>
              <w:jc w:val="center"/>
              <w:rPr>
                <w:sz w:val="20"/>
                <w:szCs w:val="20"/>
              </w:rPr>
            </w:pPr>
            <w:r>
              <w:rPr>
                <w:sz w:val="20"/>
                <w:szCs w:val="20"/>
              </w:rPr>
              <w:t>0.301</w:t>
            </w:r>
          </w:p>
        </w:tc>
        <w:tc>
          <w:tcPr>
            <w:tcW w:w="1440" w:type="dxa"/>
            <w:tcBorders>
              <w:top w:val="nil"/>
              <w:left w:val="nil"/>
              <w:bottom w:val="single" w:sz="6" w:space="0" w:color="auto"/>
              <w:right w:val="nil"/>
            </w:tcBorders>
          </w:tcPr>
          <w:p w14:paraId="7A21C755" w14:textId="1237CB66" w:rsidR="00A31457" w:rsidRPr="005E1E85" w:rsidRDefault="00A31457" w:rsidP="00A31457">
            <w:pPr>
              <w:widowControl w:val="0"/>
              <w:autoSpaceDE w:val="0"/>
              <w:autoSpaceDN w:val="0"/>
              <w:adjustRightInd w:val="0"/>
              <w:jc w:val="center"/>
              <w:rPr>
                <w:sz w:val="20"/>
                <w:szCs w:val="20"/>
              </w:rPr>
            </w:pPr>
            <w:r>
              <w:rPr>
                <w:sz w:val="20"/>
                <w:szCs w:val="20"/>
              </w:rPr>
              <w:t>0.087</w:t>
            </w:r>
          </w:p>
        </w:tc>
        <w:tc>
          <w:tcPr>
            <w:tcW w:w="1440" w:type="dxa"/>
            <w:tcBorders>
              <w:top w:val="nil"/>
              <w:left w:val="nil"/>
              <w:bottom w:val="single" w:sz="6" w:space="0" w:color="auto"/>
              <w:right w:val="nil"/>
            </w:tcBorders>
          </w:tcPr>
          <w:p w14:paraId="69568A65" w14:textId="77777777" w:rsidR="00A31457" w:rsidRPr="005E1E85" w:rsidRDefault="00A31457" w:rsidP="00A31457">
            <w:pPr>
              <w:widowControl w:val="0"/>
              <w:autoSpaceDE w:val="0"/>
              <w:autoSpaceDN w:val="0"/>
              <w:adjustRightInd w:val="0"/>
              <w:jc w:val="center"/>
              <w:rPr>
                <w:sz w:val="20"/>
                <w:szCs w:val="20"/>
              </w:rPr>
            </w:pPr>
          </w:p>
        </w:tc>
        <w:tc>
          <w:tcPr>
            <w:tcW w:w="1440" w:type="dxa"/>
            <w:tcBorders>
              <w:top w:val="nil"/>
              <w:left w:val="nil"/>
              <w:bottom w:val="single" w:sz="6" w:space="0" w:color="auto"/>
              <w:right w:val="nil"/>
            </w:tcBorders>
          </w:tcPr>
          <w:p w14:paraId="7CE90920" w14:textId="46D09909" w:rsidR="00A31457" w:rsidRPr="005E1E85" w:rsidRDefault="00A31457" w:rsidP="00A31457">
            <w:pPr>
              <w:widowControl w:val="0"/>
              <w:autoSpaceDE w:val="0"/>
              <w:autoSpaceDN w:val="0"/>
              <w:adjustRightInd w:val="0"/>
              <w:jc w:val="center"/>
              <w:rPr>
                <w:sz w:val="20"/>
                <w:szCs w:val="20"/>
              </w:rPr>
            </w:pPr>
            <w:r w:rsidRPr="00753459">
              <w:rPr>
                <w:sz w:val="20"/>
                <w:szCs w:val="20"/>
              </w:rPr>
              <w:t>0.129</w:t>
            </w:r>
          </w:p>
        </w:tc>
      </w:tr>
    </w:tbl>
    <w:p w14:paraId="1C0BF49D" w14:textId="699E7BBE" w:rsidR="00225022" w:rsidRPr="00225022" w:rsidRDefault="00225022" w:rsidP="005E1E85">
      <w:pPr>
        <w:widowControl w:val="0"/>
        <w:autoSpaceDE w:val="0"/>
        <w:autoSpaceDN w:val="0"/>
        <w:adjustRightInd w:val="0"/>
        <w:rPr>
          <w:sz w:val="20"/>
          <w:szCs w:val="20"/>
        </w:rPr>
      </w:pPr>
      <w:r w:rsidRPr="00225022">
        <w:rPr>
          <w:sz w:val="20"/>
          <w:szCs w:val="20"/>
        </w:rPr>
        <w:t>Robust standard errors in parentheses</w:t>
      </w:r>
      <w:r w:rsidR="00623157">
        <w:rPr>
          <w:sz w:val="20"/>
          <w:szCs w:val="20"/>
        </w:rPr>
        <w:t xml:space="preserve">, clustered at the firm level. </w:t>
      </w:r>
    </w:p>
    <w:sectPr w:rsidR="00225022" w:rsidRPr="00225022" w:rsidSect="00225022">
      <w:pgSz w:w="12240" w:h="15840"/>
      <w:pgMar w:top="113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899A" w14:textId="77777777" w:rsidR="00317F26" w:rsidRDefault="00317F26">
      <w:r>
        <w:separator/>
      </w:r>
    </w:p>
  </w:endnote>
  <w:endnote w:type="continuationSeparator" w:id="0">
    <w:p w14:paraId="0F4ECC5B" w14:textId="77777777" w:rsidR="00317F26" w:rsidRDefault="0031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mr10">
    <w:altName w:val="Corbe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C102" w14:textId="0E9DA4E6" w:rsidR="00317F26" w:rsidRDefault="00317F26">
    <w:pPr>
      <w:pStyle w:val="Footer"/>
      <w:jc w:val="center"/>
    </w:pPr>
    <w:r>
      <w:fldChar w:fldCharType="begin"/>
    </w:r>
    <w:r>
      <w:instrText xml:space="preserve"> PAGE   \* MERGEFORMAT </w:instrText>
    </w:r>
    <w:r>
      <w:fldChar w:fldCharType="separate"/>
    </w:r>
    <w:r w:rsidR="00CF1609">
      <w:rPr>
        <w:noProof/>
      </w:rPr>
      <w:t>22</w:t>
    </w:r>
    <w:r>
      <w:rPr>
        <w:noProof/>
      </w:rPr>
      <w:fldChar w:fldCharType="end"/>
    </w:r>
  </w:p>
  <w:p w14:paraId="73603E05" w14:textId="77777777" w:rsidR="00317F26" w:rsidRDefault="00317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26E2" w14:textId="043B9502" w:rsidR="00317F26" w:rsidRDefault="00317F26">
    <w:pPr>
      <w:pStyle w:val="Footer"/>
      <w:jc w:val="center"/>
    </w:pPr>
    <w:r>
      <w:fldChar w:fldCharType="begin"/>
    </w:r>
    <w:r>
      <w:instrText xml:space="preserve"> PAGE   \* MERGEFORMAT </w:instrText>
    </w:r>
    <w:r>
      <w:fldChar w:fldCharType="separate"/>
    </w:r>
    <w:r w:rsidR="00CF1609">
      <w:rPr>
        <w:noProof/>
      </w:rPr>
      <w:t>56</w:t>
    </w:r>
    <w:r>
      <w:rPr>
        <w:noProof/>
      </w:rPr>
      <w:fldChar w:fldCharType="end"/>
    </w:r>
  </w:p>
  <w:p w14:paraId="15C16B0B" w14:textId="77777777" w:rsidR="00317F26" w:rsidRDefault="00317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29328" w14:textId="77777777" w:rsidR="00317F26" w:rsidRDefault="00317F26">
      <w:r>
        <w:separator/>
      </w:r>
    </w:p>
  </w:footnote>
  <w:footnote w:type="continuationSeparator" w:id="0">
    <w:p w14:paraId="3DC46126" w14:textId="77777777" w:rsidR="00317F26" w:rsidRDefault="00317F26">
      <w:r>
        <w:continuationSeparator/>
      </w:r>
    </w:p>
  </w:footnote>
  <w:footnote w:id="1">
    <w:p w14:paraId="44227310" w14:textId="13AC097A" w:rsidR="00317F26" w:rsidRPr="005A3198" w:rsidRDefault="00317F26">
      <w:pPr>
        <w:pStyle w:val="FootnoteText"/>
        <w:rPr>
          <w:lang w:val="en-GB"/>
        </w:rPr>
      </w:pPr>
      <w:r>
        <w:rPr>
          <w:rStyle w:val="FootnoteReference"/>
        </w:rPr>
        <w:footnoteRef/>
      </w:r>
      <w:r>
        <w:t xml:space="preserve"> </w:t>
      </w:r>
      <w:r w:rsidRPr="00072716">
        <w:rPr>
          <w:iCs/>
          <w:lang w:val="en-GB"/>
        </w:rPr>
        <w:t xml:space="preserve">For example, EE MNEs may possess capabilities in ‘process innovations’ to lower costs without reducing quality (Zeng &amp; Williamson, 2007), and ‘frugal innovation’. Other EE MNEs develop capabilities in managing </w:t>
      </w:r>
      <w:r>
        <w:rPr>
          <w:iCs/>
          <w:lang w:val="en-GB"/>
        </w:rPr>
        <w:t>labor</w:t>
      </w:r>
      <w:r w:rsidRPr="00072716">
        <w:rPr>
          <w:iCs/>
          <w:lang w:val="en-GB"/>
        </w:rPr>
        <w:t xml:space="preserve">-intensive manufacturing processes (Ramamurti, 2012; Williamson, Ramamurti, Fleury &amp; Fleury, 2013), or </w:t>
      </w:r>
      <w:r w:rsidRPr="00072716" w:rsidDel="00BF692E">
        <w:rPr>
          <w:iCs/>
          <w:lang w:val="en-GB"/>
        </w:rPr>
        <w:t>“</w:t>
      </w:r>
      <w:r w:rsidRPr="00072716">
        <w:rPr>
          <w:iCs/>
          <w:lang w:val="en-GB"/>
        </w:rPr>
        <w:t>the ability to manage institutional idiosyncrasies” (Henisz, 2003</w:t>
      </w:r>
      <w:r>
        <w:rPr>
          <w:iCs/>
          <w:lang w:val="en-GB"/>
        </w:rPr>
        <w:t>, also see Carney, Dielemann &amp; Taussig, 2016</w:t>
      </w:r>
      <w:r w:rsidRPr="00072716">
        <w:rPr>
          <w:iCs/>
          <w:lang w:val="en-GB"/>
        </w:rPr>
        <w:t>)</w:t>
      </w:r>
      <w:r>
        <w:rPr>
          <w:iCs/>
          <w:lang w:val="en-GB"/>
        </w:rPr>
        <w:t xml:space="preserve">. </w:t>
      </w:r>
      <w:r w:rsidRPr="00072716">
        <w:rPr>
          <w:iCs/>
          <w:lang w:val="en-GB"/>
        </w:rPr>
        <w:t xml:space="preserve">These capabilities </w:t>
      </w:r>
      <w:r>
        <w:rPr>
          <w:iCs/>
          <w:lang w:val="en-GB"/>
        </w:rPr>
        <w:t xml:space="preserve">however </w:t>
      </w:r>
      <w:r w:rsidRPr="00072716">
        <w:rPr>
          <w:iCs/>
          <w:lang w:val="en-GB"/>
        </w:rPr>
        <w:t>are likely to be of limited value in AE contexts.</w:t>
      </w:r>
    </w:p>
  </w:footnote>
  <w:footnote w:id="2">
    <w:p w14:paraId="7779664E" w14:textId="7FFE1A49" w:rsidR="00317F26" w:rsidRPr="005A3198" w:rsidRDefault="00317F26">
      <w:pPr>
        <w:pStyle w:val="FootnoteText"/>
        <w:rPr>
          <w:lang w:val="en-GB"/>
        </w:rPr>
      </w:pPr>
      <w:r>
        <w:rPr>
          <w:rStyle w:val="FootnoteReference"/>
        </w:rPr>
        <w:footnoteRef/>
      </w:r>
      <w:r>
        <w:t xml:space="preserve"> </w:t>
      </w:r>
      <w:r>
        <w:rPr>
          <w:lang w:val="en-GB"/>
        </w:rPr>
        <w:t>In fact, s</w:t>
      </w:r>
      <w:r w:rsidRPr="00C275ED">
        <w:rPr>
          <w:iCs/>
          <w:lang w:val="en-GB"/>
        </w:rPr>
        <w:t xml:space="preserve">ome home countries may provide </w:t>
      </w:r>
      <w:r>
        <w:rPr>
          <w:iCs/>
          <w:lang w:val="en-GB"/>
        </w:rPr>
        <w:t xml:space="preserve">EE MNEs </w:t>
      </w:r>
      <w:r w:rsidRPr="00C275ED">
        <w:rPr>
          <w:iCs/>
          <w:lang w:val="en-GB"/>
        </w:rPr>
        <w:t>preferential access to national resources (Hennart, 2012; Narula, 2012), notably to financial resources (Morck, Yeung &amp; Zhao, 2008) and to network relationships (Musteen et al., 2014; Prashantham &amp; Dhanaraj, 2011).</w:t>
      </w:r>
      <w:r>
        <w:rPr>
          <w:iCs/>
          <w:lang w:val="en-GB"/>
        </w:rPr>
        <w:t xml:space="preserve"> This may reduce differences between AE and EE MNEs.</w:t>
      </w:r>
    </w:p>
  </w:footnote>
  <w:footnote w:id="3">
    <w:p w14:paraId="75F33E80" w14:textId="137EC636" w:rsidR="00317F26" w:rsidRDefault="00317F26" w:rsidP="00F763DA">
      <w:pPr>
        <w:pStyle w:val="FootnoteText"/>
      </w:pPr>
      <w:r>
        <w:rPr>
          <w:rStyle w:val="FootnoteReference"/>
        </w:rPr>
        <w:footnoteRef/>
      </w:r>
      <w:r>
        <w:t xml:space="preserve"> </w:t>
      </w:r>
      <w:r>
        <w:rPr>
          <w:bCs/>
          <w:lang w:val="en-GB"/>
        </w:rPr>
        <w:t xml:space="preserve">It might be argued that because </w:t>
      </w:r>
      <w:r w:rsidRPr="00F22E3A">
        <w:rPr>
          <w:bCs/>
        </w:rPr>
        <w:t>MNE</w:t>
      </w:r>
      <w:r>
        <w:rPr>
          <w:bCs/>
        </w:rPr>
        <w:t xml:space="preserve"> from EEs operate in business environments </w:t>
      </w:r>
      <w:r w:rsidRPr="00F22E3A">
        <w:rPr>
          <w:bCs/>
        </w:rPr>
        <w:t xml:space="preserve">with </w:t>
      </w:r>
      <w:r>
        <w:rPr>
          <w:bCs/>
        </w:rPr>
        <w:t xml:space="preserve">weak </w:t>
      </w:r>
      <w:r w:rsidRPr="00F22E3A">
        <w:rPr>
          <w:bCs/>
        </w:rPr>
        <w:t>IP protection</w:t>
      </w:r>
      <w:r>
        <w:rPr>
          <w:bCs/>
        </w:rPr>
        <w:t xml:space="preserve">, their experience would make it easier for them to expand internationally to countries with </w:t>
      </w:r>
      <w:r w:rsidRPr="00F22E3A">
        <w:rPr>
          <w:bCs/>
        </w:rPr>
        <w:t>lower</w:t>
      </w:r>
      <w:r>
        <w:rPr>
          <w:bCs/>
        </w:rPr>
        <w:t xml:space="preserve"> IP</w:t>
      </w:r>
      <w:r w:rsidRPr="00F22E3A">
        <w:rPr>
          <w:bCs/>
        </w:rPr>
        <w:t xml:space="preserve"> protection</w:t>
      </w:r>
      <w:r>
        <w:rPr>
          <w:bCs/>
        </w:rPr>
        <w:t xml:space="preserve"> (</w:t>
      </w:r>
      <w:r w:rsidRPr="00F22E3A">
        <w:rPr>
          <w:bCs/>
          <w:lang w:val="en-GB"/>
        </w:rPr>
        <w:t>Cu</w:t>
      </w:r>
      <w:r>
        <w:rPr>
          <w:bCs/>
          <w:lang w:val="en-GB"/>
        </w:rPr>
        <w:t>e</w:t>
      </w:r>
      <w:r w:rsidRPr="00F22E3A">
        <w:rPr>
          <w:bCs/>
          <w:lang w:val="en-GB"/>
        </w:rPr>
        <w:t xml:space="preserve">rvo-Cazurra and Genc, 2008, Del Sol and </w:t>
      </w:r>
      <w:r>
        <w:rPr>
          <w:bCs/>
          <w:lang w:val="en-GB"/>
        </w:rPr>
        <w:t>Kogan, 2007). However, note that our framework focuses solely on location choices in AEs.</w:t>
      </w:r>
    </w:p>
  </w:footnote>
  <w:footnote w:id="4">
    <w:p w14:paraId="0FB1B275" w14:textId="685F3ECD" w:rsidR="00317F26" w:rsidRDefault="00317F26" w:rsidP="00F763DA">
      <w:pPr>
        <w:pStyle w:val="FootnoteText"/>
      </w:pPr>
      <w:r>
        <w:rPr>
          <w:rStyle w:val="FootnoteReference"/>
        </w:rPr>
        <w:footnoteRef/>
      </w:r>
      <w:r>
        <w:t xml:space="preserve"> Again, t</w:t>
      </w:r>
      <w:r w:rsidRPr="006B62C6">
        <w:t xml:space="preserve">his argument is different to the one that states that EE MNEs operating in other </w:t>
      </w:r>
      <w:r>
        <w:t>EE</w:t>
      </w:r>
      <w:r w:rsidRPr="006B62C6">
        <w:t xml:space="preserve">s are more easily able to function in host environments closer to their own, in terms of </w:t>
      </w:r>
      <w:r>
        <w:t xml:space="preserve">for example </w:t>
      </w:r>
      <w:r w:rsidRPr="006B62C6">
        <w:t>institutional voids than MNEs from AEs (Cuervo-Cazzuro &amp; Ramamurti, 2014). The capabilities that EE MNEs have learnt from their home country institutional voids may well be valuable in other similar institutional contexts</w:t>
      </w:r>
      <w:r>
        <w:t xml:space="preserve"> but are not likely to be relevant for investment in AEs</w:t>
      </w:r>
      <w:r w:rsidRPr="006B62C6">
        <w:t>.</w:t>
      </w:r>
    </w:p>
  </w:footnote>
  <w:footnote w:id="5">
    <w:p w14:paraId="4AEC6353" w14:textId="77777777" w:rsidR="00317F26" w:rsidRPr="002E4FEB" w:rsidRDefault="00317F26" w:rsidP="00800BD4">
      <w:pPr>
        <w:pStyle w:val="FootnoteText"/>
        <w:rPr>
          <w:lang w:val="en-GB"/>
        </w:rPr>
      </w:pPr>
      <w:r>
        <w:rPr>
          <w:rStyle w:val="FootnoteReference"/>
        </w:rPr>
        <w:footnoteRef/>
      </w:r>
      <w:r>
        <w:t xml:space="preserve"> </w:t>
      </w:r>
      <w:r w:rsidRPr="000E6669">
        <w:rPr>
          <w:lang w:val="en-GB"/>
        </w:rPr>
        <w:t xml:space="preserve">If a largest shareholder is not independent, the ultimate owner is traced back again via the largest shareholder until an ultimate owner which is independent is finally identified. </w:t>
      </w:r>
    </w:p>
  </w:footnote>
  <w:footnote w:id="6">
    <w:p w14:paraId="69AB342D" w14:textId="77777777" w:rsidR="00317F26" w:rsidRDefault="00317F26" w:rsidP="00800BD4">
      <w:pPr>
        <w:pStyle w:val="FootnoteText"/>
      </w:pPr>
      <w:r>
        <w:rPr>
          <w:rStyle w:val="FootnoteReference"/>
        </w:rPr>
        <w:footnoteRef/>
      </w:r>
      <w:r>
        <w:t xml:space="preserve"> </w:t>
      </w:r>
      <w:r w:rsidRPr="000353B9">
        <w:t xml:space="preserve">We are including "all active companies and companies with unknown situation" in 2011. This </w:t>
      </w:r>
      <w:r>
        <w:t xml:space="preserve">excludes those </w:t>
      </w:r>
      <w:r w:rsidRPr="000353B9">
        <w:t xml:space="preserve">companies incorporated after 2005 </w:t>
      </w:r>
      <w:r>
        <w:t xml:space="preserve">but </w:t>
      </w:r>
      <w:r w:rsidRPr="000353B9">
        <w:t>closed before 2011</w:t>
      </w:r>
      <w:r>
        <w:t xml:space="preserve">. The latter </w:t>
      </w:r>
      <w:r w:rsidRPr="000353B9">
        <w:t xml:space="preserve">filter helps </w:t>
      </w:r>
      <w:r>
        <w:t xml:space="preserve">in </w:t>
      </w:r>
      <w:r w:rsidRPr="000353B9">
        <w:t xml:space="preserve">reducing the survival bias that would emerge if </w:t>
      </w:r>
      <w:r>
        <w:t xml:space="preserve">we included </w:t>
      </w:r>
      <w:r w:rsidRPr="000353B9">
        <w:t>firms incorporated</w:t>
      </w:r>
      <w:r>
        <w:t xml:space="preserve"> some time previously</w:t>
      </w:r>
      <w:r w:rsidRPr="000353B9">
        <w:t>.</w:t>
      </w:r>
    </w:p>
  </w:footnote>
  <w:footnote w:id="7">
    <w:p w14:paraId="3D466664" w14:textId="388C5CE2" w:rsidR="00317F26" w:rsidRPr="009203F4" w:rsidRDefault="00317F26">
      <w:pPr>
        <w:pStyle w:val="FootnoteText"/>
      </w:pPr>
      <w:r>
        <w:rPr>
          <w:rStyle w:val="FootnoteReference"/>
        </w:rPr>
        <w:footnoteRef/>
      </w:r>
      <w:r>
        <w:t xml:space="preserve"> Unless home-country and firm variables are interacted with host-country variables.</w:t>
      </w:r>
    </w:p>
  </w:footnote>
  <w:footnote w:id="8">
    <w:p w14:paraId="3195E3FD" w14:textId="3E315114" w:rsidR="00317F26" w:rsidRPr="005A3198" w:rsidRDefault="00317F26">
      <w:pPr>
        <w:pStyle w:val="FootnoteText"/>
        <w:rPr>
          <w:lang w:val="en-GB"/>
        </w:rPr>
      </w:pPr>
      <w:r>
        <w:rPr>
          <w:rStyle w:val="FootnoteReference"/>
        </w:rPr>
        <w:footnoteRef/>
      </w:r>
      <w:r>
        <w:t xml:space="preserve"> </w:t>
      </w:r>
      <w:r>
        <w:rPr>
          <w:lang w:val="en-GB"/>
        </w:rPr>
        <w:t>Note that our data refers to the number of subsidiaries from a specific home country, rather than their value. This may explain why the observed pattern is not always the same as indicated in the media, which tends to concentrate on particular large value acquisitions rather than the volume of investments. We return to this issue in the discussion section.</w:t>
      </w:r>
    </w:p>
  </w:footnote>
  <w:footnote w:id="9">
    <w:p w14:paraId="46D33C1D" w14:textId="598DC4F4" w:rsidR="00317F26" w:rsidRPr="00AC59A5" w:rsidRDefault="00317F26" w:rsidP="00370290">
      <w:pPr>
        <w:pStyle w:val="FootnoteText"/>
        <w:rPr>
          <w:lang w:val="en-GB"/>
        </w:rPr>
      </w:pPr>
      <w:r>
        <w:rPr>
          <w:rStyle w:val="FootnoteReference"/>
        </w:rPr>
        <w:footnoteRef/>
      </w:r>
      <w:r>
        <w:t xml:space="preserve"> The year </w:t>
      </w:r>
      <w:r>
        <w:rPr>
          <w:lang w:val="en-GB"/>
        </w:rPr>
        <w:t>2007 was chosen to be midway through our sample period.</w:t>
      </w:r>
    </w:p>
  </w:footnote>
  <w:footnote w:id="10">
    <w:p w14:paraId="5FBEBDB8" w14:textId="7E3204BF" w:rsidR="00317F26" w:rsidRPr="00D11E58" w:rsidRDefault="00317F26" w:rsidP="00D11E58">
      <w:pPr>
        <w:jc w:val="both"/>
        <w:rPr>
          <w:lang w:val="en-GB"/>
        </w:rPr>
      </w:pPr>
      <w:r>
        <w:rPr>
          <w:rStyle w:val="FootnoteReference"/>
        </w:rPr>
        <w:footnoteRef/>
      </w:r>
      <w:r>
        <w:t xml:space="preserve"> I</w:t>
      </w:r>
      <w:r w:rsidRPr="00D11E58">
        <w:rPr>
          <w:sz w:val="20"/>
          <w:szCs w:val="20"/>
        </w:rPr>
        <w:t xml:space="preserve">n alternative specifications, </w:t>
      </w:r>
      <w:r>
        <w:rPr>
          <w:sz w:val="20"/>
          <w:szCs w:val="20"/>
        </w:rPr>
        <w:t xml:space="preserve">we include </w:t>
      </w:r>
      <w:r w:rsidRPr="00D11E58">
        <w:rPr>
          <w:sz w:val="20"/>
          <w:szCs w:val="20"/>
        </w:rPr>
        <w:t>other indicators</w:t>
      </w:r>
      <w:r>
        <w:rPr>
          <w:sz w:val="20"/>
          <w:szCs w:val="20"/>
        </w:rPr>
        <w:t xml:space="preserve"> of institutional quality and governance</w:t>
      </w:r>
      <w:r w:rsidRPr="00D11E58">
        <w:rPr>
          <w:sz w:val="20"/>
          <w:szCs w:val="20"/>
        </w:rPr>
        <w:t>, such as corruption</w:t>
      </w:r>
      <w:r>
        <w:rPr>
          <w:sz w:val="20"/>
          <w:szCs w:val="20"/>
        </w:rPr>
        <w:t xml:space="preserve">, but due to high correlations </w:t>
      </w:r>
      <w:r w:rsidRPr="00D11E58">
        <w:rPr>
          <w:sz w:val="20"/>
          <w:szCs w:val="20"/>
        </w:rPr>
        <w:t xml:space="preserve">between these indicators and property rights (which is </w:t>
      </w:r>
      <w:r>
        <w:rPr>
          <w:sz w:val="20"/>
          <w:szCs w:val="20"/>
        </w:rPr>
        <w:t>also a proxy for</w:t>
      </w:r>
      <w:r w:rsidRPr="00D11E58">
        <w:rPr>
          <w:sz w:val="20"/>
          <w:szCs w:val="20"/>
        </w:rPr>
        <w:t xml:space="preserve"> institutional quality)</w:t>
      </w:r>
      <w:r>
        <w:rPr>
          <w:sz w:val="20"/>
          <w:szCs w:val="20"/>
        </w:rPr>
        <w:t>,</w:t>
      </w:r>
      <w:r w:rsidRPr="00D11E58">
        <w:rPr>
          <w:sz w:val="20"/>
          <w:szCs w:val="20"/>
        </w:rPr>
        <w:t xml:space="preserve"> we decided not to include them in the reported specifications.</w:t>
      </w:r>
      <w:r>
        <w:rPr>
          <w:sz w:val="20"/>
          <w:szCs w:val="20"/>
        </w:rPr>
        <w:t xml:space="preserve"> This problem has been widely reported in the literature (e.g. Estrin</w:t>
      </w:r>
      <w:r w:rsidRPr="005E166E">
        <w:rPr>
          <w:sz w:val="20"/>
          <w:szCs w:val="20"/>
        </w:rPr>
        <w:t>, Baghdasaryan. &amp; Meyer</w:t>
      </w:r>
      <w:r>
        <w:rPr>
          <w:sz w:val="20"/>
          <w:szCs w:val="20"/>
        </w:rPr>
        <w:t>, 2009).</w:t>
      </w:r>
    </w:p>
  </w:footnote>
  <w:footnote w:id="11">
    <w:p w14:paraId="57C1C4C6" w14:textId="66CDA4E7" w:rsidR="00317F26" w:rsidRPr="005A3198" w:rsidRDefault="00317F26">
      <w:pPr>
        <w:pStyle w:val="FootnoteText"/>
        <w:rPr>
          <w:lang w:val="en-GB"/>
        </w:rPr>
      </w:pPr>
      <w:r>
        <w:rPr>
          <w:rStyle w:val="FootnoteReference"/>
        </w:rPr>
        <w:footnoteRef/>
      </w:r>
      <w:r>
        <w:t xml:space="preserve"> </w:t>
      </w:r>
      <w:r w:rsidRPr="009D4DBC">
        <w:rPr>
          <w:lang w:val="en-GB"/>
        </w:rPr>
        <w:t xml:space="preserve">However, the </w:t>
      </w:r>
      <w:r w:rsidRPr="009D4DBC">
        <w:rPr>
          <w:i/>
          <w:lang w:val="en-GB"/>
        </w:rPr>
        <w:t xml:space="preserve">intellectual property rights </w:t>
      </w:r>
      <w:r w:rsidRPr="009D4DBC">
        <w:rPr>
          <w:lang w:val="en-GB"/>
        </w:rPr>
        <w:t>v</w:t>
      </w:r>
      <w:r>
        <w:rPr>
          <w:lang w:val="en-GB"/>
        </w:rPr>
        <w:t xml:space="preserve">ariable has a correlation of </w:t>
      </w:r>
      <w:r w:rsidRPr="009D4DBC">
        <w:rPr>
          <w:lang w:val="en-GB"/>
        </w:rPr>
        <w:t>0.6</w:t>
      </w:r>
      <w:r>
        <w:rPr>
          <w:lang w:val="en-GB"/>
        </w:rPr>
        <w:t>5</w:t>
      </w:r>
      <w:r w:rsidRPr="009D4DBC">
        <w:rPr>
          <w:lang w:val="en-GB"/>
        </w:rPr>
        <w:t xml:space="preserve"> with GDP per capita. To address potential collinearity, we</w:t>
      </w:r>
      <w:r w:rsidRPr="009D4DBC">
        <w:t xml:space="preserve"> </w:t>
      </w:r>
      <w:r w:rsidRPr="009D4DBC">
        <w:rPr>
          <w:lang w:val="en-GB"/>
        </w:rPr>
        <w:t>estimate</w:t>
      </w:r>
      <w:r>
        <w:rPr>
          <w:lang w:val="en-GB"/>
        </w:rPr>
        <w:t>d</w:t>
      </w:r>
      <w:r w:rsidRPr="009D4DBC">
        <w:rPr>
          <w:lang w:val="en-GB"/>
        </w:rPr>
        <w:t xml:space="preserve"> our basic model</w:t>
      </w:r>
      <w:r>
        <w:rPr>
          <w:lang w:val="en-GB"/>
        </w:rPr>
        <w:t xml:space="preserve"> excluding</w:t>
      </w:r>
      <w:r w:rsidRPr="009D4DBC">
        <w:rPr>
          <w:lang w:val="en-GB"/>
        </w:rPr>
        <w:t xml:space="preserve"> </w:t>
      </w:r>
      <w:r>
        <w:rPr>
          <w:lang w:val="en-GB"/>
        </w:rPr>
        <w:t>GDP per capita</w:t>
      </w:r>
      <w:r w:rsidRPr="009D4DBC">
        <w:rPr>
          <w:lang w:val="en-GB"/>
        </w:rPr>
        <w:t xml:space="preserve">. The results with respect our hypotheses were not sensitive to these </w:t>
      </w:r>
      <w:r>
        <w:rPr>
          <w:lang w:val="en-GB"/>
        </w:rPr>
        <w:t>changes.</w:t>
      </w:r>
    </w:p>
  </w:footnote>
  <w:footnote w:id="12">
    <w:p w14:paraId="12BC6723" w14:textId="2BEBABD5" w:rsidR="00317F26" w:rsidRDefault="00317F26">
      <w:pPr>
        <w:pStyle w:val="FootnoteText"/>
      </w:pPr>
      <w:r>
        <w:rPr>
          <w:rStyle w:val="FootnoteReference"/>
        </w:rPr>
        <w:footnoteRef/>
      </w:r>
      <w:r>
        <w:t xml:space="preserve"> In the country-specific regressions, the measures for distance and for common language are in some case correlated, which leads to counterintuitive results for some AE subsamples. In Germany and France, AEs with the same official language are neighboring countries, leading to a negative correlation, whereas in the case of the UK they are positively correlated as Australia, Canada, New Zealand and USA (but not Ireland) are far from the UK.</w:t>
      </w:r>
    </w:p>
  </w:footnote>
  <w:footnote w:id="13">
    <w:p w14:paraId="27116AD5" w14:textId="0BA00C4A" w:rsidR="00317F26" w:rsidRPr="006261B4" w:rsidRDefault="00317F26" w:rsidP="00637C62">
      <w:pPr>
        <w:pStyle w:val="FootnoteText"/>
      </w:pPr>
      <w:r>
        <w:rPr>
          <w:rStyle w:val="FootnoteReference"/>
        </w:rPr>
        <w:footnoteRef/>
      </w:r>
      <w:r>
        <w:t xml:space="preserve"> Cultural Distance</w:t>
      </w:r>
      <w:r w:rsidRPr="00673EB1">
        <w:rPr>
          <w:vertAlign w:val="subscript"/>
        </w:rPr>
        <w:t>g</w:t>
      </w:r>
      <w:r>
        <w:rPr>
          <w:vertAlign w:val="subscript"/>
        </w:rPr>
        <w:t>h</w:t>
      </w:r>
      <w:r>
        <w:t xml:space="preserve"> = </w:t>
      </w:r>
      <m:oMath>
        <m:nary>
          <m:naryPr>
            <m:chr m:val="∑"/>
            <m:limLoc m:val="undOvr"/>
            <m:ctrlPr>
              <w:rPr>
                <w:rFonts w:ascii="Cambria Math" w:hAnsi="Cambria Math"/>
                <w:i/>
              </w:rPr>
            </m:ctrlPr>
          </m:naryPr>
          <m:sub>
            <m:r>
              <w:rPr>
                <w:rFonts w:ascii="Cambria Math" w:hAnsi="Cambria Math"/>
              </w:rPr>
              <m:t>n=1</m:t>
            </m:r>
          </m:sub>
          <m:sup>
            <m:r>
              <w:rPr>
                <w:rFonts w:ascii="Cambria Math" w:hAnsi="Cambria Math"/>
              </w:rPr>
              <m:t>4</m:t>
            </m:r>
          </m:sup>
          <m:e>
            <m:r>
              <w:rPr>
                <w:rFonts w:ascii="Cambria Math" w:hAnsi="Cambria Math"/>
              </w:rPr>
              <m:t>{(</m:t>
            </m:r>
          </m:e>
        </m:nary>
        <m:sSup>
          <m:sSupPr>
            <m:ctrlPr>
              <w:rPr>
                <w:rFonts w:ascii="Cambria Math" w:hAnsi="Cambria Math"/>
                <w:i/>
              </w:rPr>
            </m:ctrlPr>
          </m:sSupPr>
          <m:e>
            <m:sSub>
              <m:sSubPr>
                <m:ctrlPr>
                  <w:rPr>
                    <w:rFonts w:ascii="Cambria Math" w:hAnsi="Cambria Math"/>
                    <w:i/>
                  </w:rPr>
                </m:ctrlPr>
              </m:sSubPr>
              <m:e>
                <m:r>
                  <w:rPr>
                    <w:rFonts w:ascii="Cambria Math" w:hAnsi="Cambria Math"/>
                  </w:rPr>
                  <m:t>I</m:t>
                </m:r>
              </m:e>
              <m:sub>
                <m:r>
                  <w:rPr>
                    <w:rFonts w:ascii="Cambria Math" w:hAnsi="Cambria Math"/>
                  </w:rPr>
                  <m:t>ng</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nh</m:t>
                </m:r>
              </m:sub>
            </m:sSub>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}/4}</m:t>
        </m:r>
      </m:oMath>
      <w:r>
        <w:t>where I</w:t>
      </w:r>
      <w:r w:rsidRPr="00C46F54">
        <w:rPr>
          <w:vertAlign w:val="subscript"/>
        </w:rPr>
        <w:t>ng</w:t>
      </w:r>
      <w:r>
        <w:t xml:space="preserve"> is the index for the n</w:t>
      </w:r>
      <w:r w:rsidRPr="00C46F54">
        <w:rPr>
          <w:vertAlign w:val="superscript"/>
        </w:rPr>
        <w:t>th</w:t>
      </w:r>
      <w:r>
        <w:t xml:space="preserve"> cultural dimension in the home country of the foreign affiliate's group g and I</w:t>
      </w:r>
      <w:r w:rsidRPr="00673EB1">
        <w:rPr>
          <w:vertAlign w:val="subscript"/>
        </w:rPr>
        <w:t>nh</w:t>
      </w:r>
      <w:r>
        <w:t xml:space="preserve"> corresponds to the index for the n</w:t>
      </w:r>
      <w:r w:rsidRPr="00C46F54">
        <w:rPr>
          <w:vertAlign w:val="superscript"/>
        </w:rPr>
        <w:t>th</w:t>
      </w:r>
      <w:r>
        <w:t xml:space="preserve"> cultural dimension in the foreign affiliate's i host country h. V</w:t>
      </w:r>
      <w:r w:rsidRPr="00673EB1">
        <w:rPr>
          <w:vertAlign w:val="subscript"/>
        </w:rPr>
        <w:t>n</w:t>
      </w:r>
      <w:r>
        <w:t xml:space="preserve"> is the variance of the index for the n</w:t>
      </w:r>
      <w:r w:rsidRPr="00C46F54">
        <w:rPr>
          <w:vertAlign w:val="superscript"/>
        </w:rPr>
        <w:t>th</w:t>
      </w:r>
      <w:r>
        <w:t xml:space="preserve"> cultural dimension. For the indices see Hofstede, Hofstede and Minkov (2010) and the Hofstede Center's website (</w:t>
      </w:r>
      <w:hyperlink r:id="rId1" w:history="1">
        <w:r w:rsidRPr="009F5E49">
          <w:rPr>
            <w:rStyle w:val="Hyperlink"/>
          </w:rPr>
          <w:t>http://geert-hofstede.com/</w:t>
        </w:r>
      </w:hyperlink>
      <w:r>
        <w:t xml:space="preserve"> index.php).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0250"/>
    <w:multiLevelType w:val="hybridMultilevel"/>
    <w:tmpl w:val="E3724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56F54"/>
    <w:multiLevelType w:val="hybridMultilevel"/>
    <w:tmpl w:val="2BEA196E"/>
    <w:lvl w:ilvl="0" w:tplc="9AA65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C654B"/>
    <w:multiLevelType w:val="multilevel"/>
    <w:tmpl w:val="8452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A530E"/>
    <w:multiLevelType w:val="multilevel"/>
    <w:tmpl w:val="254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755C1"/>
    <w:multiLevelType w:val="hybridMultilevel"/>
    <w:tmpl w:val="0DA27EF8"/>
    <w:lvl w:ilvl="0" w:tplc="796E0422">
      <w:start w:val="1"/>
      <w:numFmt w:val="bullet"/>
      <w:lvlText w:val="•"/>
      <w:lvlJc w:val="left"/>
      <w:pPr>
        <w:tabs>
          <w:tab w:val="num" w:pos="720"/>
        </w:tabs>
        <w:ind w:left="720" w:hanging="360"/>
      </w:pPr>
      <w:rPr>
        <w:rFonts w:ascii="Arial" w:hAnsi="Arial" w:hint="default"/>
      </w:rPr>
    </w:lvl>
    <w:lvl w:ilvl="1" w:tplc="E9F61D7E" w:tentative="1">
      <w:start w:val="1"/>
      <w:numFmt w:val="bullet"/>
      <w:lvlText w:val="•"/>
      <w:lvlJc w:val="left"/>
      <w:pPr>
        <w:tabs>
          <w:tab w:val="num" w:pos="1440"/>
        </w:tabs>
        <w:ind w:left="1440" w:hanging="360"/>
      </w:pPr>
      <w:rPr>
        <w:rFonts w:ascii="Arial" w:hAnsi="Arial" w:hint="default"/>
      </w:rPr>
    </w:lvl>
    <w:lvl w:ilvl="2" w:tplc="C5D87DD0" w:tentative="1">
      <w:start w:val="1"/>
      <w:numFmt w:val="bullet"/>
      <w:lvlText w:val="•"/>
      <w:lvlJc w:val="left"/>
      <w:pPr>
        <w:tabs>
          <w:tab w:val="num" w:pos="2160"/>
        </w:tabs>
        <w:ind w:left="2160" w:hanging="360"/>
      </w:pPr>
      <w:rPr>
        <w:rFonts w:ascii="Arial" w:hAnsi="Arial" w:hint="default"/>
      </w:rPr>
    </w:lvl>
    <w:lvl w:ilvl="3" w:tplc="2818A4FC" w:tentative="1">
      <w:start w:val="1"/>
      <w:numFmt w:val="bullet"/>
      <w:lvlText w:val="•"/>
      <w:lvlJc w:val="left"/>
      <w:pPr>
        <w:tabs>
          <w:tab w:val="num" w:pos="2880"/>
        </w:tabs>
        <w:ind w:left="2880" w:hanging="360"/>
      </w:pPr>
      <w:rPr>
        <w:rFonts w:ascii="Arial" w:hAnsi="Arial" w:hint="default"/>
      </w:rPr>
    </w:lvl>
    <w:lvl w:ilvl="4" w:tplc="FB12ACB4" w:tentative="1">
      <w:start w:val="1"/>
      <w:numFmt w:val="bullet"/>
      <w:lvlText w:val="•"/>
      <w:lvlJc w:val="left"/>
      <w:pPr>
        <w:tabs>
          <w:tab w:val="num" w:pos="3600"/>
        </w:tabs>
        <w:ind w:left="3600" w:hanging="360"/>
      </w:pPr>
      <w:rPr>
        <w:rFonts w:ascii="Arial" w:hAnsi="Arial" w:hint="default"/>
      </w:rPr>
    </w:lvl>
    <w:lvl w:ilvl="5" w:tplc="1C343D3C" w:tentative="1">
      <w:start w:val="1"/>
      <w:numFmt w:val="bullet"/>
      <w:lvlText w:val="•"/>
      <w:lvlJc w:val="left"/>
      <w:pPr>
        <w:tabs>
          <w:tab w:val="num" w:pos="4320"/>
        </w:tabs>
        <w:ind w:left="4320" w:hanging="360"/>
      </w:pPr>
      <w:rPr>
        <w:rFonts w:ascii="Arial" w:hAnsi="Arial" w:hint="default"/>
      </w:rPr>
    </w:lvl>
    <w:lvl w:ilvl="6" w:tplc="88164402" w:tentative="1">
      <w:start w:val="1"/>
      <w:numFmt w:val="bullet"/>
      <w:lvlText w:val="•"/>
      <w:lvlJc w:val="left"/>
      <w:pPr>
        <w:tabs>
          <w:tab w:val="num" w:pos="5040"/>
        </w:tabs>
        <w:ind w:left="5040" w:hanging="360"/>
      </w:pPr>
      <w:rPr>
        <w:rFonts w:ascii="Arial" w:hAnsi="Arial" w:hint="default"/>
      </w:rPr>
    </w:lvl>
    <w:lvl w:ilvl="7" w:tplc="4CEC908C" w:tentative="1">
      <w:start w:val="1"/>
      <w:numFmt w:val="bullet"/>
      <w:lvlText w:val="•"/>
      <w:lvlJc w:val="left"/>
      <w:pPr>
        <w:tabs>
          <w:tab w:val="num" w:pos="5760"/>
        </w:tabs>
        <w:ind w:left="5760" w:hanging="360"/>
      </w:pPr>
      <w:rPr>
        <w:rFonts w:ascii="Arial" w:hAnsi="Arial" w:hint="default"/>
      </w:rPr>
    </w:lvl>
    <w:lvl w:ilvl="8" w:tplc="D33C2A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11312D"/>
    <w:multiLevelType w:val="hybridMultilevel"/>
    <w:tmpl w:val="AFE675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93AC0"/>
    <w:multiLevelType w:val="hybridMultilevel"/>
    <w:tmpl w:val="B1EE8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F29C8"/>
    <w:multiLevelType w:val="hybridMultilevel"/>
    <w:tmpl w:val="BFF47E2E"/>
    <w:lvl w:ilvl="0" w:tplc="005405A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7B27"/>
    <w:multiLevelType w:val="hybridMultilevel"/>
    <w:tmpl w:val="BCFC9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43AF3"/>
    <w:multiLevelType w:val="hybridMultilevel"/>
    <w:tmpl w:val="86DC0E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59239F"/>
    <w:multiLevelType w:val="hybridMultilevel"/>
    <w:tmpl w:val="3B5E05F2"/>
    <w:lvl w:ilvl="0" w:tplc="9DC89972">
      <w:start w:val="1"/>
      <w:numFmt w:val="decimal"/>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3211E2"/>
    <w:multiLevelType w:val="hybridMultilevel"/>
    <w:tmpl w:val="757A592E"/>
    <w:lvl w:ilvl="0" w:tplc="46766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AB471A"/>
    <w:multiLevelType w:val="hybridMultilevel"/>
    <w:tmpl w:val="FBE8A52E"/>
    <w:lvl w:ilvl="0" w:tplc="5A2CB7FA">
      <w:start w:val="1"/>
      <w:numFmt w:val="decimal"/>
      <w:lvlText w:val="%1."/>
      <w:lvlJc w:val="left"/>
      <w:pPr>
        <w:tabs>
          <w:tab w:val="num" w:pos="720"/>
        </w:tabs>
        <w:ind w:left="720" w:hanging="360"/>
      </w:pPr>
      <w:rPr>
        <w:rFonts w:cs="Times New Roman"/>
      </w:rPr>
    </w:lvl>
    <w:lvl w:ilvl="1" w:tplc="7E087E0A" w:tentative="1">
      <w:start w:val="1"/>
      <w:numFmt w:val="decimal"/>
      <w:lvlText w:val="%2."/>
      <w:lvlJc w:val="left"/>
      <w:pPr>
        <w:tabs>
          <w:tab w:val="num" w:pos="1440"/>
        </w:tabs>
        <w:ind w:left="1440" w:hanging="360"/>
      </w:pPr>
      <w:rPr>
        <w:rFonts w:cs="Times New Roman"/>
      </w:rPr>
    </w:lvl>
    <w:lvl w:ilvl="2" w:tplc="D512AE18" w:tentative="1">
      <w:start w:val="1"/>
      <w:numFmt w:val="decimal"/>
      <w:lvlText w:val="%3."/>
      <w:lvlJc w:val="left"/>
      <w:pPr>
        <w:tabs>
          <w:tab w:val="num" w:pos="2160"/>
        </w:tabs>
        <w:ind w:left="2160" w:hanging="360"/>
      </w:pPr>
      <w:rPr>
        <w:rFonts w:cs="Times New Roman"/>
      </w:rPr>
    </w:lvl>
    <w:lvl w:ilvl="3" w:tplc="7F4E3A20" w:tentative="1">
      <w:start w:val="1"/>
      <w:numFmt w:val="decimal"/>
      <w:lvlText w:val="%4."/>
      <w:lvlJc w:val="left"/>
      <w:pPr>
        <w:tabs>
          <w:tab w:val="num" w:pos="2880"/>
        </w:tabs>
        <w:ind w:left="2880" w:hanging="360"/>
      </w:pPr>
      <w:rPr>
        <w:rFonts w:cs="Times New Roman"/>
      </w:rPr>
    </w:lvl>
    <w:lvl w:ilvl="4" w:tplc="691CC03A" w:tentative="1">
      <w:start w:val="1"/>
      <w:numFmt w:val="decimal"/>
      <w:lvlText w:val="%5."/>
      <w:lvlJc w:val="left"/>
      <w:pPr>
        <w:tabs>
          <w:tab w:val="num" w:pos="3600"/>
        </w:tabs>
        <w:ind w:left="3600" w:hanging="360"/>
      </w:pPr>
      <w:rPr>
        <w:rFonts w:cs="Times New Roman"/>
      </w:rPr>
    </w:lvl>
    <w:lvl w:ilvl="5" w:tplc="1F22E5AA" w:tentative="1">
      <w:start w:val="1"/>
      <w:numFmt w:val="decimal"/>
      <w:lvlText w:val="%6."/>
      <w:lvlJc w:val="left"/>
      <w:pPr>
        <w:tabs>
          <w:tab w:val="num" w:pos="4320"/>
        </w:tabs>
        <w:ind w:left="4320" w:hanging="360"/>
      </w:pPr>
      <w:rPr>
        <w:rFonts w:cs="Times New Roman"/>
      </w:rPr>
    </w:lvl>
    <w:lvl w:ilvl="6" w:tplc="45622E2A" w:tentative="1">
      <w:start w:val="1"/>
      <w:numFmt w:val="decimal"/>
      <w:lvlText w:val="%7."/>
      <w:lvlJc w:val="left"/>
      <w:pPr>
        <w:tabs>
          <w:tab w:val="num" w:pos="5040"/>
        </w:tabs>
        <w:ind w:left="5040" w:hanging="360"/>
      </w:pPr>
      <w:rPr>
        <w:rFonts w:cs="Times New Roman"/>
      </w:rPr>
    </w:lvl>
    <w:lvl w:ilvl="7" w:tplc="82D4612E" w:tentative="1">
      <w:start w:val="1"/>
      <w:numFmt w:val="decimal"/>
      <w:lvlText w:val="%8."/>
      <w:lvlJc w:val="left"/>
      <w:pPr>
        <w:tabs>
          <w:tab w:val="num" w:pos="5760"/>
        </w:tabs>
        <w:ind w:left="5760" w:hanging="360"/>
      </w:pPr>
      <w:rPr>
        <w:rFonts w:cs="Times New Roman"/>
      </w:rPr>
    </w:lvl>
    <w:lvl w:ilvl="8" w:tplc="8848C128" w:tentative="1">
      <w:start w:val="1"/>
      <w:numFmt w:val="decimal"/>
      <w:lvlText w:val="%9."/>
      <w:lvlJc w:val="left"/>
      <w:pPr>
        <w:tabs>
          <w:tab w:val="num" w:pos="6480"/>
        </w:tabs>
        <w:ind w:left="6480" w:hanging="360"/>
      </w:pPr>
      <w:rPr>
        <w:rFonts w:cs="Times New Roman"/>
      </w:rPr>
    </w:lvl>
  </w:abstractNum>
  <w:abstractNum w:abstractNumId="13" w15:restartNumberingAfterBreak="0">
    <w:nsid w:val="445A718B"/>
    <w:multiLevelType w:val="hybridMultilevel"/>
    <w:tmpl w:val="51EC3178"/>
    <w:lvl w:ilvl="0" w:tplc="B13CFE4E">
      <w:start w:val="1"/>
      <w:numFmt w:val="decimal"/>
      <w:lvlText w:val="%1."/>
      <w:lvlJc w:val="left"/>
      <w:pPr>
        <w:tabs>
          <w:tab w:val="num" w:pos="930"/>
        </w:tabs>
        <w:ind w:left="930" w:hanging="57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7386F09"/>
    <w:multiLevelType w:val="hybridMultilevel"/>
    <w:tmpl w:val="0144EFC6"/>
    <w:lvl w:ilvl="0" w:tplc="1A5A45EE">
      <w:start w:val="1"/>
      <w:numFmt w:val="bullet"/>
      <w:lvlText w:val=""/>
      <w:lvlJc w:val="left"/>
      <w:pPr>
        <w:tabs>
          <w:tab w:val="num" w:pos="720"/>
        </w:tabs>
        <w:ind w:left="720" w:hanging="360"/>
      </w:pPr>
      <w:rPr>
        <w:rFonts w:ascii="Wingdings" w:hAnsi="Wingdings" w:hint="default"/>
      </w:rPr>
    </w:lvl>
    <w:lvl w:ilvl="1" w:tplc="46468246">
      <w:start w:val="1"/>
      <w:numFmt w:val="bullet"/>
      <w:lvlText w:val=""/>
      <w:lvlJc w:val="left"/>
      <w:pPr>
        <w:tabs>
          <w:tab w:val="num" w:pos="1440"/>
        </w:tabs>
        <w:ind w:left="1440" w:hanging="360"/>
      </w:pPr>
      <w:rPr>
        <w:rFonts w:ascii="Wingdings" w:hAnsi="Wingdings" w:hint="default"/>
      </w:rPr>
    </w:lvl>
    <w:lvl w:ilvl="2" w:tplc="1B2010F4" w:tentative="1">
      <w:start w:val="1"/>
      <w:numFmt w:val="bullet"/>
      <w:lvlText w:val=""/>
      <w:lvlJc w:val="left"/>
      <w:pPr>
        <w:tabs>
          <w:tab w:val="num" w:pos="2160"/>
        </w:tabs>
        <w:ind w:left="2160" w:hanging="360"/>
      </w:pPr>
      <w:rPr>
        <w:rFonts w:ascii="Wingdings" w:hAnsi="Wingdings" w:hint="default"/>
      </w:rPr>
    </w:lvl>
    <w:lvl w:ilvl="3" w:tplc="A10CCA24" w:tentative="1">
      <w:start w:val="1"/>
      <w:numFmt w:val="bullet"/>
      <w:lvlText w:val=""/>
      <w:lvlJc w:val="left"/>
      <w:pPr>
        <w:tabs>
          <w:tab w:val="num" w:pos="2880"/>
        </w:tabs>
        <w:ind w:left="2880" w:hanging="360"/>
      </w:pPr>
      <w:rPr>
        <w:rFonts w:ascii="Wingdings" w:hAnsi="Wingdings" w:hint="default"/>
      </w:rPr>
    </w:lvl>
    <w:lvl w:ilvl="4" w:tplc="47980D56" w:tentative="1">
      <w:start w:val="1"/>
      <w:numFmt w:val="bullet"/>
      <w:lvlText w:val=""/>
      <w:lvlJc w:val="left"/>
      <w:pPr>
        <w:tabs>
          <w:tab w:val="num" w:pos="3600"/>
        </w:tabs>
        <w:ind w:left="3600" w:hanging="360"/>
      </w:pPr>
      <w:rPr>
        <w:rFonts w:ascii="Wingdings" w:hAnsi="Wingdings" w:hint="default"/>
      </w:rPr>
    </w:lvl>
    <w:lvl w:ilvl="5" w:tplc="EBA6C9DC" w:tentative="1">
      <w:start w:val="1"/>
      <w:numFmt w:val="bullet"/>
      <w:lvlText w:val=""/>
      <w:lvlJc w:val="left"/>
      <w:pPr>
        <w:tabs>
          <w:tab w:val="num" w:pos="4320"/>
        </w:tabs>
        <w:ind w:left="4320" w:hanging="360"/>
      </w:pPr>
      <w:rPr>
        <w:rFonts w:ascii="Wingdings" w:hAnsi="Wingdings" w:hint="default"/>
      </w:rPr>
    </w:lvl>
    <w:lvl w:ilvl="6" w:tplc="99C00736" w:tentative="1">
      <w:start w:val="1"/>
      <w:numFmt w:val="bullet"/>
      <w:lvlText w:val=""/>
      <w:lvlJc w:val="left"/>
      <w:pPr>
        <w:tabs>
          <w:tab w:val="num" w:pos="5040"/>
        </w:tabs>
        <w:ind w:left="5040" w:hanging="360"/>
      </w:pPr>
      <w:rPr>
        <w:rFonts w:ascii="Wingdings" w:hAnsi="Wingdings" w:hint="default"/>
      </w:rPr>
    </w:lvl>
    <w:lvl w:ilvl="7" w:tplc="05D28A74" w:tentative="1">
      <w:start w:val="1"/>
      <w:numFmt w:val="bullet"/>
      <w:lvlText w:val=""/>
      <w:lvlJc w:val="left"/>
      <w:pPr>
        <w:tabs>
          <w:tab w:val="num" w:pos="5760"/>
        </w:tabs>
        <w:ind w:left="5760" w:hanging="360"/>
      </w:pPr>
      <w:rPr>
        <w:rFonts w:ascii="Wingdings" w:hAnsi="Wingdings" w:hint="default"/>
      </w:rPr>
    </w:lvl>
    <w:lvl w:ilvl="8" w:tplc="EF66C7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610B2"/>
    <w:multiLevelType w:val="hybridMultilevel"/>
    <w:tmpl w:val="8242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430B5"/>
    <w:multiLevelType w:val="hybridMultilevel"/>
    <w:tmpl w:val="9E02598E"/>
    <w:lvl w:ilvl="0" w:tplc="2E0037F0">
      <w:start w:val="5"/>
      <w:numFmt w:val="decimal"/>
      <w:lvlText w:val="%1."/>
      <w:lvlJc w:val="left"/>
      <w:pPr>
        <w:tabs>
          <w:tab w:val="num" w:pos="720"/>
        </w:tabs>
        <w:ind w:left="720" w:hanging="360"/>
      </w:pPr>
      <w:rPr>
        <w:rFonts w:cs="Times New Roman"/>
      </w:rPr>
    </w:lvl>
    <w:lvl w:ilvl="1" w:tplc="5E1241C4" w:tentative="1">
      <w:start w:val="1"/>
      <w:numFmt w:val="decimal"/>
      <w:lvlText w:val="%2."/>
      <w:lvlJc w:val="left"/>
      <w:pPr>
        <w:tabs>
          <w:tab w:val="num" w:pos="1440"/>
        </w:tabs>
        <w:ind w:left="1440" w:hanging="360"/>
      </w:pPr>
      <w:rPr>
        <w:rFonts w:cs="Times New Roman"/>
      </w:rPr>
    </w:lvl>
    <w:lvl w:ilvl="2" w:tplc="72708FAA" w:tentative="1">
      <w:start w:val="1"/>
      <w:numFmt w:val="decimal"/>
      <w:lvlText w:val="%3."/>
      <w:lvlJc w:val="left"/>
      <w:pPr>
        <w:tabs>
          <w:tab w:val="num" w:pos="2160"/>
        </w:tabs>
        <w:ind w:left="2160" w:hanging="360"/>
      </w:pPr>
      <w:rPr>
        <w:rFonts w:cs="Times New Roman"/>
      </w:rPr>
    </w:lvl>
    <w:lvl w:ilvl="3" w:tplc="E9423058" w:tentative="1">
      <w:start w:val="1"/>
      <w:numFmt w:val="decimal"/>
      <w:lvlText w:val="%4."/>
      <w:lvlJc w:val="left"/>
      <w:pPr>
        <w:tabs>
          <w:tab w:val="num" w:pos="2880"/>
        </w:tabs>
        <w:ind w:left="2880" w:hanging="360"/>
      </w:pPr>
      <w:rPr>
        <w:rFonts w:cs="Times New Roman"/>
      </w:rPr>
    </w:lvl>
    <w:lvl w:ilvl="4" w:tplc="0F4E871E" w:tentative="1">
      <w:start w:val="1"/>
      <w:numFmt w:val="decimal"/>
      <w:lvlText w:val="%5."/>
      <w:lvlJc w:val="left"/>
      <w:pPr>
        <w:tabs>
          <w:tab w:val="num" w:pos="3600"/>
        </w:tabs>
        <w:ind w:left="3600" w:hanging="360"/>
      </w:pPr>
      <w:rPr>
        <w:rFonts w:cs="Times New Roman"/>
      </w:rPr>
    </w:lvl>
    <w:lvl w:ilvl="5" w:tplc="1B90C256" w:tentative="1">
      <w:start w:val="1"/>
      <w:numFmt w:val="decimal"/>
      <w:lvlText w:val="%6."/>
      <w:lvlJc w:val="left"/>
      <w:pPr>
        <w:tabs>
          <w:tab w:val="num" w:pos="4320"/>
        </w:tabs>
        <w:ind w:left="4320" w:hanging="360"/>
      </w:pPr>
      <w:rPr>
        <w:rFonts w:cs="Times New Roman"/>
      </w:rPr>
    </w:lvl>
    <w:lvl w:ilvl="6" w:tplc="E222EB02" w:tentative="1">
      <w:start w:val="1"/>
      <w:numFmt w:val="decimal"/>
      <w:lvlText w:val="%7."/>
      <w:lvlJc w:val="left"/>
      <w:pPr>
        <w:tabs>
          <w:tab w:val="num" w:pos="5040"/>
        </w:tabs>
        <w:ind w:left="5040" w:hanging="360"/>
      </w:pPr>
      <w:rPr>
        <w:rFonts w:cs="Times New Roman"/>
      </w:rPr>
    </w:lvl>
    <w:lvl w:ilvl="7" w:tplc="6916E754" w:tentative="1">
      <w:start w:val="1"/>
      <w:numFmt w:val="decimal"/>
      <w:lvlText w:val="%8."/>
      <w:lvlJc w:val="left"/>
      <w:pPr>
        <w:tabs>
          <w:tab w:val="num" w:pos="5760"/>
        </w:tabs>
        <w:ind w:left="5760" w:hanging="360"/>
      </w:pPr>
      <w:rPr>
        <w:rFonts w:cs="Times New Roman"/>
      </w:rPr>
    </w:lvl>
    <w:lvl w:ilvl="8" w:tplc="2B8C12D0" w:tentative="1">
      <w:start w:val="1"/>
      <w:numFmt w:val="decimal"/>
      <w:lvlText w:val="%9."/>
      <w:lvlJc w:val="left"/>
      <w:pPr>
        <w:tabs>
          <w:tab w:val="num" w:pos="6480"/>
        </w:tabs>
        <w:ind w:left="6480" w:hanging="360"/>
      </w:pPr>
      <w:rPr>
        <w:rFonts w:cs="Times New Roman"/>
      </w:rPr>
    </w:lvl>
  </w:abstractNum>
  <w:abstractNum w:abstractNumId="17" w15:restartNumberingAfterBreak="0">
    <w:nsid w:val="60223F4B"/>
    <w:multiLevelType w:val="hybridMultilevel"/>
    <w:tmpl w:val="C358A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601A4"/>
    <w:multiLevelType w:val="multilevel"/>
    <w:tmpl w:val="2FD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42F7B"/>
    <w:multiLevelType w:val="hybridMultilevel"/>
    <w:tmpl w:val="2E9EB6AE"/>
    <w:lvl w:ilvl="0" w:tplc="7C4612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3F0119"/>
    <w:multiLevelType w:val="hybridMultilevel"/>
    <w:tmpl w:val="A026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B7D52"/>
    <w:multiLevelType w:val="hybridMultilevel"/>
    <w:tmpl w:val="304A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C1DDE"/>
    <w:multiLevelType w:val="multilevel"/>
    <w:tmpl w:val="1C1C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D72C2"/>
    <w:multiLevelType w:val="multilevel"/>
    <w:tmpl w:val="7E72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104D2A"/>
    <w:multiLevelType w:val="hybridMultilevel"/>
    <w:tmpl w:val="716A47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6"/>
  </w:num>
  <w:num w:numId="4">
    <w:abstractNumId w:val="14"/>
  </w:num>
  <w:num w:numId="5">
    <w:abstractNumId w:val="0"/>
  </w:num>
  <w:num w:numId="6">
    <w:abstractNumId w:val="15"/>
  </w:num>
  <w:num w:numId="7">
    <w:abstractNumId w:val="6"/>
  </w:num>
  <w:num w:numId="8">
    <w:abstractNumId w:val="17"/>
  </w:num>
  <w:num w:numId="9">
    <w:abstractNumId w:val="5"/>
  </w:num>
  <w:num w:numId="10">
    <w:abstractNumId w:val="13"/>
  </w:num>
  <w:num w:numId="11">
    <w:abstractNumId w:val="21"/>
  </w:num>
  <w:num w:numId="12">
    <w:abstractNumId w:val="20"/>
  </w:num>
  <w:num w:numId="13">
    <w:abstractNumId w:val="1"/>
  </w:num>
  <w:num w:numId="14">
    <w:abstractNumId w:val="3"/>
  </w:num>
  <w:num w:numId="15">
    <w:abstractNumId w:val="23"/>
  </w:num>
  <w:num w:numId="16">
    <w:abstractNumId w:val="22"/>
  </w:num>
  <w:num w:numId="17">
    <w:abstractNumId w:val="18"/>
  </w:num>
  <w:num w:numId="18">
    <w:abstractNumId w:val="19"/>
  </w:num>
  <w:num w:numId="19">
    <w:abstractNumId w:val="11"/>
  </w:num>
  <w:num w:numId="20">
    <w:abstractNumId w:val="8"/>
  </w:num>
  <w:num w:numId="21">
    <w:abstractNumId w:val="7"/>
  </w:num>
  <w:num w:numId="22">
    <w:abstractNumId w:val="2"/>
  </w:num>
  <w:num w:numId="23">
    <w:abstractNumId w:val="4"/>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B1"/>
    <w:rsid w:val="00000990"/>
    <w:rsid w:val="00000C5D"/>
    <w:rsid w:val="00000D87"/>
    <w:rsid w:val="0000173E"/>
    <w:rsid w:val="0000235F"/>
    <w:rsid w:val="00003774"/>
    <w:rsid w:val="00004AEA"/>
    <w:rsid w:val="00004F94"/>
    <w:rsid w:val="0000544E"/>
    <w:rsid w:val="000062AE"/>
    <w:rsid w:val="00006EB3"/>
    <w:rsid w:val="000111F6"/>
    <w:rsid w:val="00012613"/>
    <w:rsid w:val="00013C0B"/>
    <w:rsid w:val="00013D9D"/>
    <w:rsid w:val="00013E2D"/>
    <w:rsid w:val="00014146"/>
    <w:rsid w:val="000146A7"/>
    <w:rsid w:val="000150DC"/>
    <w:rsid w:val="00015906"/>
    <w:rsid w:val="00015DB4"/>
    <w:rsid w:val="000171D4"/>
    <w:rsid w:val="00017B4D"/>
    <w:rsid w:val="000213D6"/>
    <w:rsid w:val="000222CE"/>
    <w:rsid w:val="0002259C"/>
    <w:rsid w:val="0002349B"/>
    <w:rsid w:val="000237DB"/>
    <w:rsid w:val="00023FD7"/>
    <w:rsid w:val="0002579E"/>
    <w:rsid w:val="000262D0"/>
    <w:rsid w:val="00026E2D"/>
    <w:rsid w:val="00030369"/>
    <w:rsid w:val="0003172A"/>
    <w:rsid w:val="000319BD"/>
    <w:rsid w:val="00032263"/>
    <w:rsid w:val="000327AA"/>
    <w:rsid w:val="00032AD9"/>
    <w:rsid w:val="00032BDF"/>
    <w:rsid w:val="00032E40"/>
    <w:rsid w:val="000330AE"/>
    <w:rsid w:val="00035236"/>
    <w:rsid w:val="000353B9"/>
    <w:rsid w:val="00036495"/>
    <w:rsid w:val="00036B6B"/>
    <w:rsid w:val="00037AB7"/>
    <w:rsid w:val="00037D5B"/>
    <w:rsid w:val="000436BA"/>
    <w:rsid w:val="00044114"/>
    <w:rsid w:val="00045445"/>
    <w:rsid w:val="0004577A"/>
    <w:rsid w:val="00045FE3"/>
    <w:rsid w:val="00046B70"/>
    <w:rsid w:val="00046D9D"/>
    <w:rsid w:val="0005030C"/>
    <w:rsid w:val="00050DA9"/>
    <w:rsid w:val="00050DD1"/>
    <w:rsid w:val="00050DDE"/>
    <w:rsid w:val="00053577"/>
    <w:rsid w:val="00054F61"/>
    <w:rsid w:val="00056682"/>
    <w:rsid w:val="00056BF1"/>
    <w:rsid w:val="0005708D"/>
    <w:rsid w:val="00060EF2"/>
    <w:rsid w:val="00062B67"/>
    <w:rsid w:val="00063542"/>
    <w:rsid w:val="000638CC"/>
    <w:rsid w:val="000655C5"/>
    <w:rsid w:val="00067094"/>
    <w:rsid w:val="00067BA0"/>
    <w:rsid w:val="00067DD2"/>
    <w:rsid w:val="000720EB"/>
    <w:rsid w:val="00072716"/>
    <w:rsid w:val="0007292F"/>
    <w:rsid w:val="000731D8"/>
    <w:rsid w:val="00073831"/>
    <w:rsid w:val="0007600C"/>
    <w:rsid w:val="00076F1A"/>
    <w:rsid w:val="000818DA"/>
    <w:rsid w:val="00081C34"/>
    <w:rsid w:val="00081E20"/>
    <w:rsid w:val="00082DF8"/>
    <w:rsid w:val="000830AC"/>
    <w:rsid w:val="00083B56"/>
    <w:rsid w:val="00084021"/>
    <w:rsid w:val="000848EE"/>
    <w:rsid w:val="0008529B"/>
    <w:rsid w:val="0009140B"/>
    <w:rsid w:val="00091B2C"/>
    <w:rsid w:val="0009220D"/>
    <w:rsid w:val="000924EB"/>
    <w:rsid w:val="000930DF"/>
    <w:rsid w:val="00093A9F"/>
    <w:rsid w:val="00094FDE"/>
    <w:rsid w:val="000959D5"/>
    <w:rsid w:val="000973CB"/>
    <w:rsid w:val="000A1D64"/>
    <w:rsid w:val="000A1ECA"/>
    <w:rsid w:val="000A35C4"/>
    <w:rsid w:val="000B092A"/>
    <w:rsid w:val="000B1F18"/>
    <w:rsid w:val="000B1FA5"/>
    <w:rsid w:val="000B1FBC"/>
    <w:rsid w:val="000B2FB0"/>
    <w:rsid w:val="000B366B"/>
    <w:rsid w:val="000B536A"/>
    <w:rsid w:val="000B54A6"/>
    <w:rsid w:val="000B5638"/>
    <w:rsid w:val="000B6D5C"/>
    <w:rsid w:val="000B7A83"/>
    <w:rsid w:val="000C0191"/>
    <w:rsid w:val="000C12AA"/>
    <w:rsid w:val="000C1AF3"/>
    <w:rsid w:val="000C2997"/>
    <w:rsid w:val="000C2DDA"/>
    <w:rsid w:val="000C5589"/>
    <w:rsid w:val="000C5C0F"/>
    <w:rsid w:val="000C6392"/>
    <w:rsid w:val="000C63E8"/>
    <w:rsid w:val="000D08B0"/>
    <w:rsid w:val="000D1075"/>
    <w:rsid w:val="000D353D"/>
    <w:rsid w:val="000D3A1E"/>
    <w:rsid w:val="000D50AD"/>
    <w:rsid w:val="000D5495"/>
    <w:rsid w:val="000D6F5C"/>
    <w:rsid w:val="000E0057"/>
    <w:rsid w:val="000E0754"/>
    <w:rsid w:val="000E0F8D"/>
    <w:rsid w:val="000E240E"/>
    <w:rsid w:val="000E2BAF"/>
    <w:rsid w:val="000E3D7C"/>
    <w:rsid w:val="000E4944"/>
    <w:rsid w:val="000E5897"/>
    <w:rsid w:val="000E5E40"/>
    <w:rsid w:val="000E6669"/>
    <w:rsid w:val="000E7123"/>
    <w:rsid w:val="000E740F"/>
    <w:rsid w:val="000F086F"/>
    <w:rsid w:val="000F0ACA"/>
    <w:rsid w:val="000F1BA8"/>
    <w:rsid w:val="000F44B8"/>
    <w:rsid w:val="000F46A9"/>
    <w:rsid w:val="000F6786"/>
    <w:rsid w:val="000F718E"/>
    <w:rsid w:val="000F73D8"/>
    <w:rsid w:val="0010010D"/>
    <w:rsid w:val="00100D98"/>
    <w:rsid w:val="0010604C"/>
    <w:rsid w:val="00106EB5"/>
    <w:rsid w:val="0011041E"/>
    <w:rsid w:val="0011086E"/>
    <w:rsid w:val="00110A6C"/>
    <w:rsid w:val="00110ABE"/>
    <w:rsid w:val="00111206"/>
    <w:rsid w:val="00111420"/>
    <w:rsid w:val="00111E44"/>
    <w:rsid w:val="001124E2"/>
    <w:rsid w:val="00113560"/>
    <w:rsid w:val="00113F6E"/>
    <w:rsid w:val="00114732"/>
    <w:rsid w:val="001205A9"/>
    <w:rsid w:val="00120B60"/>
    <w:rsid w:val="001211FC"/>
    <w:rsid w:val="001222A8"/>
    <w:rsid w:val="00122464"/>
    <w:rsid w:val="001227F7"/>
    <w:rsid w:val="00122A70"/>
    <w:rsid w:val="0012326A"/>
    <w:rsid w:val="0012353B"/>
    <w:rsid w:val="00123B75"/>
    <w:rsid w:val="00123BD8"/>
    <w:rsid w:val="001253D5"/>
    <w:rsid w:val="00125728"/>
    <w:rsid w:val="00125CC6"/>
    <w:rsid w:val="00126195"/>
    <w:rsid w:val="00126241"/>
    <w:rsid w:val="0012714B"/>
    <w:rsid w:val="00130589"/>
    <w:rsid w:val="001316A3"/>
    <w:rsid w:val="00131DD2"/>
    <w:rsid w:val="00133E76"/>
    <w:rsid w:val="001349BC"/>
    <w:rsid w:val="00135304"/>
    <w:rsid w:val="0013545B"/>
    <w:rsid w:val="00135618"/>
    <w:rsid w:val="00135FF9"/>
    <w:rsid w:val="00136F21"/>
    <w:rsid w:val="001376D8"/>
    <w:rsid w:val="00137F3B"/>
    <w:rsid w:val="00141DE9"/>
    <w:rsid w:val="001429B3"/>
    <w:rsid w:val="00142DAD"/>
    <w:rsid w:val="00144208"/>
    <w:rsid w:val="00144C9B"/>
    <w:rsid w:val="00145747"/>
    <w:rsid w:val="00146350"/>
    <w:rsid w:val="001465AE"/>
    <w:rsid w:val="00146879"/>
    <w:rsid w:val="00146924"/>
    <w:rsid w:val="00146925"/>
    <w:rsid w:val="00146AF6"/>
    <w:rsid w:val="00147077"/>
    <w:rsid w:val="00150572"/>
    <w:rsid w:val="001519D7"/>
    <w:rsid w:val="00151C06"/>
    <w:rsid w:val="001530D8"/>
    <w:rsid w:val="00154938"/>
    <w:rsid w:val="00154D4A"/>
    <w:rsid w:val="00155CFE"/>
    <w:rsid w:val="00156AC1"/>
    <w:rsid w:val="00161800"/>
    <w:rsid w:val="001621A8"/>
    <w:rsid w:val="00162453"/>
    <w:rsid w:val="00164EBA"/>
    <w:rsid w:val="0016565D"/>
    <w:rsid w:val="00167BDC"/>
    <w:rsid w:val="00167D1F"/>
    <w:rsid w:val="00170BC2"/>
    <w:rsid w:val="00171047"/>
    <w:rsid w:val="00175455"/>
    <w:rsid w:val="00175A48"/>
    <w:rsid w:val="0017769A"/>
    <w:rsid w:val="00177830"/>
    <w:rsid w:val="0018025D"/>
    <w:rsid w:val="00182BCC"/>
    <w:rsid w:val="00182DA9"/>
    <w:rsid w:val="00183920"/>
    <w:rsid w:val="00183BD4"/>
    <w:rsid w:val="001841B6"/>
    <w:rsid w:val="00184B82"/>
    <w:rsid w:val="00191997"/>
    <w:rsid w:val="00192844"/>
    <w:rsid w:val="00193CBF"/>
    <w:rsid w:val="001970AF"/>
    <w:rsid w:val="0019770E"/>
    <w:rsid w:val="001A13A8"/>
    <w:rsid w:val="001A18BF"/>
    <w:rsid w:val="001A209B"/>
    <w:rsid w:val="001A278A"/>
    <w:rsid w:val="001A281E"/>
    <w:rsid w:val="001A3024"/>
    <w:rsid w:val="001A47C0"/>
    <w:rsid w:val="001A517A"/>
    <w:rsid w:val="001A6041"/>
    <w:rsid w:val="001B22F4"/>
    <w:rsid w:val="001B438A"/>
    <w:rsid w:val="001B5667"/>
    <w:rsid w:val="001B7009"/>
    <w:rsid w:val="001B7407"/>
    <w:rsid w:val="001B7938"/>
    <w:rsid w:val="001C0B0A"/>
    <w:rsid w:val="001C0D11"/>
    <w:rsid w:val="001C1F4A"/>
    <w:rsid w:val="001C3044"/>
    <w:rsid w:val="001C433C"/>
    <w:rsid w:val="001C56F0"/>
    <w:rsid w:val="001C570E"/>
    <w:rsid w:val="001C6218"/>
    <w:rsid w:val="001C65D4"/>
    <w:rsid w:val="001C6A7B"/>
    <w:rsid w:val="001C72EE"/>
    <w:rsid w:val="001C7E7C"/>
    <w:rsid w:val="001D0623"/>
    <w:rsid w:val="001D0E9A"/>
    <w:rsid w:val="001D0F1F"/>
    <w:rsid w:val="001D1C18"/>
    <w:rsid w:val="001D2BD3"/>
    <w:rsid w:val="001D4797"/>
    <w:rsid w:val="001E0601"/>
    <w:rsid w:val="001E1A2C"/>
    <w:rsid w:val="001E2912"/>
    <w:rsid w:val="001E4532"/>
    <w:rsid w:val="001E48A9"/>
    <w:rsid w:val="001E65FF"/>
    <w:rsid w:val="001E70F0"/>
    <w:rsid w:val="001F0155"/>
    <w:rsid w:val="001F10F0"/>
    <w:rsid w:val="001F1188"/>
    <w:rsid w:val="001F148E"/>
    <w:rsid w:val="001F1558"/>
    <w:rsid w:val="001F3589"/>
    <w:rsid w:val="001F385C"/>
    <w:rsid w:val="001F3864"/>
    <w:rsid w:val="001F6691"/>
    <w:rsid w:val="001F6EB2"/>
    <w:rsid w:val="002004C0"/>
    <w:rsid w:val="00200FE2"/>
    <w:rsid w:val="0020119A"/>
    <w:rsid w:val="00203520"/>
    <w:rsid w:val="002037E0"/>
    <w:rsid w:val="0020477F"/>
    <w:rsid w:val="00204D7F"/>
    <w:rsid w:val="00205065"/>
    <w:rsid w:val="00207AA9"/>
    <w:rsid w:val="00210975"/>
    <w:rsid w:val="002110F5"/>
    <w:rsid w:val="0021413C"/>
    <w:rsid w:val="002143B1"/>
    <w:rsid w:val="0021514F"/>
    <w:rsid w:val="00215AC2"/>
    <w:rsid w:val="00216B6D"/>
    <w:rsid w:val="00217581"/>
    <w:rsid w:val="00221344"/>
    <w:rsid w:val="00221BC2"/>
    <w:rsid w:val="00222577"/>
    <w:rsid w:val="002237AB"/>
    <w:rsid w:val="002238C7"/>
    <w:rsid w:val="00225022"/>
    <w:rsid w:val="0022513D"/>
    <w:rsid w:val="00226453"/>
    <w:rsid w:val="00226E71"/>
    <w:rsid w:val="00227E1E"/>
    <w:rsid w:val="00230C81"/>
    <w:rsid w:val="0023373B"/>
    <w:rsid w:val="00234263"/>
    <w:rsid w:val="00234C06"/>
    <w:rsid w:val="00235818"/>
    <w:rsid w:val="00236790"/>
    <w:rsid w:val="00240F88"/>
    <w:rsid w:val="00241473"/>
    <w:rsid w:val="00244ABA"/>
    <w:rsid w:val="00244BDC"/>
    <w:rsid w:val="00245D8D"/>
    <w:rsid w:val="002470A8"/>
    <w:rsid w:val="002513DD"/>
    <w:rsid w:val="00251963"/>
    <w:rsid w:val="00251A8B"/>
    <w:rsid w:val="00251EF3"/>
    <w:rsid w:val="00251F6A"/>
    <w:rsid w:val="002525E4"/>
    <w:rsid w:val="002529B1"/>
    <w:rsid w:val="00252FEA"/>
    <w:rsid w:val="0025308E"/>
    <w:rsid w:val="00253B44"/>
    <w:rsid w:val="00254009"/>
    <w:rsid w:val="002546C0"/>
    <w:rsid w:val="00256DD3"/>
    <w:rsid w:val="00257D6D"/>
    <w:rsid w:val="002607F3"/>
    <w:rsid w:val="00261433"/>
    <w:rsid w:val="00263E3C"/>
    <w:rsid w:val="00266151"/>
    <w:rsid w:val="002662B3"/>
    <w:rsid w:val="00267959"/>
    <w:rsid w:val="00270FB9"/>
    <w:rsid w:val="0027131F"/>
    <w:rsid w:val="00272C90"/>
    <w:rsid w:val="002730FE"/>
    <w:rsid w:val="002738A9"/>
    <w:rsid w:val="002740E6"/>
    <w:rsid w:val="00275238"/>
    <w:rsid w:val="00275DA9"/>
    <w:rsid w:val="002771AC"/>
    <w:rsid w:val="00277F52"/>
    <w:rsid w:val="00280344"/>
    <w:rsid w:val="002806F1"/>
    <w:rsid w:val="00280BBA"/>
    <w:rsid w:val="002814B2"/>
    <w:rsid w:val="00281903"/>
    <w:rsid w:val="00281C12"/>
    <w:rsid w:val="002833E2"/>
    <w:rsid w:val="00283A49"/>
    <w:rsid w:val="00283EEE"/>
    <w:rsid w:val="00285FD9"/>
    <w:rsid w:val="00286AA9"/>
    <w:rsid w:val="00287074"/>
    <w:rsid w:val="002871DD"/>
    <w:rsid w:val="002877B0"/>
    <w:rsid w:val="002901E5"/>
    <w:rsid w:val="00291C09"/>
    <w:rsid w:val="0029204D"/>
    <w:rsid w:val="002934F2"/>
    <w:rsid w:val="00296ED7"/>
    <w:rsid w:val="00297BF5"/>
    <w:rsid w:val="002A096E"/>
    <w:rsid w:val="002A1FB3"/>
    <w:rsid w:val="002A3711"/>
    <w:rsid w:val="002A3CA6"/>
    <w:rsid w:val="002A43D7"/>
    <w:rsid w:val="002A4E96"/>
    <w:rsid w:val="002A5131"/>
    <w:rsid w:val="002A6011"/>
    <w:rsid w:val="002A6BFB"/>
    <w:rsid w:val="002A6C0A"/>
    <w:rsid w:val="002B0320"/>
    <w:rsid w:val="002B10D2"/>
    <w:rsid w:val="002B1F05"/>
    <w:rsid w:val="002B2E30"/>
    <w:rsid w:val="002B3458"/>
    <w:rsid w:val="002B449E"/>
    <w:rsid w:val="002B6022"/>
    <w:rsid w:val="002B6E27"/>
    <w:rsid w:val="002B7807"/>
    <w:rsid w:val="002B7846"/>
    <w:rsid w:val="002C039B"/>
    <w:rsid w:val="002C045D"/>
    <w:rsid w:val="002C07E9"/>
    <w:rsid w:val="002C135F"/>
    <w:rsid w:val="002C18BF"/>
    <w:rsid w:val="002C1A1B"/>
    <w:rsid w:val="002C2699"/>
    <w:rsid w:val="002C2B93"/>
    <w:rsid w:val="002C33B1"/>
    <w:rsid w:val="002C3448"/>
    <w:rsid w:val="002C3774"/>
    <w:rsid w:val="002C4AE5"/>
    <w:rsid w:val="002C667B"/>
    <w:rsid w:val="002C66C6"/>
    <w:rsid w:val="002C76DB"/>
    <w:rsid w:val="002D043D"/>
    <w:rsid w:val="002D16C3"/>
    <w:rsid w:val="002D1E4D"/>
    <w:rsid w:val="002D22FC"/>
    <w:rsid w:val="002D2EEF"/>
    <w:rsid w:val="002D3B04"/>
    <w:rsid w:val="002D7307"/>
    <w:rsid w:val="002D7E73"/>
    <w:rsid w:val="002E0972"/>
    <w:rsid w:val="002E11A7"/>
    <w:rsid w:val="002E2798"/>
    <w:rsid w:val="002E4B76"/>
    <w:rsid w:val="002E4BB4"/>
    <w:rsid w:val="002E4CB3"/>
    <w:rsid w:val="002E4D9F"/>
    <w:rsid w:val="002E4FEB"/>
    <w:rsid w:val="002E5F35"/>
    <w:rsid w:val="002E6B56"/>
    <w:rsid w:val="002E7886"/>
    <w:rsid w:val="002F061D"/>
    <w:rsid w:val="002F182A"/>
    <w:rsid w:val="002F2232"/>
    <w:rsid w:val="002F27E4"/>
    <w:rsid w:val="002F55A0"/>
    <w:rsid w:val="002F62AF"/>
    <w:rsid w:val="003001F2"/>
    <w:rsid w:val="00302889"/>
    <w:rsid w:val="003045EE"/>
    <w:rsid w:val="00305A72"/>
    <w:rsid w:val="00310531"/>
    <w:rsid w:val="0031716C"/>
    <w:rsid w:val="00317F26"/>
    <w:rsid w:val="0032163F"/>
    <w:rsid w:val="00321CAF"/>
    <w:rsid w:val="00321D03"/>
    <w:rsid w:val="00323490"/>
    <w:rsid w:val="00324680"/>
    <w:rsid w:val="00324CD3"/>
    <w:rsid w:val="003260E0"/>
    <w:rsid w:val="00327E47"/>
    <w:rsid w:val="00332AF7"/>
    <w:rsid w:val="003342B0"/>
    <w:rsid w:val="00334680"/>
    <w:rsid w:val="00334F8B"/>
    <w:rsid w:val="003358CB"/>
    <w:rsid w:val="003365C9"/>
    <w:rsid w:val="00337EAD"/>
    <w:rsid w:val="00337ED8"/>
    <w:rsid w:val="003407D9"/>
    <w:rsid w:val="00343874"/>
    <w:rsid w:val="00344F27"/>
    <w:rsid w:val="00346F0E"/>
    <w:rsid w:val="003471C1"/>
    <w:rsid w:val="00351408"/>
    <w:rsid w:val="00351D7C"/>
    <w:rsid w:val="003543B0"/>
    <w:rsid w:val="0035571E"/>
    <w:rsid w:val="00355829"/>
    <w:rsid w:val="00355DEE"/>
    <w:rsid w:val="00355F73"/>
    <w:rsid w:val="00361DAF"/>
    <w:rsid w:val="003623AA"/>
    <w:rsid w:val="0036260F"/>
    <w:rsid w:val="00362A58"/>
    <w:rsid w:val="00362CC0"/>
    <w:rsid w:val="00363CB7"/>
    <w:rsid w:val="00363F5A"/>
    <w:rsid w:val="00364224"/>
    <w:rsid w:val="00364724"/>
    <w:rsid w:val="00364891"/>
    <w:rsid w:val="0036542C"/>
    <w:rsid w:val="0036608C"/>
    <w:rsid w:val="003664DC"/>
    <w:rsid w:val="00366C21"/>
    <w:rsid w:val="00366F8C"/>
    <w:rsid w:val="00367D0C"/>
    <w:rsid w:val="00370290"/>
    <w:rsid w:val="00370BFC"/>
    <w:rsid w:val="0037116C"/>
    <w:rsid w:val="003732A6"/>
    <w:rsid w:val="00374982"/>
    <w:rsid w:val="00375A62"/>
    <w:rsid w:val="00375CF4"/>
    <w:rsid w:val="00376452"/>
    <w:rsid w:val="00376590"/>
    <w:rsid w:val="00376968"/>
    <w:rsid w:val="0038018A"/>
    <w:rsid w:val="00380385"/>
    <w:rsid w:val="003803EC"/>
    <w:rsid w:val="00383252"/>
    <w:rsid w:val="00383FBB"/>
    <w:rsid w:val="003840F3"/>
    <w:rsid w:val="003846E1"/>
    <w:rsid w:val="003851BE"/>
    <w:rsid w:val="00386C36"/>
    <w:rsid w:val="003874F9"/>
    <w:rsid w:val="00387780"/>
    <w:rsid w:val="00390069"/>
    <w:rsid w:val="00390C28"/>
    <w:rsid w:val="003921E8"/>
    <w:rsid w:val="0039244F"/>
    <w:rsid w:val="00394476"/>
    <w:rsid w:val="003950D7"/>
    <w:rsid w:val="003A1314"/>
    <w:rsid w:val="003A3775"/>
    <w:rsid w:val="003A3BCD"/>
    <w:rsid w:val="003A4B0B"/>
    <w:rsid w:val="003A4E87"/>
    <w:rsid w:val="003A730A"/>
    <w:rsid w:val="003A7770"/>
    <w:rsid w:val="003A7905"/>
    <w:rsid w:val="003B1C51"/>
    <w:rsid w:val="003B39F4"/>
    <w:rsid w:val="003B47FA"/>
    <w:rsid w:val="003B53BC"/>
    <w:rsid w:val="003B60CA"/>
    <w:rsid w:val="003B7A55"/>
    <w:rsid w:val="003C01C5"/>
    <w:rsid w:val="003C1960"/>
    <w:rsid w:val="003C2758"/>
    <w:rsid w:val="003C2C12"/>
    <w:rsid w:val="003C2F4E"/>
    <w:rsid w:val="003C3289"/>
    <w:rsid w:val="003C36E3"/>
    <w:rsid w:val="003C534E"/>
    <w:rsid w:val="003C63B9"/>
    <w:rsid w:val="003C67BB"/>
    <w:rsid w:val="003C708A"/>
    <w:rsid w:val="003D0E0D"/>
    <w:rsid w:val="003D1C78"/>
    <w:rsid w:val="003D3267"/>
    <w:rsid w:val="003D335C"/>
    <w:rsid w:val="003D350A"/>
    <w:rsid w:val="003D4190"/>
    <w:rsid w:val="003D5719"/>
    <w:rsid w:val="003D6EEB"/>
    <w:rsid w:val="003D75EC"/>
    <w:rsid w:val="003D7A78"/>
    <w:rsid w:val="003E04A7"/>
    <w:rsid w:val="003E0A03"/>
    <w:rsid w:val="003E0A45"/>
    <w:rsid w:val="003E32FF"/>
    <w:rsid w:val="003E3335"/>
    <w:rsid w:val="003E3847"/>
    <w:rsid w:val="003E4A97"/>
    <w:rsid w:val="003E4DD9"/>
    <w:rsid w:val="003E5F1A"/>
    <w:rsid w:val="003E6739"/>
    <w:rsid w:val="003E6FF1"/>
    <w:rsid w:val="003F0859"/>
    <w:rsid w:val="003F239C"/>
    <w:rsid w:val="003F2A00"/>
    <w:rsid w:val="003F3C6E"/>
    <w:rsid w:val="003F4A9B"/>
    <w:rsid w:val="003F4AF3"/>
    <w:rsid w:val="003F6B4C"/>
    <w:rsid w:val="003F7894"/>
    <w:rsid w:val="00400372"/>
    <w:rsid w:val="00400FCB"/>
    <w:rsid w:val="0040123A"/>
    <w:rsid w:val="0040151E"/>
    <w:rsid w:val="00402344"/>
    <w:rsid w:val="004026E5"/>
    <w:rsid w:val="00405101"/>
    <w:rsid w:val="00406772"/>
    <w:rsid w:val="004074C3"/>
    <w:rsid w:val="00407A32"/>
    <w:rsid w:val="0041077A"/>
    <w:rsid w:val="0041135D"/>
    <w:rsid w:val="0041143C"/>
    <w:rsid w:val="00411CA8"/>
    <w:rsid w:val="0041361D"/>
    <w:rsid w:val="00413D96"/>
    <w:rsid w:val="004146CC"/>
    <w:rsid w:val="004158E0"/>
    <w:rsid w:val="00416D0B"/>
    <w:rsid w:val="00417043"/>
    <w:rsid w:val="004206DF"/>
    <w:rsid w:val="00420A6C"/>
    <w:rsid w:val="00420F86"/>
    <w:rsid w:val="00422509"/>
    <w:rsid w:val="004231A6"/>
    <w:rsid w:val="0042579F"/>
    <w:rsid w:val="00425DD9"/>
    <w:rsid w:val="00430402"/>
    <w:rsid w:val="00432F43"/>
    <w:rsid w:val="004345FE"/>
    <w:rsid w:val="00434BAA"/>
    <w:rsid w:val="00434BBB"/>
    <w:rsid w:val="00435830"/>
    <w:rsid w:val="00435B70"/>
    <w:rsid w:val="00437EB6"/>
    <w:rsid w:val="00440439"/>
    <w:rsid w:val="004404C0"/>
    <w:rsid w:val="004409E1"/>
    <w:rsid w:val="00441156"/>
    <w:rsid w:val="00442921"/>
    <w:rsid w:val="004439DA"/>
    <w:rsid w:val="00443E73"/>
    <w:rsid w:val="004440F3"/>
    <w:rsid w:val="00444731"/>
    <w:rsid w:val="00444756"/>
    <w:rsid w:val="00446959"/>
    <w:rsid w:val="004469A6"/>
    <w:rsid w:val="0045071C"/>
    <w:rsid w:val="00451F4E"/>
    <w:rsid w:val="004525D6"/>
    <w:rsid w:val="00452FDC"/>
    <w:rsid w:val="0045335C"/>
    <w:rsid w:val="00454214"/>
    <w:rsid w:val="00454558"/>
    <w:rsid w:val="00456329"/>
    <w:rsid w:val="00456613"/>
    <w:rsid w:val="004573AA"/>
    <w:rsid w:val="00463DD3"/>
    <w:rsid w:val="00464AC8"/>
    <w:rsid w:val="00464FB4"/>
    <w:rsid w:val="0046512D"/>
    <w:rsid w:val="00465D37"/>
    <w:rsid w:val="00466ED2"/>
    <w:rsid w:val="00470193"/>
    <w:rsid w:val="00470909"/>
    <w:rsid w:val="00470ADC"/>
    <w:rsid w:val="004714B9"/>
    <w:rsid w:val="0047205D"/>
    <w:rsid w:val="00473F3D"/>
    <w:rsid w:val="00474C26"/>
    <w:rsid w:val="00475858"/>
    <w:rsid w:val="00475984"/>
    <w:rsid w:val="00477EE5"/>
    <w:rsid w:val="00477F9F"/>
    <w:rsid w:val="0048039D"/>
    <w:rsid w:val="00480548"/>
    <w:rsid w:val="00481069"/>
    <w:rsid w:val="0048174B"/>
    <w:rsid w:val="00481B6D"/>
    <w:rsid w:val="00481BAF"/>
    <w:rsid w:val="0048487D"/>
    <w:rsid w:val="0048500D"/>
    <w:rsid w:val="004852E1"/>
    <w:rsid w:val="00487751"/>
    <w:rsid w:val="00490304"/>
    <w:rsid w:val="0049036C"/>
    <w:rsid w:val="00490916"/>
    <w:rsid w:val="00490D87"/>
    <w:rsid w:val="0049120D"/>
    <w:rsid w:val="004917CB"/>
    <w:rsid w:val="004926AC"/>
    <w:rsid w:val="00493CDF"/>
    <w:rsid w:val="00495209"/>
    <w:rsid w:val="004959B3"/>
    <w:rsid w:val="0049655F"/>
    <w:rsid w:val="004A0BD0"/>
    <w:rsid w:val="004A11B3"/>
    <w:rsid w:val="004A14B8"/>
    <w:rsid w:val="004A187B"/>
    <w:rsid w:val="004A2A6A"/>
    <w:rsid w:val="004A37E7"/>
    <w:rsid w:val="004A5593"/>
    <w:rsid w:val="004A6824"/>
    <w:rsid w:val="004A6D18"/>
    <w:rsid w:val="004B052C"/>
    <w:rsid w:val="004B10D7"/>
    <w:rsid w:val="004B2568"/>
    <w:rsid w:val="004B2C34"/>
    <w:rsid w:val="004B346F"/>
    <w:rsid w:val="004B4443"/>
    <w:rsid w:val="004B5156"/>
    <w:rsid w:val="004B5B74"/>
    <w:rsid w:val="004B7EF5"/>
    <w:rsid w:val="004C135D"/>
    <w:rsid w:val="004C1A2C"/>
    <w:rsid w:val="004C363D"/>
    <w:rsid w:val="004C54E4"/>
    <w:rsid w:val="004C5AF2"/>
    <w:rsid w:val="004C5C20"/>
    <w:rsid w:val="004C61A5"/>
    <w:rsid w:val="004C7915"/>
    <w:rsid w:val="004C7E5F"/>
    <w:rsid w:val="004D0A39"/>
    <w:rsid w:val="004D0F45"/>
    <w:rsid w:val="004D1C1B"/>
    <w:rsid w:val="004D2295"/>
    <w:rsid w:val="004D272D"/>
    <w:rsid w:val="004D295B"/>
    <w:rsid w:val="004D2EEE"/>
    <w:rsid w:val="004D2EF1"/>
    <w:rsid w:val="004D32CC"/>
    <w:rsid w:val="004D4346"/>
    <w:rsid w:val="004D479B"/>
    <w:rsid w:val="004D6054"/>
    <w:rsid w:val="004D6649"/>
    <w:rsid w:val="004D6C77"/>
    <w:rsid w:val="004D6CDC"/>
    <w:rsid w:val="004D6F19"/>
    <w:rsid w:val="004E1EBA"/>
    <w:rsid w:val="004E2710"/>
    <w:rsid w:val="004E36CA"/>
    <w:rsid w:val="004E3975"/>
    <w:rsid w:val="004E4CF6"/>
    <w:rsid w:val="004E4DF6"/>
    <w:rsid w:val="004E564A"/>
    <w:rsid w:val="004E7697"/>
    <w:rsid w:val="004E7BAE"/>
    <w:rsid w:val="004F00FA"/>
    <w:rsid w:val="004F11DF"/>
    <w:rsid w:val="004F26B6"/>
    <w:rsid w:val="004F36FC"/>
    <w:rsid w:val="004F3B72"/>
    <w:rsid w:val="004F3DFA"/>
    <w:rsid w:val="004F4832"/>
    <w:rsid w:val="004F5011"/>
    <w:rsid w:val="004F5DD2"/>
    <w:rsid w:val="004F67CA"/>
    <w:rsid w:val="004F699D"/>
    <w:rsid w:val="004F72AA"/>
    <w:rsid w:val="004F7577"/>
    <w:rsid w:val="004F78DD"/>
    <w:rsid w:val="00500FF6"/>
    <w:rsid w:val="005019B5"/>
    <w:rsid w:val="00501A1F"/>
    <w:rsid w:val="00501BDE"/>
    <w:rsid w:val="005022B9"/>
    <w:rsid w:val="00502BEE"/>
    <w:rsid w:val="0050368F"/>
    <w:rsid w:val="00506246"/>
    <w:rsid w:val="00506908"/>
    <w:rsid w:val="00507175"/>
    <w:rsid w:val="00507378"/>
    <w:rsid w:val="00511039"/>
    <w:rsid w:val="00514547"/>
    <w:rsid w:val="00514B04"/>
    <w:rsid w:val="0051512A"/>
    <w:rsid w:val="00515E1E"/>
    <w:rsid w:val="00516C2C"/>
    <w:rsid w:val="00517D93"/>
    <w:rsid w:val="00520D7B"/>
    <w:rsid w:val="00521B1B"/>
    <w:rsid w:val="00522741"/>
    <w:rsid w:val="00523624"/>
    <w:rsid w:val="0052368D"/>
    <w:rsid w:val="0052372F"/>
    <w:rsid w:val="00523FF1"/>
    <w:rsid w:val="0052523A"/>
    <w:rsid w:val="00525F39"/>
    <w:rsid w:val="0052761D"/>
    <w:rsid w:val="00530167"/>
    <w:rsid w:val="005315D7"/>
    <w:rsid w:val="00531F24"/>
    <w:rsid w:val="00533678"/>
    <w:rsid w:val="00533EFB"/>
    <w:rsid w:val="0053446D"/>
    <w:rsid w:val="0053539E"/>
    <w:rsid w:val="005358BA"/>
    <w:rsid w:val="00536660"/>
    <w:rsid w:val="00536C42"/>
    <w:rsid w:val="00536C9A"/>
    <w:rsid w:val="00537646"/>
    <w:rsid w:val="0053779E"/>
    <w:rsid w:val="00541FD9"/>
    <w:rsid w:val="005422B6"/>
    <w:rsid w:val="00542867"/>
    <w:rsid w:val="00543A61"/>
    <w:rsid w:val="00543A7B"/>
    <w:rsid w:val="00545900"/>
    <w:rsid w:val="005462E8"/>
    <w:rsid w:val="00546342"/>
    <w:rsid w:val="005469C4"/>
    <w:rsid w:val="00546D7B"/>
    <w:rsid w:val="00547125"/>
    <w:rsid w:val="00550E5A"/>
    <w:rsid w:val="00551AAB"/>
    <w:rsid w:val="0055243B"/>
    <w:rsid w:val="0055306D"/>
    <w:rsid w:val="00553998"/>
    <w:rsid w:val="00553B0F"/>
    <w:rsid w:val="0055416B"/>
    <w:rsid w:val="00554F58"/>
    <w:rsid w:val="005567BC"/>
    <w:rsid w:val="00556D7A"/>
    <w:rsid w:val="00556EB4"/>
    <w:rsid w:val="005570C6"/>
    <w:rsid w:val="00557C1C"/>
    <w:rsid w:val="005608BA"/>
    <w:rsid w:val="00562AAE"/>
    <w:rsid w:val="00562BBF"/>
    <w:rsid w:val="005632DE"/>
    <w:rsid w:val="0056356A"/>
    <w:rsid w:val="0056432C"/>
    <w:rsid w:val="00565437"/>
    <w:rsid w:val="005654A3"/>
    <w:rsid w:val="00567C74"/>
    <w:rsid w:val="00570048"/>
    <w:rsid w:val="00571726"/>
    <w:rsid w:val="00571D42"/>
    <w:rsid w:val="005724BF"/>
    <w:rsid w:val="00574BFA"/>
    <w:rsid w:val="00574DFD"/>
    <w:rsid w:val="00574E47"/>
    <w:rsid w:val="00574FF4"/>
    <w:rsid w:val="00575A57"/>
    <w:rsid w:val="00575AE9"/>
    <w:rsid w:val="0057712D"/>
    <w:rsid w:val="00580BF9"/>
    <w:rsid w:val="00580D2F"/>
    <w:rsid w:val="00581405"/>
    <w:rsid w:val="00582475"/>
    <w:rsid w:val="00582B71"/>
    <w:rsid w:val="00582CA1"/>
    <w:rsid w:val="00582DDB"/>
    <w:rsid w:val="005847D7"/>
    <w:rsid w:val="00584D16"/>
    <w:rsid w:val="00585110"/>
    <w:rsid w:val="0058557A"/>
    <w:rsid w:val="00585897"/>
    <w:rsid w:val="00586786"/>
    <w:rsid w:val="005868CC"/>
    <w:rsid w:val="00586E4D"/>
    <w:rsid w:val="00590CF2"/>
    <w:rsid w:val="00591BDD"/>
    <w:rsid w:val="0059209A"/>
    <w:rsid w:val="00592273"/>
    <w:rsid w:val="00592287"/>
    <w:rsid w:val="005925D5"/>
    <w:rsid w:val="00593468"/>
    <w:rsid w:val="00593A59"/>
    <w:rsid w:val="00593D9E"/>
    <w:rsid w:val="00593DF0"/>
    <w:rsid w:val="00596DFA"/>
    <w:rsid w:val="005977A3"/>
    <w:rsid w:val="00597D28"/>
    <w:rsid w:val="005A041B"/>
    <w:rsid w:val="005A0970"/>
    <w:rsid w:val="005A0F7F"/>
    <w:rsid w:val="005A13BB"/>
    <w:rsid w:val="005A1A3E"/>
    <w:rsid w:val="005A3198"/>
    <w:rsid w:val="005A33C5"/>
    <w:rsid w:val="005A38FC"/>
    <w:rsid w:val="005A43EB"/>
    <w:rsid w:val="005A57FA"/>
    <w:rsid w:val="005A620B"/>
    <w:rsid w:val="005A760F"/>
    <w:rsid w:val="005A7AB5"/>
    <w:rsid w:val="005B25F8"/>
    <w:rsid w:val="005B488C"/>
    <w:rsid w:val="005B4D72"/>
    <w:rsid w:val="005B6585"/>
    <w:rsid w:val="005B6634"/>
    <w:rsid w:val="005B6F1D"/>
    <w:rsid w:val="005C1228"/>
    <w:rsid w:val="005C210D"/>
    <w:rsid w:val="005C270A"/>
    <w:rsid w:val="005C337F"/>
    <w:rsid w:val="005C3B79"/>
    <w:rsid w:val="005C3D3C"/>
    <w:rsid w:val="005C498E"/>
    <w:rsid w:val="005C549C"/>
    <w:rsid w:val="005C674C"/>
    <w:rsid w:val="005C6C8F"/>
    <w:rsid w:val="005C72D7"/>
    <w:rsid w:val="005D2AFA"/>
    <w:rsid w:val="005D7573"/>
    <w:rsid w:val="005E0FDF"/>
    <w:rsid w:val="005E166E"/>
    <w:rsid w:val="005E1704"/>
    <w:rsid w:val="005E1B66"/>
    <w:rsid w:val="005E1E85"/>
    <w:rsid w:val="005E2EF6"/>
    <w:rsid w:val="005E525B"/>
    <w:rsid w:val="005E5C59"/>
    <w:rsid w:val="005E5D41"/>
    <w:rsid w:val="005E6BFF"/>
    <w:rsid w:val="005F07C6"/>
    <w:rsid w:val="005F2B26"/>
    <w:rsid w:val="005F2D8B"/>
    <w:rsid w:val="005F3916"/>
    <w:rsid w:val="005F4C2F"/>
    <w:rsid w:val="005F4C6D"/>
    <w:rsid w:val="005F4F7D"/>
    <w:rsid w:val="005F5423"/>
    <w:rsid w:val="005F5D04"/>
    <w:rsid w:val="005F5DA3"/>
    <w:rsid w:val="005F6770"/>
    <w:rsid w:val="005F6D2B"/>
    <w:rsid w:val="005F7651"/>
    <w:rsid w:val="00600163"/>
    <w:rsid w:val="00604190"/>
    <w:rsid w:val="00607AF8"/>
    <w:rsid w:val="006121ED"/>
    <w:rsid w:val="00612ED4"/>
    <w:rsid w:val="0061384E"/>
    <w:rsid w:val="0061397E"/>
    <w:rsid w:val="00613BF5"/>
    <w:rsid w:val="0061406C"/>
    <w:rsid w:val="006148C7"/>
    <w:rsid w:val="00614D68"/>
    <w:rsid w:val="006160DB"/>
    <w:rsid w:val="006167F3"/>
    <w:rsid w:val="00616F57"/>
    <w:rsid w:val="00620051"/>
    <w:rsid w:val="0062071C"/>
    <w:rsid w:val="00620B40"/>
    <w:rsid w:val="00622063"/>
    <w:rsid w:val="00623157"/>
    <w:rsid w:val="00623E38"/>
    <w:rsid w:val="0062418A"/>
    <w:rsid w:val="00625326"/>
    <w:rsid w:val="0062570E"/>
    <w:rsid w:val="00625D1E"/>
    <w:rsid w:val="006261B4"/>
    <w:rsid w:val="00626311"/>
    <w:rsid w:val="00626E0B"/>
    <w:rsid w:val="00627DC4"/>
    <w:rsid w:val="0063014F"/>
    <w:rsid w:val="0063118D"/>
    <w:rsid w:val="00631454"/>
    <w:rsid w:val="00632C67"/>
    <w:rsid w:val="006350F3"/>
    <w:rsid w:val="0063518B"/>
    <w:rsid w:val="006353F4"/>
    <w:rsid w:val="00635821"/>
    <w:rsid w:val="00635823"/>
    <w:rsid w:val="00635975"/>
    <w:rsid w:val="006361A1"/>
    <w:rsid w:val="00637C62"/>
    <w:rsid w:val="00640172"/>
    <w:rsid w:val="0064069A"/>
    <w:rsid w:val="0064153D"/>
    <w:rsid w:val="00642D61"/>
    <w:rsid w:val="00643946"/>
    <w:rsid w:val="00644D24"/>
    <w:rsid w:val="00645CCF"/>
    <w:rsid w:val="00646585"/>
    <w:rsid w:val="00646650"/>
    <w:rsid w:val="00647390"/>
    <w:rsid w:val="006473B6"/>
    <w:rsid w:val="006514D1"/>
    <w:rsid w:val="006526D5"/>
    <w:rsid w:val="00652C69"/>
    <w:rsid w:val="00653AE5"/>
    <w:rsid w:val="00653CEA"/>
    <w:rsid w:val="00654468"/>
    <w:rsid w:val="006549E4"/>
    <w:rsid w:val="00656189"/>
    <w:rsid w:val="00656E0B"/>
    <w:rsid w:val="006573B2"/>
    <w:rsid w:val="00660122"/>
    <w:rsid w:val="0066437D"/>
    <w:rsid w:val="00664F0B"/>
    <w:rsid w:val="0066500F"/>
    <w:rsid w:val="00665099"/>
    <w:rsid w:val="00665B8C"/>
    <w:rsid w:val="00665D27"/>
    <w:rsid w:val="00667BD4"/>
    <w:rsid w:val="00670EF3"/>
    <w:rsid w:val="00672994"/>
    <w:rsid w:val="00673C35"/>
    <w:rsid w:val="00673EB1"/>
    <w:rsid w:val="00675A2F"/>
    <w:rsid w:val="00675BC2"/>
    <w:rsid w:val="0067700B"/>
    <w:rsid w:val="0067739B"/>
    <w:rsid w:val="006779AC"/>
    <w:rsid w:val="00680E3C"/>
    <w:rsid w:val="00681331"/>
    <w:rsid w:val="00681E2F"/>
    <w:rsid w:val="00682FEF"/>
    <w:rsid w:val="00683602"/>
    <w:rsid w:val="0068394D"/>
    <w:rsid w:val="006861A2"/>
    <w:rsid w:val="00686563"/>
    <w:rsid w:val="00686C80"/>
    <w:rsid w:val="00687A0A"/>
    <w:rsid w:val="006905F1"/>
    <w:rsid w:val="0069188A"/>
    <w:rsid w:val="00691F38"/>
    <w:rsid w:val="00692540"/>
    <w:rsid w:val="006932C4"/>
    <w:rsid w:val="006934E6"/>
    <w:rsid w:val="006935AD"/>
    <w:rsid w:val="00694B41"/>
    <w:rsid w:val="006963B3"/>
    <w:rsid w:val="006A184D"/>
    <w:rsid w:val="006A233B"/>
    <w:rsid w:val="006A291E"/>
    <w:rsid w:val="006A36D5"/>
    <w:rsid w:val="006A4665"/>
    <w:rsid w:val="006A592F"/>
    <w:rsid w:val="006A5A24"/>
    <w:rsid w:val="006A7CC8"/>
    <w:rsid w:val="006B012A"/>
    <w:rsid w:val="006B05DF"/>
    <w:rsid w:val="006B0CDF"/>
    <w:rsid w:val="006B18FB"/>
    <w:rsid w:val="006B2316"/>
    <w:rsid w:val="006B3149"/>
    <w:rsid w:val="006B3292"/>
    <w:rsid w:val="006B538B"/>
    <w:rsid w:val="006B62C6"/>
    <w:rsid w:val="006B7282"/>
    <w:rsid w:val="006B77A6"/>
    <w:rsid w:val="006C0589"/>
    <w:rsid w:val="006C18BF"/>
    <w:rsid w:val="006C3AEB"/>
    <w:rsid w:val="006C3F8C"/>
    <w:rsid w:val="006C47DB"/>
    <w:rsid w:val="006C5C07"/>
    <w:rsid w:val="006C6347"/>
    <w:rsid w:val="006C73A4"/>
    <w:rsid w:val="006C7760"/>
    <w:rsid w:val="006D034F"/>
    <w:rsid w:val="006D15DE"/>
    <w:rsid w:val="006D401D"/>
    <w:rsid w:val="006D4878"/>
    <w:rsid w:val="006D5EDD"/>
    <w:rsid w:val="006D684B"/>
    <w:rsid w:val="006D68D9"/>
    <w:rsid w:val="006D6B3B"/>
    <w:rsid w:val="006D77CC"/>
    <w:rsid w:val="006E0C0E"/>
    <w:rsid w:val="006E1644"/>
    <w:rsid w:val="006E170B"/>
    <w:rsid w:val="006E2394"/>
    <w:rsid w:val="006E2617"/>
    <w:rsid w:val="006E403A"/>
    <w:rsid w:val="006E480B"/>
    <w:rsid w:val="006E4901"/>
    <w:rsid w:val="006E6427"/>
    <w:rsid w:val="006E7645"/>
    <w:rsid w:val="006E78AC"/>
    <w:rsid w:val="006F044D"/>
    <w:rsid w:val="006F158A"/>
    <w:rsid w:val="006F16B8"/>
    <w:rsid w:val="006F1D76"/>
    <w:rsid w:val="006F32D8"/>
    <w:rsid w:val="006F3380"/>
    <w:rsid w:val="006F3FA5"/>
    <w:rsid w:val="006F4A34"/>
    <w:rsid w:val="006F6F89"/>
    <w:rsid w:val="007014D7"/>
    <w:rsid w:val="0070244D"/>
    <w:rsid w:val="00702925"/>
    <w:rsid w:val="0070375B"/>
    <w:rsid w:val="00703B96"/>
    <w:rsid w:val="00703D6E"/>
    <w:rsid w:val="007048D7"/>
    <w:rsid w:val="00704E42"/>
    <w:rsid w:val="00705851"/>
    <w:rsid w:val="007063C7"/>
    <w:rsid w:val="0071054C"/>
    <w:rsid w:val="00710574"/>
    <w:rsid w:val="00711CB2"/>
    <w:rsid w:val="00712FFA"/>
    <w:rsid w:val="00713E6D"/>
    <w:rsid w:val="00717DC6"/>
    <w:rsid w:val="00720D4E"/>
    <w:rsid w:val="007213DC"/>
    <w:rsid w:val="007224A1"/>
    <w:rsid w:val="0072288B"/>
    <w:rsid w:val="00724805"/>
    <w:rsid w:val="00725DBC"/>
    <w:rsid w:val="00727B84"/>
    <w:rsid w:val="00731EE7"/>
    <w:rsid w:val="00737E0A"/>
    <w:rsid w:val="00741F79"/>
    <w:rsid w:val="007427D0"/>
    <w:rsid w:val="00744FF7"/>
    <w:rsid w:val="007454BB"/>
    <w:rsid w:val="00745900"/>
    <w:rsid w:val="00746058"/>
    <w:rsid w:val="00747906"/>
    <w:rsid w:val="00747B2D"/>
    <w:rsid w:val="0075035F"/>
    <w:rsid w:val="007507D1"/>
    <w:rsid w:val="00750B42"/>
    <w:rsid w:val="00751AC4"/>
    <w:rsid w:val="00752E23"/>
    <w:rsid w:val="0075328D"/>
    <w:rsid w:val="00756F2A"/>
    <w:rsid w:val="00757BE2"/>
    <w:rsid w:val="00757FF1"/>
    <w:rsid w:val="007601A3"/>
    <w:rsid w:val="00760BD6"/>
    <w:rsid w:val="007621EB"/>
    <w:rsid w:val="007626BD"/>
    <w:rsid w:val="007627D5"/>
    <w:rsid w:val="00762BE5"/>
    <w:rsid w:val="00763D08"/>
    <w:rsid w:val="00764FFE"/>
    <w:rsid w:val="007664A6"/>
    <w:rsid w:val="00771336"/>
    <w:rsid w:val="007720D9"/>
    <w:rsid w:val="00772866"/>
    <w:rsid w:val="00772B43"/>
    <w:rsid w:val="00773272"/>
    <w:rsid w:val="0077438B"/>
    <w:rsid w:val="007744B5"/>
    <w:rsid w:val="00774876"/>
    <w:rsid w:val="007757FF"/>
    <w:rsid w:val="00776433"/>
    <w:rsid w:val="0077664D"/>
    <w:rsid w:val="00776FFA"/>
    <w:rsid w:val="00777610"/>
    <w:rsid w:val="00780CB5"/>
    <w:rsid w:val="00782376"/>
    <w:rsid w:val="00782715"/>
    <w:rsid w:val="00782F18"/>
    <w:rsid w:val="007838C1"/>
    <w:rsid w:val="00784105"/>
    <w:rsid w:val="00784E13"/>
    <w:rsid w:val="00784E84"/>
    <w:rsid w:val="007850F0"/>
    <w:rsid w:val="007910E9"/>
    <w:rsid w:val="00791526"/>
    <w:rsid w:val="007930A0"/>
    <w:rsid w:val="0079431E"/>
    <w:rsid w:val="00794792"/>
    <w:rsid w:val="00795744"/>
    <w:rsid w:val="00795BE5"/>
    <w:rsid w:val="00796E49"/>
    <w:rsid w:val="00797578"/>
    <w:rsid w:val="007A002D"/>
    <w:rsid w:val="007A0520"/>
    <w:rsid w:val="007A0C99"/>
    <w:rsid w:val="007A1E40"/>
    <w:rsid w:val="007A261E"/>
    <w:rsid w:val="007A4123"/>
    <w:rsid w:val="007A5A0D"/>
    <w:rsid w:val="007A76CD"/>
    <w:rsid w:val="007B0E65"/>
    <w:rsid w:val="007B3912"/>
    <w:rsid w:val="007B3AA5"/>
    <w:rsid w:val="007B3D14"/>
    <w:rsid w:val="007B423C"/>
    <w:rsid w:val="007B5836"/>
    <w:rsid w:val="007B5FC9"/>
    <w:rsid w:val="007B714D"/>
    <w:rsid w:val="007C0F73"/>
    <w:rsid w:val="007C25BE"/>
    <w:rsid w:val="007C3CAF"/>
    <w:rsid w:val="007C74F5"/>
    <w:rsid w:val="007C7D7E"/>
    <w:rsid w:val="007D26A2"/>
    <w:rsid w:val="007D282C"/>
    <w:rsid w:val="007D2A33"/>
    <w:rsid w:val="007D5566"/>
    <w:rsid w:val="007D589A"/>
    <w:rsid w:val="007D5DC1"/>
    <w:rsid w:val="007D6DE6"/>
    <w:rsid w:val="007E00A9"/>
    <w:rsid w:val="007E0BBC"/>
    <w:rsid w:val="007E349D"/>
    <w:rsid w:val="007E54F4"/>
    <w:rsid w:val="007E55B4"/>
    <w:rsid w:val="007E6527"/>
    <w:rsid w:val="007E6BDD"/>
    <w:rsid w:val="007E7667"/>
    <w:rsid w:val="007E79D4"/>
    <w:rsid w:val="007E7C70"/>
    <w:rsid w:val="007F110E"/>
    <w:rsid w:val="007F1890"/>
    <w:rsid w:val="007F4E15"/>
    <w:rsid w:val="007F5EA0"/>
    <w:rsid w:val="00800BD4"/>
    <w:rsid w:val="00801B1F"/>
    <w:rsid w:val="00803CB0"/>
    <w:rsid w:val="00805C61"/>
    <w:rsid w:val="00807C05"/>
    <w:rsid w:val="00810E91"/>
    <w:rsid w:val="008110A3"/>
    <w:rsid w:val="00811BD8"/>
    <w:rsid w:val="00813292"/>
    <w:rsid w:val="00813FD7"/>
    <w:rsid w:val="00814518"/>
    <w:rsid w:val="0081531C"/>
    <w:rsid w:val="0081559E"/>
    <w:rsid w:val="00817395"/>
    <w:rsid w:val="008204CB"/>
    <w:rsid w:val="00820C6C"/>
    <w:rsid w:val="00821DB1"/>
    <w:rsid w:val="00822312"/>
    <w:rsid w:val="00822822"/>
    <w:rsid w:val="00824B41"/>
    <w:rsid w:val="00826273"/>
    <w:rsid w:val="00830BA5"/>
    <w:rsid w:val="00832286"/>
    <w:rsid w:val="00833ACE"/>
    <w:rsid w:val="008345D0"/>
    <w:rsid w:val="00834848"/>
    <w:rsid w:val="008358E4"/>
    <w:rsid w:val="00835C23"/>
    <w:rsid w:val="00836446"/>
    <w:rsid w:val="008366FB"/>
    <w:rsid w:val="00836E82"/>
    <w:rsid w:val="00837972"/>
    <w:rsid w:val="00837BAB"/>
    <w:rsid w:val="00842142"/>
    <w:rsid w:val="00844415"/>
    <w:rsid w:val="008448DC"/>
    <w:rsid w:val="00844B3E"/>
    <w:rsid w:val="00846E9E"/>
    <w:rsid w:val="00846EDE"/>
    <w:rsid w:val="0084723C"/>
    <w:rsid w:val="00847F75"/>
    <w:rsid w:val="00850284"/>
    <w:rsid w:val="0085056A"/>
    <w:rsid w:val="0085088D"/>
    <w:rsid w:val="0085092A"/>
    <w:rsid w:val="00851028"/>
    <w:rsid w:val="0085299E"/>
    <w:rsid w:val="00852C3A"/>
    <w:rsid w:val="00854253"/>
    <w:rsid w:val="008564AF"/>
    <w:rsid w:val="008566B6"/>
    <w:rsid w:val="00860B1E"/>
    <w:rsid w:val="008627DC"/>
    <w:rsid w:val="0086296E"/>
    <w:rsid w:val="008638DA"/>
    <w:rsid w:val="0086426E"/>
    <w:rsid w:val="00864B08"/>
    <w:rsid w:val="00864BAD"/>
    <w:rsid w:val="008658A7"/>
    <w:rsid w:val="00866770"/>
    <w:rsid w:val="00866847"/>
    <w:rsid w:val="008672CD"/>
    <w:rsid w:val="00870D32"/>
    <w:rsid w:val="00870E3D"/>
    <w:rsid w:val="008712D9"/>
    <w:rsid w:val="00871C5B"/>
    <w:rsid w:val="00874E46"/>
    <w:rsid w:val="00875C44"/>
    <w:rsid w:val="0088333A"/>
    <w:rsid w:val="008843ED"/>
    <w:rsid w:val="00884CB6"/>
    <w:rsid w:val="00885704"/>
    <w:rsid w:val="008859B2"/>
    <w:rsid w:val="00885C35"/>
    <w:rsid w:val="00890A12"/>
    <w:rsid w:val="00890F88"/>
    <w:rsid w:val="008914ED"/>
    <w:rsid w:val="00892E4B"/>
    <w:rsid w:val="00894665"/>
    <w:rsid w:val="00895788"/>
    <w:rsid w:val="0089615B"/>
    <w:rsid w:val="00896384"/>
    <w:rsid w:val="0089674B"/>
    <w:rsid w:val="0089742F"/>
    <w:rsid w:val="0089785B"/>
    <w:rsid w:val="008A0DE4"/>
    <w:rsid w:val="008A14DB"/>
    <w:rsid w:val="008A1E71"/>
    <w:rsid w:val="008A21CF"/>
    <w:rsid w:val="008A4123"/>
    <w:rsid w:val="008A4E05"/>
    <w:rsid w:val="008A5951"/>
    <w:rsid w:val="008A598C"/>
    <w:rsid w:val="008A5C92"/>
    <w:rsid w:val="008A5CA0"/>
    <w:rsid w:val="008A5CC9"/>
    <w:rsid w:val="008A7845"/>
    <w:rsid w:val="008B034A"/>
    <w:rsid w:val="008B0496"/>
    <w:rsid w:val="008B238E"/>
    <w:rsid w:val="008B337D"/>
    <w:rsid w:val="008B38B3"/>
    <w:rsid w:val="008B695F"/>
    <w:rsid w:val="008B6EAE"/>
    <w:rsid w:val="008C03ED"/>
    <w:rsid w:val="008C1CC3"/>
    <w:rsid w:val="008C393A"/>
    <w:rsid w:val="008C3994"/>
    <w:rsid w:val="008C3F4D"/>
    <w:rsid w:val="008C4069"/>
    <w:rsid w:val="008C44DD"/>
    <w:rsid w:val="008C7191"/>
    <w:rsid w:val="008C7276"/>
    <w:rsid w:val="008D06BF"/>
    <w:rsid w:val="008D1899"/>
    <w:rsid w:val="008D19B2"/>
    <w:rsid w:val="008D3E94"/>
    <w:rsid w:val="008D4EF1"/>
    <w:rsid w:val="008D712E"/>
    <w:rsid w:val="008D737E"/>
    <w:rsid w:val="008D7C0D"/>
    <w:rsid w:val="008D7D74"/>
    <w:rsid w:val="008E0212"/>
    <w:rsid w:val="008E049E"/>
    <w:rsid w:val="008E43A4"/>
    <w:rsid w:val="008E4CFF"/>
    <w:rsid w:val="008E4E26"/>
    <w:rsid w:val="008E6558"/>
    <w:rsid w:val="008E73C7"/>
    <w:rsid w:val="008F15EC"/>
    <w:rsid w:val="008F433E"/>
    <w:rsid w:val="008F4687"/>
    <w:rsid w:val="008F6E53"/>
    <w:rsid w:val="008F7EB2"/>
    <w:rsid w:val="00900C68"/>
    <w:rsid w:val="00900D99"/>
    <w:rsid w:val="00901B2A"/>
    <w:rsid w:val="00902D00"/>
    <w:rsid w:val="00904097"/>
    <w:rsid w:val="00904D21"/>
    <w:rsid w:val="009058D9"/>
    <w:rsid w:val="009063DF"/>
    <w:rsid w:val="009079ED"/>
    <w:rsid w:val="0091346E"/>
    <w:rsid w:val="00913C3B"/>
    <w:rsid w:val="00913E7D"/>
    <w:rsid w:val="00914EC6"/>
    <w:rsid w:val="00916438"/>
    <w:rsid w:val="00916808"/>
    <w:rsid w:val="00917D48"/>
    <w:rsid w:val="009201EA"/>
    <w:rsid w:val="009203F4"/>
    <w:rsid w:val="00922BC9"/>
    <w:rsid w:val="0092364D"/>
    <w:rsid w:val="0092395B"/>
    <w:rsid w:val="00923B64"/>
    <w:rsid w:val="00924A1D"/>
    <w:rsid w:val="00925199"/>
    <w:rsid w:val="00925591"/>
    <w:rsid w:val="009256EF"/>
    <w:rsid w:val="009257D3"/>
    <w:rsid w:val="00925993"/>
    <w:rsid w:val="00931F02"/>
    <w:rsid w:val="00932E10"/>
    <w:rsid w:val="00932FA9"/>
    <w:rsid w:val="00934088"/>
    <w:rsid w:val="00935A99"/>
    <w:rsid w:val="00936A4B"/>
    <w:rsid w:val="00940A61"/>
    <w:rsid w:val="00940E76"/>
    <w:rsid w:val="00941851"/>
    <w:rsid w:val="00942308"/>
    <w:rsid w:val="009427C8"/>
    <w:rsid w:val="00942AB2"/>
    <w:rsid w:val="00942DA0"/>
    <w:rsid w:val="009447C4"/>
    <w:rsid w:val="00946088"/>
    <w:rsid w:val="00947E9C"/>
    <w:rsid w:val="00950EA2"/>
    <w:rsid w:val="00951C3C"/>
    <w:rsid w:val="00952A2C"/>
    <w:rsid w:val="00953E14"/>
    <w:rsid w:val="009548DF"/>
    <w:rsid w:val="0095695E"/>
    <w:rsid w:val="00956E52"/>
    <w:rsid w:val="009573A3"/>
    <w:rsid w:val="00957E77"/>
    <w:rsid w:val="009601B8"/>
    <w:rsid w:val="00960FEE"/>
    <w:rsid w:val="00962377"/>
    <w:rsid w:val="009633B6"/>
    <w:rsid w:val="009640FB"/>
    <w:rsid w:val="00965159"/>
    <w:rsid w:val="009652D2"/>
    <w:rsid w:val="009672C4"/>
    <w:rsid w:val="00967AAF"/>
    <w:rsid w:val="0097043F"/>
    <w:rsid w:val="00972F3F"/>
    <w:rsid w:val="00974392"/>
    <w:rsid w:val="00974F6E"/>
    <w:rsid w:val="009767B2"/>
    <w:rsid w:val="00976956"/>
    <w:rsid w:val="00976AF3"/>
    <w:rsid w:val="00976E08"/>
    <w:rsid w:val="009771A1"/>
    <w:rsid w:val="00977FEE"/>
    <w:rsid w:val="00980C54"/>
    <w:rsid w:val="009814AC"/>
    <w:rsid w:val="0098184D"/>
    <w:rsid w:val="00982065"/>
    <w:rsid w:val="009827C2"/>
    <w:rsid w:val="00982977"/>
    <w:rsid w:val="009832D6"/>
    <w:rsid w:val="00983318"/>
    <w:rsid w:val="00983819"/>
    <w:rsid w:val="00983DE3"/>
    <w:rsid w:val="00984FAC"/>
    <w:rsid w:val="00986790"/>
    <w:rsid w:val="00990093"/>
    <w:rsid w:val="00990B54"/>
    <w:rsid w:val="00991448"/>
    <w:rsid w:val="009917EF"/>
    <w:rsid w:val="00991907"/>
    <w:rsid w:val="00992282"/>
    <w:rsid w:val="009923F8"/>
    <w:rsid w:val="00992C02"/>
    <w:rsid w:val="00993346"/>
    <w:rsid w:val="00993FE1"/>
    <w:rsid w:val="009947DF"/>
    <w:rsid w:val="00994BCF"/>
    <w:rsid w:val="00994C80"/>
    <w:rsid w:val="00995280"/>
    <w:rsid w:val="009952C2"/>
    <w:rsid w:val="00995DAD"/>
    <w:rsid w:val="0099682D"/>
    <w:rsid w:val="00997665"/>
    <w:rsid w:val="009A0D27"/>
    <w:rsid w:val="009A1F57"/>
    <w:rsid w:val="009A2F4E"/>
    <w:rsid w:val="009A363B"/>
    <w:rsid w:val="009A3849"/>
    <w:rsid w:val="009A40F4"/>
    <w:rsid w:val="009A42CA"/>
    <w:rsid w:val="009A4A47"/>
    <w:rsid w:val="009A5222"/>
    <w:rsid w:val="009A5509"/>
    <w:rsid w:val="009A570D"/>
    <w:rsid w:val="009B0195"/>
    <w:rsid w:val="009B04CF"/>
    <w:rsid w:val="009B2616"/>
    <w:rsid w:val="009B2C1A"/>
    <w:rsid w:val="009B3C17"/>
    <w:rsid w:val="009B4093"/>
    <w:rsid w:val="009B47CC"/>
    <w:rsid w:val="009B5691"/>
    <w:rsid w:val="009B5E49"/>
    <w:rsid w:val="009B6904"/>
    <w:rsid w:val="009B7B25"/>
    <w:rsid w:val="009B7C8C"/>
    <w:rsid w:val="009C10F4"/>
    <w:rsid w:val="009C2120"/>
    <w:rsid w:val="009C3732"/>
    <w:rsid w:val="009C6493"/>
    <w:rsid w:val="009C6BB2"/>
    <w:rsid w:val="009C754D"/>
    <w:rsid w:val="009D01BE"/>
    <w:rsid w:val="009D10F8"/>
    <w:rsid w:val="009D2B29"/>
    <w:rsid w:val="009D304E"/>
    <w:rsid w:val="009D3597"/>
    <w:rsid w:val="009D3F49"/>
    <w:rsid w:val="009D4DBC"/>
    <w:rsid w:val="009D5B6F"/>
    <w:rsid w:val="009D5BFB"/>
    <w:rsid w:val="009D6669"/>
    <w:rsid w:val="009D6742"/>
    <w:rsid w:val="009D70A6"/>
    <w:rsid w:val="009D75E4"/>
    <w:rsid w:val="009D7BD1"/>
    <w:rsid w:val="009E092F"/>
    <w:rsid w:val="009E0D44"/>
    <w:rsid w:val="009E1485"/>
    <w:rsid w:val="009E2E53"/>
    <w:rsid w:val="009E42A2"/>
    <w:rsid w:val="009E44C0"/>
    <w:rsid w:val="009E57D3"/>
    <w:rsid w:val="009E5EF2"/>
    <w:rsid w:val="009E6BC1"/>
    <w:rsid w:val="009E6E8E"/>
    <w:rsid w:val="009F159B"/>
    <w:rsid w:val="009F1D81"/>
    <w:rsid w:val="009F3EDA"/>
    <w:rsid w:val="009F3F26"/>
    <w:rsid w:val="009F599E"/>
    <w:rsid w:val="009F7C04"/>
    <w:rsid w:val="009F7ED7"/>
    <w:rsid w:val="00A0021A"/>
    <w:rsid w:val="00A00501"/>
    <w:rsid w:val="00A00568"/>
    <w:rsid w:val="00A016B5"/>
    <w:rsid w:val="00A01B1A"/>
    <w:rsid w:val="00A02709"/>
    <w:rsid w:val="00A0323D"/>
    <w:rsid w:val="00A043BD"/>
    <w:rsid w:val="00A061EB"/>
    <w:rsid w:val="00A073F4"/>
    <w:rsid w:val="00A07C00"/>
    <w:rsid w:val="00A10538"/>
    <w:rsid w:val="00A10E2D"/>
    <w:rsid w:val="00A126DF"/>
    <w:rsid w:val="00A142F7"/>
    <w:rsid w:val="00A147D2"/>
    <w:rsid w:val="00A14C26"/>
    <w:rsid w:val="00A15EBD"/>
    <w:rsid w:val="00A17188"/>
    <w:rsid w:val="00A17FC5"/>
    <w:rsid w:val="00A200B3"/>
    <w:rsid w:val="00A21737"/>
    <w:rsid w:val="00A21A7B"/>
    <w:rsid w:val="00A2641F"/>
    <w:rsid w:val="00A26B05"/>
    <w:rsid w:val="00A26CBC"/>
    <w:rsid w:val="00A2742F"/>
    <w:rsid w:val="00A27687"/>
    <w:rsid w:val="00A278A6"/>
    <w:rsid w:val="00A31457"/>
    <w:rsid w:val="00A33DD8"/>
    <w:rsid w:val="00A3745B"/>
    <w:rsid w:val="00A376C3"/>
    <w:rsid w:val="00A379EC"/>
    <w:rsid w:val="00A418C5"/>
    <w:rsid w:val="00A42C9C"/>
    <w:rsid w:val="00A437D1"/>
    <w:rsid w:val="00A43F81"/>
    <w:rsid w:val="00A449C3"/>
    <w:rsid w:val="00A44C6D"/>
    <w:rsid w:val="00A51BDD"/>
    <w:rsid w:val="00A51C74"/>
    <w:rsid w:val="00A52189"/>
    <w:rsid w:val="00A52A32"/>
    <w:rsid w:val="00A537BC"/>
    <w:rsid w:val="00A564C7"/>
    <w:rsid w:val="00A56518"/>
    <w:rsid w:val="00A566F3"/>
    <w:rsid w:val="00A57282"/>
    <w:rsid w:val="00A57EA5"/>
    <w:rsid w:val="00A6049A"/>
    <w:rsid w:val="00A6105A"/>
    <w:rsid w:val="00A61821"/>
    <w:rsid w:val="00A622FA"/>
    <w:rsid w:val="00A62B7E"/>
    <w:rsid w:val="00A63CC0"/>
    <w:rsid w:val="00A64B4D"/>
    <w:rsid w:val="00A651F3"/>
    <w:rsid w:val="00A65B5B"/>
    <w:rsid w:val="00A671EC"/>
    <w:rsid w:val="00A6746F"/>
    <w:rsid w:val="00A67561"/>
    <w:rsid w:val="00A6775F"/>
    <w:rsid w:val="00A67D3C"/>
    <w:rsid w:val="00A734B9"/>
    <w:rsid w:val="00A75CBB"/>
    <w:rsid w:val="00A7717F"/>
    <w:rsid w:val="00A77DD6"/>
    <w:rsid w:val="00A806BF"/>
    <w:rsid w:val="00A8192F"/>
    <w:rsid w:val="00A83424"/>
    <w:rsid w:val="00A83AD9"/>
    <w:rsid w:val="00A8429B"/>
    <w:rsid w:val="00A8462F"/>
    <w:rsid w:val="00A84697"/>
    <w:rsid w:val="00A862CA"/>
    <w:rsid w:val="00A8636B"/>
    <w:rsid w:val="00A87EF2"/>
    <w:rsid w:val="00A91D02"/>
    <w:rsid w:val="00A92247"/>
    <w:rsid w:val="00A92855"/>
    <w:rsid w:val="00A950A4"/>
    <w:rsid w:val="00A95756"/>
    <w:rsid w:val="00A95D00"/>
    <w:rsid w:val="00A97BEB"/>
    <w:rsid w:val="00AA0873"/>
    <w:rsid w:val="00AA311B"/>
    <w:rsid w:val="00AA367F"/>
    <w:rsid w:val="00AA3D87"/>
    <w:rsid w:val="00AA7E9F"/>
    <w:rsid w:val="00AB21B1"/>
    <w:rsid w:val="00AB3226"/>
    <w:rsid w:val="00AB324F"/>
    <w:rsid w:val="00AB3DD6"/>
    <w:rsid w:val="00AB57B6"/>
    <w:rsid w:val="00AB61BD"/>
    <w:rsid w:val="00AB660D"/>
    <w:rsid w:val="00AB7AE4"/>
    <w:rsid w:val="00AC0CCB"/>
    <w:rsid w:val="00AC0E88"/>
    <w:rsid w:val="00AC17B8"/>
    <w:rsid w:val="00AC1DA6"/>
    <w:rsid w:val="00AC20D2"/>
    <w:rsid w:val="00AC27E4"/>
    <w:rsid w:val="00AC2DF8"/>
    <w:rsid w:val="00AC3C61"/>
    <w:rsid w:val="00AC4486"/>
    <w:rsid w:val="00AC47BE"/>
    <w:rsid w:val="00AC4ACD"/>
    <w:rsid w:val="00AC4C65"/>
    <w:rsid w:val="00AC52B7"/>
    <w:rsid w:val="00AC59A5"/>
    <w:rsid w:val="00AC5D29"/>
    <w:rsid w:val="00AC6A72"/>
    <w:rsid w:val="00AD1090"/>
    <w:rsid w:val="00AD16B2"/>
    <w:rsid w:val="00AD4B17"/>
    <w:rsid w:val="00AD4EAA"/>
    <w:rsid w:val="00AD5985"/>
    <w:rsid w:val="00AD6B26"/>
    <w:rsid w:val="00AD7350"/>
    <w:rsid w:val="00AD740E"/>
    <w:rsid w:val="00AD7770"/>
    <w:rsid w:val="00AE0463"/>
    <w:rsid w:val="00AE0F0B"/>
    <w:rsid w:val="00AE23BB"/>
    <w:rsid w:val="00AE3471"/>
    <w:rsid w:val="00AE4324"/>
    <w:rsid w:val="00AE5583"/>
    <w:rsid w:val="00AE6213"/>
    <w:rsid w:val="00AF094B"/>
    <w:rsid w:val="00AF25B4"/>
    <w:rsid w:val="00AF28CF"/>
    <w:rsid w:val="00AF33AE"/>
    <w:rsid w:val="00AF5198"/>
    <w:rsid w:val="00AF54EE"/>
    <w:rsid w:val="00AF552E"/>
    <w:rsid w:val="00AF601C"/>
    <w:rsid w:val="00AF6ABE"/>
    <w:rsid w:val="00AF6C08"/>
    <w:rsid w:val="00AF7E1D"/>
    <w:rsid w:val="00B0014C"/>
    <w:rsid w:val="00B00897"/>
    <w:rsid w:val="00B013CE"/>
    <w:rsid w:val="00B015E9"/>
    <w:rsid w:val="00B01EBA"/>
    <w:rsid w:val="00B026BC"/>
    <w:rsid w:val="00B031E5"/>
    <w:rsid w:val="00B0405B"/>
    <w:rsid w:val="00B047D7"/>
    <w:rsid w:val="00B04E3C"/>
    <w:rsid w:val="00B05CCC"/>
    <w:rsid w:val="00B062FE"/>
    <w:rsid w:val="00B10125"/>
    <w:rsid w:val="00B1097B"/>
    <w:rsid w:val="00B10A15"/>
    <w:rsid w:val="00B10A28"/>
    <w:rsid w:val="00B10E62"/>
    <w:rsid w:val="00B148E7"/>
    <w:rsid w:val="00B17ADA"/>
    <w:rsid w:val="00B21782"/>
    <w:rsid w:val="00B21BDA"/>
    <w:rsid w:val="00B22496"/>
    <w:rsid w:val="00B2294B"/>
    <w:rsid w:val="00B23537"/>
    <w:rsid w:val="00B24A71"/>
    <w:rsid w:val="00B267C2"/>
    <w:rsid w:val="00B26A16"/>
    <w:rsid w:val="00B26F09"/>
    <w:rsid w:val="00B27B09"/>
    <w:rsid w:val="00B32F5B"/>
    <w:rsid w:val="00B33A49"/>
    <w:rsid w:val="00B33CCA"/>
    <w:rsid w:val="00B36697"/>
    <w:rsid w:val="00B41998"/>
    <w:rsid w:val="00B4223B"/>
    <w:rsid w:val="00B43ABE"/>
    <w:rsid w:val="00B44DE0"/>
    <w:rsid w:val="00B4587D"/>
    <w:rsid w:val="00B45C2B"/>
    <w:rsid w:val="00B46237"/>
    <w:rsid w:val="00B473B9"/>
    <w:rsid w:val="00B47E5B"/>
    <w:rsid w:val="00B51FEB"/>
    <w:rsid w:val="00B530DD"/>
    <w:rsid w:val="00B53198"/>
    <w:rsid w:val="00B53C08"/>
    <w:rsid w:val="00B54330"/>
    <w:rsid w:val="00B54676"/>
    <w:rsid w:val="00B54FEB"/>
    <w:rsid w:val="00B54FFD"/>
    <w:rsid w:val="00B555BF"/>
    <w:rsid w:val="00B555EE"/>
    <w:rsid w:val="00B555F4"/>
    <w:rsid w:val="00B6090C"/>
    <w:rsid w:val="00B60AF5"/>
    <w:rsid w:val="00B6229C"/>
    <w:rsid w:val="00B626CE"/>
    <w:rsid w:val="00B62B0F"/>
    <w:rsid w:val="00B6326E"/>
    <w:rsid w:val="00B63AD3"/>
    <w:rsid w:val="00B64525"/>
    <w:rsid w:val="00B6775F"/>
    <w:rsid w:val="00B7165F"/>
    <w:rsid w:val="00B71A0A"/>
    <w:rsid w:val="00B71AA7"/>
    <w:rsid w:val="00B720DE"/>
    <w:rsid w:val="00B72154"/>
    <w:rsid w:val="00B729C7"/>
    <w:rsid w:val="00B735B9"/>
    <w:rsid w:val="00B750E9"/>
    <w:rsid w:val="00B75927"/>
    <w:rsid w:val="00B75EDE"/>
    <w:rsid w:val="00B76732"/>
    <w:rsid w:val="00B770C0"/>
    <w:rsid w:val="00B82839"/>
    <w:rsid w:val="00B8350E"/>
    <w:rsid w:val="00B84970"/>
    <w:rsid w:val="00B84E38"/>
    <w:rsid w:val="00B85390"/>
    <w:rsid w:val="00B86D4F"/>
    <w:rsid w:val="00B878B1"/>
    <w:rsid w:val="00B87B55"/>
    <w:rsid w:val="00B87FE9"/>
    <w:rsid w:val="00B906E6"/>
    <w:rsid w:val="00B90772"/>
    <w:rsid w:val="00B9111A"/>
    <w:rsid w:val="00B9118D"/>
    <w:rsid w:val="00B91407"/>
    <w:rsid w:val="00B91A4A"/>
    <w:rsid w:val="00B9371D"/>
    <w:rsid w:val="00B93898"/>
    <w:rsid w:val="00B93A23"/>
    <w:rsid w:val="00B949CB"/>
    <w:rsid w:val="00B94CFB"/>
    <w:rsid w:val="00B95A2E"/>
    <w:rsid w:val="00B96EED"/>
    <w:rsid w:val="00B97886"/>
    <w:rsid w:val="00B979EE"/>
    <w:rsid w:val="00BA1132"/>
    <w:rsid w:val="00BA4987"/>
    <w:rsid w:val="00BA4F6E"/>
    <w:rsid w:val="00BA6981"/>
    <w:rsid w:val="00BA78C4"/>
    <w:rsid w:val="00BB040F"/>
    <w:rsid w:val="00BB2799"/>
    <w:rsid w:val="00BB2857"/>
    <w:rsid w:val="00BB3053"/>
    <w:rsid w:val="00BB5733"/>
    <w:rsid w:val="00BB6393"/>
    <w:rsid w:val="00BB70D1"/>
    <w:rsid w:val="00BC0693"/>
    <w:rsid w:val="00BC20C1"/>
    <w:rsid w:val="00BC4409"/>
    <w:rsid w:val="00BC4F86"/>
    <w:rsid w:val="00BC56D5"/>
    <w:rsid w:val="00BC56FC"/>
    <w:rsid w:val="00BD0B0F"/>
    <w:rsid w:val="00BD337C"/>
    <w:rsid w:val="00BD33F5"/>
    <w:rsid w:val="00BD37DD"/>
    <w:rsid w:val="00BD3A2B"/>
    <w:rsid w:val="00BD4028"/>
    <w:rsid w:val="00BD47BF"/>
    <w:rsid w:val="00BD4B16"/>
    <w:rsid w:val="00BD4C05"/>
    <w:rsid w:val="00BD5136"/>
    <w:rsid w:val="00BD5517"/>
    <w:rsid w:val="00BD64FD"/>
    <w:rsid w:val="00BD6F63"/>
    <w:rsid w:val="00BE1043"/>
    <w:rsid w:val="00BE111C"/>
    <w:rsid w:val="00BE1778"/>
    <w:rsid w:val="00BE1BB7"/>
    <w:rsid w:val="00BE1F08"/>
    <w:rsid w:val="00BE28E7"/>
    <w:rsid w:val="00BE3539"/>
    <w:rsid w:val="00BE3F06"/>
    <w:rsid w:val="00BE75BD"/>
    <w:rsid w:val="00BF01B5"/>
    <w:rsid w:val="00BF119F"/>
    <w:rsid w:val="00BF1542"/>
    <w:rsid w:val="00BF1780"/>
    <w:rsid w:val="00BF33A1"/>
    <w:rsid w:val="00BF39D8"/>
    <w:rsid w:val="00BF3A26"/>
    <w:rsid w:val="00BF46AC"/>
    <w:rsid w:val="00BF5B35"/>
    <w:rsid w:val="00BF62D0"/>
    <w:rsid w:val="00BF692E"/>
    <w:rsid w:val="00BF750A"/>
    <w:rsid w:val="00C0049C"/>
    <w:rsid w:val="00C03DB1"/>
    <w:rsid w:val="00C0476C"/>
    <w:rsid w:val="00C05162"/>
    <w:rsid w:val="00C055A7"/>
    <w:rsid w:val="00C07058"/>
    <w:rsid w:val="00C07286"/>
    <w:rsid w:val="00C079AB"/>
    <w:rsid w:val="00C103D9"/>
    <w:rsid w:val="00C10448"/>
    <w:rsid w:val="00C108E2"/>
    <w:rsid w:val="00C10EDD"/>
    <w:rsid w:val="00C11F76"/>
    <w:rsid w:val="00C15BB0"/>
    <w:rsid w:val="00C162B8"/>
    <w:rsid w:val="00C168E1"/>
    <w:rsid w:val="00C17418"/>
    <w:rsid w:val="00C17FD4"/>
    <w:rsid w:val="00C2041F"/>
    <w:rsid w:val="00C212BB"/>
    <w:rsid w:val="00C244B9"/>
    <w:rsid w:val="00C251A4"/>
    <w:rsid w:val="00C259A2"/>
    <w:rsid w:val="00C25ACF"/>
    <w:rsid w:val="00C25D22"/>
    <w:rsid w:val="00C26F4E"/>
    <w:rsid w:val="00C275ED"/>
    <w:rsid w:val="00C3018D"/>
    <w:rsid w:val="00C32010"/>
    <w:rsid w:val="00C3438B"/>
    <w:rsid w:val="00C3736D"/>
    <w:rsid w:val="00C4098F"/>
    <w:rsid w:val="00C40BB6"/>
    <w:rsid w:val="00C41157"/>
    <w:rsid w:val="00C425C6"/>
    <w:rsid w:val="00C42A35"/>
    <w:rsid w:val="00C46109"/>
    <w:rsid w:val="00C46AD4"/>
    <w:rsid w:val="00C46F54"/>
    <w:rsid w:val="00C52565"/>
    <w:rsid w:val="00C52DBD"/>
    <w:rsid w:val="00C53A16"/>
    <w:rsid w:val="00C54C91"/>
    <w:rsid w:val="00C54E7F"/>
    <w:rsid w:val="00C57034"/>
    <w:rsid w:val="00C60F9E"/>
    <w:rsid w:val="00C60FB4"/>
    <w:rsid w:val="00C612F0"/>
    <w:rsid w:val="00C61B36"/>
    <w:rsid w:val="00C630BB"/>
    <w:rsid w:val="00C63A09"/>
    <w:rsid w:val="00C64294"/>
    <w:rsid w:val="00C64B9D"/>
    <w:rsid w:val="00C65F0C"/>
    <w:rsid w:val="00C6710B"/>
    <w:rsid w:val="00C71239"/>
    <w:rsid w:val="00C7161C"/>
    <w:rsid w:val="00C73040"/>
    <w:rsid w:val="00C730C9"/>
    <w:rsid w:val="00C736EC"/>
    <w:rsid w:val="00C74C2B"/>
    <w:rsid w:val="00C7641B"/>
    <w:rsid w:val="00C77592"/>
    <w:rsid w:val="00C81713"/>
    <w:rsid w:val="00C85DD7"/>
    <w:rsid w:val="00C860C8"/>
    <w:rsid w:val="00C87D55"/>
    <w:rsid w:val="00C90638"/>
    <w:rsid w:val="00C91451"/>
    <w:rsid w:val="00C919AF"/>
    <w:rsid w:val="00C925AE"/>
    <w:rsid w:val="00C96F66"/>
    <w:rsid w:val="00CA12EC"/>
    <w:rsid w:val="00CA199B"/>
    <w:rsid w:val="00CA1A23"/>
    <w:rsid w:val="00CA4ACD"/>
    <w:rsid w:val="00CA50ED"/>
    <w:rsid w:val="00CA5E3B"/>
    <w:rsid w:val="00CA691D"/>
    <w:rsid w:val="00CA71C7"/>
    <w:rsid w:val="00CA792A"/>
    <w:rsid w:val="00CA7D00"/>
    <w:rsid w:val="00CB02D3"/>
    <w:rsid w:val="00CB0456"/>
    <w:rsid w:val="00CB11D7"/>
    <w:rsid w:val="00CB49B8"/>
    <w:rsid w:val="00CB53C3"/>
    <w:rsid w:val="00CB5616"/>
    <w:rsid w:val="00CB70A7"/>
    <w:rsid w:val="00CC1789"/>
    <w:rsid w:val="00CC2AD7"/>
    <w:rsid w:val="00CC49D4"/>
    <w:rsid w:val="00CC630B"/>
    <w:rsid w:val="00CC776C"/>
    <w:rsid w:val="00CD098B"/>
    <w:rsid w:val="00CD3FA6"/>
    <w:rsid w:val="00CD5B0C"/>
    <w:rsid w:val="00CD7102"/>
    <w:rsid w:val="00CD720E"/>
    <w:rsid w:val="00CD7FEB"/>
    <w:rsid w:val="00CE20E1"/>
    <w:rsid w:val="00CE26D6"/>
    <w:rsid w:val="00CE28F2"/>
    <w:rsid w:val="00CE3357"/>
    <w:rsid w:val="00CE3868"/>
    <w:rsid w:val="00CE783B"/>
    <w:rsid w:val="00CF079C"/>
    <w:rsid w:val="00CF08BF"/>
    <w:rsid w:val="00CF0D75"/>
    <w:rsid w:val="00CF1609"/>
    <w:rsid w:val="00CF1851"/>
    <w:rsid w:val="00CF22A6"/>
    <w:rsid w:val="00CF2B84"/>
    <w:rsid w:val="00CF2DF1"/>
    <w:rsid w:val="00CF3EE3"/>
    <w:rsid w:val="00CF4567"/>
    <w:rsid w:val="00CF470B"/>
    <w:rsid w:val="00CF4EC8"/>
    <w:rsid w:val="00CF645A"/>
    <w:rsid w:val="00CF6565"/>
    <w:rsid w:val="00CF6787"/>
    <w:rsid w:val="00CF6E85"/>
    <w:rsid w:val="00CF7134"/>
    <w:rsid w:val="00CF7135"/>
    <w:rsid w:val="00CF7B1F"/>
    <w:rsid w:val="00D01633"/>
    <w:rsid w:val="00D0262E"/>
    <w:rsid w:val="00D03124"/>
    <w:rsid w:val="00D05097"/>
    <w:rsid w:val="00D06239"/>
    <w:rsid w:val="00D06B69"/>
    <w:rsid w:val="00D1114B"/>
    <w:rsid w:val="00D11766"/>
    <w:rsid w:val="00D11E58"/>
    <w:rsid w:val="00D11FB6"/>
    <w:rsid w:val="00D12481"/>
    <w:rsid w:val="00D152CA"/>
    <w:rsid w:val="00D15C3C"/>
    <w:rsid w:val="00D16F1B"/>
    <w:rsid w:val="00D220F3"/>
    <w:rsid w:val="00D22B5F"/>
    <w:rsid w:val="00D2300C"/>
    <w:rsid w:val="00D234D2"/>
    <w:rsid w:val="00D23A89"/>
    <w:rsid w:val="00D24BF5"/>
    <w:rsid w:val="00D27564"/>
    <w:rsid w:val="00D2772D"/>
    <w:rsid w:val="00D30D1C"/>
    <w:rsid w:val="00D32A7B"/>
    <w:rsid w:val="00D32B83"/>
    <w:rsid w:val="00D34638"/>
    <w:rsid w:val="00D34F0A"/>
    <w:rsid w:val="00D35092"/>
    <w:rsid w:val="00D35634"/>
    <w:rsid w:val="00D35A03"/>
    <w:rsid w:val="00D36F9E"/>
    <w:rsid w:val="00D36FED"/>
    <w:rsid w:val="00D375DE"/>
    <w:rsid w:val="00D4096B"/>
    <w:rsid w:val="00D40A59"/>
    <w:rsid w:val="00D40D29"/>
    <w:rsid w:val="00D411D4"/>
    <w:rsid w:val="00D426FF"/>
    <w:rsid w:val="00D454FE"/>
    <w:rsid w:val="00D46AEC"/>
    <w:rsid w:val="00D477DC"/>
    <w:rsid w:val="00D500E6"/>
    <w:rsid w:val="00D50381"/>
    <w:rsid w:val="00D52104"/>
    <w:rsid w:val="00D52495"/>
    <w:rsid w:val="00D5322B"/>
    <w:rsid w:val="00D53509"/>
    <w:rsid w:val="00D544FA"/>
    <w:rsid w:val="00D56D8E"/>
    <w:rsid w:val="00D6052A"/>
    <w:rsid w:val="00D60643"/>
    <w:rsid w:val="00D6068B"/>
    <w:rsid w:val="00D61900"/>
    <w:rsid w:val="00D61A89"/>
    <w:rsid w:val="00D653C8"/>
    <w:rsid w:val="00D6555A"/>
    <w:rsid w:val="00D658CD"/>
    <w:rsid w:val="00D6745F"/>
    <w:rsid w:val="00D700B7"/>
    <w:rsid w:val="00D73D22"/>
    <w:rsid w:val="00D7499F"/>
    <w:rsid w:val="00D74D19"/>
    <w:rsid w:val="00D74EF1"/>
    <w:rsid w:val="00D762F1"/>
    <w:rsid w:val="00D76364"/>
    <w:rsid w:val="00D765CD"/>
    <w:rsid w:val="00D776D6"/>
    <w:rsid w:val="00D77795"/>
    <w:rsid w:val="00D81E23"/>
    <w:rsid w:val="00D82819"/>
    <w:rsid w:val="00D82F49"/>
    <w:rsid w:val="00D830BE"/>
    <w:rsid w:val="00D837A2"/>
    <w:rsid w:val="00D84F4C"/>
    <w:rsid w:val="00D85BBB"/>
    <w:rsid w:val="00D87008"/>
    <w:rsid w:val="00D8714B"/>
    <w:rsid w:val="00D87AEF"/>
    <w:rsid w:val="00D87D2A"/>
    <w:rsid w:val="00D913AF"/>
    <w:rsid w:val="00D91F5C"/>
    <w:rsid w:val="00D93253"/>
    <w:rsid w:val="00D933FC"/>
    <w:rsid w:val="00D94760"/>
    <w:rsid w:val="00D95C2A"/>
    <w:rsid w:val="00DA1492"/>
    <w:rsid w:val="00DA1690"/>
    <w:rsid w:val="00DA24D8"/>
    <w:rsid w:val="00DA24E0"/>
    <w:rsid w:val="00DA350D"/>
    <w:rsid w:val="00DA382B"/>
    <w:rsid w:val="00DA3DB6"/>
    <w:rsid w:val="00DA5575"/>
    <w:rsid w:val="00DA6139"/>
    <w:rsid w:val="00DA7C26"/>
    <w:rsid w:val="00DA7E30"/>
    <w:rsid w:val="00DB08A8"/>
    <w:rsid w:val="00DB09F2"/>
    <w:rsid w:val="00DB0CF1"/>
    <w:rsid w:val="00DB12B4"/>
    <w:rsid w:val="00DB275D"/>
    <w:rsid w:val="00DB2828"/>
    <w:rsid w:val="00DB4A89"/>
    <w:rsid w:val="00DB4AB6"/>
    <w:rsid w:val="00DB63AA"/>
    <w:rsid w:val="00DB743B"/>
    <w:rsid w:val="00DB7D21"/>
    <w:rsid w:val="00DC1458"/>
    <w:rsid w:val="00DC1C30"/>
    <w:rsid w:val="00DC215B"/>
    <w:rsid w:val="00DC3330"/>
    <w:rsid w:val="00DC4CBA"/>
    <w:rsid w:val="00DC65BC"/>
    <w:rsid w:val="00DC6AA7"/>
    <w:rsid w:val="00DC6C94"/>
    <w:rsid w:val="00DC766A"/>
    <w:rsid w:val="00DD0DA8"/>
    <w:rsid w:val="00DD0E49"/>
    <w:rsid w:val="00DD1F22"/>
    <w:rsid w:val="00DD1FE5"/>
    <w:rsid w:val="00DD22F5"/>
    <w:rsid w:val="00DD28BF"/>
    <w:rsid w:val="00DD30AB"/>
    <w:rsid w:val="00DD3F56"/>
    <w:rsid w:val="00DD498F"/>
    <w:rsid w:val="00DD4D5F"/>
    <w:rsid w:val="00DD5905"/>
    <w:rsid w:val="00DD608B"/>
    <w:rsid w:val="00DD77E6"/>
    <w:rsid w:val="00DD7F9A"/>
    <w:rsid w:val="00DE0A2D"/>
    <w:rsid w:val="00DE0E92"/>
    <w:rsid w:val="00DE12A1"/>
    <w:rsid w:val="00DE1B5D"/>
    <w:rsid w:val="00DE1C21"/>
    <w:rsid w:val="00DE4BC0"/>
    <w:rsid w:val="00DE5B6D"/>
    <w:rsid w:val="00DE5D96"/>
    <w:rsid w:val="00DE72E2"/>
    <w:rsid w:val="00DE7BCC"/>
    <w:rsid w:val="00DF0A50"/>
    <w:rsid w:val="00DF1B08"/>
    <w:rsid w:val="00DF32C0"/>
    <w:rsid w:val="00DF3401"/>
    <w:rsid w:val="00DF363B"/>
    <w:rsid w:val="00DF44E1"/>
    <w:rsid w:val="00DF751F"/>
    <w:rsid w:val="00DF7A56"/>
    <w:rsid w:val="00DF7BFF"/>
    <w:rsid w:val="00E0023B"/>
    <w:rsid w:val="00E00B3A"/>
    <w:rsid w:val="00E02C07"/>
    <w:rsid w:val="00E05094"/>
    <w:rsid w:val="00E054DD"/>
    <w:rsid w:val="00E06DF8"/>
    <w:rsid w:val="00E0746D"/>
    <w:rsid w:val="00E07526"/>
    <w:rsid w:val="00E1063A"/>
    <w:rsid w:val="00E11424"/>
    <w:rsid w:val="00E12FB6"/>
    <w:rsid w:val="00E1442F"/>
    <w:rsid w:val="00E14B14"/>
    <w:rsid w:val="00E156F4"/>
    <w:rsid w:val="00E1625E"/>
    <w:rsid w:val="00E173DF"/>
    <w:rsid w:val="00E20D8B"/>
    <w:rsid w:val="00E215A3"/>
    <w:rsid w:val="00E2192C"/>
    <w:rsid w:val="00E24AC8"/>
    <w:rsid w:val="00E258BC"/>
    <w:rsid w:val="00E263D6"/>
    <w:rsid w:val="00E26823"/>
    <w:rsid w:val="00E30FF7"/>
    <w:rsid w:val="00E31850"/>
    <w:rsid w:val="00E32148"/>
    <w:rsid w:val="00E32374"/>
    <w:rsid w:val="00E32AEA"/>
    <w:rsid w:val="00E33FDC"/>
    <w:rsid w:val="00E36EC7"/>
    <w:rsid w:val="00E3737F"/>
    <w:rsid w:val="00E40578"/>
    <w:rsid w:val="00E41761"/>
    <w:rsid w:val="00E432D6"/>
    <w:rsid w:val="00E43E85"/>
    <w:rsid w:val="00E44416"/>
    <w:rsid w:val="00E4577F"/>
    <w:rsid w:val="00E47522"/>
    <w:rsid w:val="00E4758F"/>
    <w:rsid w:val="00E51104"/>
    <w:rsid w:val="00E51668"/>
    <w:rsid w:val="00E540A0"/>
    <w:rsid w:val="00E540D3"/>
    <w:rsid w:val="00E55101"/>
    <w:rsid w:val="00E552FC"/>
    <w:rsid w:val="00E55993"/>
    <w:rsid w:val="00E560E9"/>
    <w:rsid w:val="00E568BB"/>
    <w:rsid w:val="00E60B57"/>
    <w:rsid w:val="00E62D83"/>
    <w:rsid w:val="00E6381C"/>
    <w:rsid w:val="00E640B5"/>
    <w:rsid w:val="00E64112"/>
    <w:rsid w:val="00E64509"/>
    <w:rsid w:val="00E66A4C"/>
    <w:rsid w:val="00E67234"/>
    <w:rsid w:val="00E7160A"/>
    <w:rsid w:val="00E71C91"/>
    <w:rsid w:val="00E74F99"/>
    <w:rsid w:val="00E7611F"/>
    <w:rsid w:val="00E76DC8"/>
    <w:rsid w:val="00E80AEA"/>
    <w:rsid w:val="00E83766"/>
    <w:rsid w:val="00E839B2"/>
    <w:rsid w:val="00E844CB"/>
    <w:rsid w:val="00E85268"/>
    <w:rsid w:val="00E8540E"/>
    <w:rsid w:val="00E856D4"/>
    <w:rsid w:val="00E85780"/>
    <w:rsid w:val="00E86527"/>
    <w:rsid w:val="00E909B6"/>
    <w:rsid w:val="00E909D6"/>
    <w:rsid w:val="00E90A30"/>
    <w:rsid w:val="00E90CFE"/>
    <w:rsid w:val="00E9180C"/>
    <w:rsid w:val="00E92F23"/>
    <w:rsid w:val="00E936C7"/>
    <w:rsid w:val="00E9441D"/>
    <w:rsid w:val="00E95149"/>
    <w:rsid w:val="00E959CC"/>
    <w:rsid w:val="00E96FD2"/>
    <w:rsid w:val="00E97905"/>
    <w:rsid w:val="00E97AE3"/>
    <w:rsid w:val="00EA07E8"/>
    <w:rsid w:val="00EA0DE7"/>
    <w:rsid w:val="00EA16F5"/>
    <w:rsid w:val="00EA17FD"/>
    <w:rsid w:val="00EA2203"/>
    <w:rsid w:val="00EA2870"/>
    <w:rsid w:val="00EA3BD1"/>
    <w:rsid w:val="00EA51F5"/>
    <w:rsid w:val="00EA5260"/>
    <w:rsid w:val="00EA5C74"/>
    <w:rsid w:val="00EA6F9C"/>
    <w:rsid w:val="00EA706D"/>
    <w:rsid w:val="00EB0EDF"/>
    <w:rsid w:val="00EB1247"/>
    <w:rsid w:val="00EB27D6"/>
    <w:rsid w:val="00EB3183"/>
    <w:rsid w:val="00EB54C1"/>
    <w:rsid w:val="00EB5FA8"/>
    <w:rsid w:val="00EC000C"/>
    <w:rsid w:val="00EC0BB0"/>
    <w:rsid w:val="00EC0D2A"/>
    <w:rsid w:val="00EC0DBF"/>
    <w:rsid w:val="00EC1EC4"/>
    <w:rsid w:val="00EC22F5"/>
    <w:rsid w:val="00EC4AD8"/>
    <w:rsid w:val="00EC5717"/>
    <w:rsid w:val="00EC5B64"/>
    <w:rsid w:val="00EC6047"/>
    <w:rsid w:val="00EC636D"/>
    <w:rsid w:val="00EC6CA1"/>
    <w:rsid w:val="00EC708D"/>
    <w:rsid w:val="00EC7178"/>
    <w:rsid w:val="00EC7761"/>
    <w:rsid w:val="00EC7F4C"/>
    <w:rsid w:val="00ED0070"/>
    <w:rsid w:val="00ED094B"/>
    <w:rsid w:val="00ED3547"/>
    <w:rsid w:val="00ED399C"/>
    <w:rsid w:val="00ED4472"/>
    <w:rsid w:val="00ED447E"/>
    <w:rsid w:val="00ED45F4"/>
    <w:rsid w:val="00ED4969"/>
    <w:rsid w:val="00ED4BD0"/>
    <w:rsid w:val="00ED5BED"/>
    <w:rsid w:val="00ED6B1A"/>
    <w:rsid w:val="00ED7550"/>
    <w:rsid w:val="00EE00A4"/>
    <w:rsid w:val="00EE338D"/>
    <w:rsid w:val="00EE3664"/>
    <w:rsid w:val="00EE37EC"/>
    <w:rsid w:val="00EE3E11"/>
    <w:rsid w:val="00EE47B8"/>
    <w:rsid w:val="00EE58F8"/>
    <w:rsid w:val="00EE76F7"/>
    <w:rsid w:val="00EF2E71"/>
    <w:rsid w:val="00EF2E7B"/>
    <w:rsid w:val="00EF2F11"/>
    <w:rsid w:val="00EF3AF6"/>
    <w:rsid w:val="00EF3DD3"/>
    <w:rsid w:val="00EF42A2"/>
    <w:rsid w:val="00EF48B5"/>
    <w:rsid w:val="00EF5366"/>
    <w:rsid w:val="00EF5852"/>
    <w:rsid w:val="00F00AF5"/>
    <w:rsid w:val="00F017AC"/>
    <w:rsid w:val="00F01FF6"/>
    <w:rsid w:val="00F0248C"/>
    <w:rsid w:val="00F02D75"/>
    <w:rsid w:val="00F03462"/>
    <w:rsid w:val="00F05805"/>
    <w:rsid w:val="00F06A2B"/>
    <w:rsid w:val="00F0790A"/>
    <w:rsid w:val="00F1060A"/>
    <w:rsid w:val="00F1105D"/>
    <w:rsid w:val="00F11859"/>
    <w:rsid w:val="00F121BB"/>
    <w:rsid w:val="00F12738"/>
    <w:rsid w:val="00F1303C"/>
    <w:rsid w:val="00F14241"/>
    <w:rsid w:val="00F14D44"/>
    <w:rsid w:val="00F151C4"/>
    <w:rsid w:val="00F15347"/>
    <w:rsid w:val="00F156D8"/>
    <w:rsid w:val="00F16B4B"/>
    <w:rsid w:val="00F2021B"/>
    <w:rsid w:val="00F209AB"/>
    <w:rsid w:val="00F216CD"/>
    <w:rsid w:val="00F2178C"/>
    <w:rsid w:val="00F21955"/>
    <w:rsid w:val="00F22E3A"/>
    <w:rsid w:val="00F23571"/>
    <w:rsid w:val="00F24016"/>
    <w:rsid w:val="00F251CB"/>
    <w:rsid w:val="00F30552"/>
    <w:rsid w:val="00F3314F"/>
    <w:rsid w:val="00F3337A"/>
    <w:rsid w:val="00F34F03"/>
    <w:rsid w:val="00F35930"/>
    <w:rsid w:val="00F361DE"/>
    <w:rsid w:val="00F362BE"/>
    <w:rsid w:val="00F36E60"/>
    <w:rsid w:val="00F37BC2"/>
    <w:rsid w:val="00F426A9"/>
    <w:rsid w:val="00F42ECB"/>
    <w:rsid w:val="00F43C8E"/>
    <w:rsid w:val="00F44A75"/>
    <w:rsid w:val="00F4577E"/>
    <w:rsid w:val="00F525DB"/>
    <w:rsid w:val="00F52BA9"/>
    <w:rsid w:val="00F52D86"/>
    <w:rsid w:val="00F52E42"/>
    <w:rsid w:val="00F53250"/>
    <w:rsid w:val="00F535E0"/>
    <w:rsid w:val="00F53857"/>
    <w:rsid w:val="00F53879"/>
    <w:rsid w:val="00F53907"/>
    <w:rsid w:val="00F53E4D"/>
    <w:rsid w:val="00F53F9F"/>
    <w:rsid w:val="00F56F3F"/>
    <w:rsid w:val="00F572DD"/>
    <w:rsid w:val="00F5747A"/>
    <w:rsid w:val="00F57C86"/>
    <w:rsid w:val="00F63CED"/>
    <w:rsid w:val="00F65A9A"/>
    <w:rsid w:val="00F665FE"/>
    <w:rsid w:val="00F70398"/>
    <w:rsid w:val="00F711E6"/>
    <w:rsid w:val="00F730C0"/>
    <w:rsid w:val="00F74906"/>
    <w:rsid w:val="00F75709"/>
    <w:rsid w:val="00F75AEC"/>
    <w:rsid w:val="00F763DA"/>
    <w:rsid w:val="00F76C81"/>
    <w:rsid w:val="00F76E59"/>
    <w:rsid w:val="00F775B2"/>
    <w:rsid w:val="00F77C16"/>
    <w:rsid w:val="00F80A24"/>
    <w:rsid w:val="00F80FF2"/>
    <w:rsid w:val="00F81816"/>
    <w:rsid w:val="00F82F53"/>
    <w:rsid w:val="00F84FC4"/>
    <w:rsid w:val="00F85A47"/>
    <w:rsid w:val="00F86E3F"/>
    <w:rsid w:val="00F87301"/>
    <w:rsid w:val="00F875EA"/>
    <w:rsid w:val="00F910C4"/>
    <w:rsid w:val="00F9132B"/>
    <w:rsid w:val="00F930A0"/>
    <w:rsid w:val="00F94588"/>
    <w:rsid w:val="00F94E09"/>
    <w:rsid w:val="00F9617E"/>
    <w:rsid w:val="00F9663B"/>
    <w:rsid w:val="00F9664B"/>
    <w:rsid w:val="00F96675"/>
    <w:rsid w:val="00F9686A"/>
    <w:rsid w:val="00F9770A"/>
    <w:rsid w:val="00FA0B79"/>
    <w:rsid w:val="00FA11A6"/>
    <w:rsid w:val="00FA75A5"/>
    <w:rsid w:val="00FA7907"/>
    <w:rsid w:val="00FA7DB2"/>
    <w:rsid w:val="00FB0269"/>
    <w:rsid w:val="00FB0BBF"/>
    <w:rsid w:val="00FB178C"/>
    <w:rsid w:val="00FB27B4"/>
    <w:rsid w:val="00FB4D06"/>
    <w:rsid w:val="00FC09CE"/>
    <w:rsid w:val="00FC10F6"/>
    <w:rsid w:val="00FC1428"/>
    <w:rsid w:val="00FC2440"/>
    <w:rsid w:val="00FC2C39"/>
    <w:rsid w:val="00FC3980"/>
    <w:rsid w:val="00FC3B83"/>
    <w:rsid w:val="00FC5852"/>
    <w:rsid w:val="00FC5BAB"/>
    <w:rsid w:val="00FC68FE"/>
    <w:rsid w:val="00FD27ED"/>
    <w:rsid w:val="00FD2CD9"/>
    <w:rsid w:val="00FD7328"/>
    <w:rsid w:val="00FD7B89"/>
    <w:rsid w:val="00FD7E43"/>
    <w:rsid w:val="00FE1A48"/>
    <w:rsid w:val="00FE4127"/>
    <w:rsid w:val="00FE4F8C"/>
    <w:rsid w:val="00FE5205"/>
    <w:rsid w:val="00FE562B"/>
    <w:rsid w:val="00FE5B08"/>
    <w:rsid w:val="00FE5B6B"/>
    <w:rsid w:val="00FE6447"/>
    <w:rsid w:val="00FE6AA2"/>
    <w:rsid w:val="00FE6D64"/>
    <w:rsid w:val="00FE7D64"/>
    <w:rsid w:val="00FF07BF"/>
    <w:rsid w:val="00FF2D9B"/>
    <w:rsid w:val="00FF2DE3"/>
    <w:rsid w:val="00FF3E13"/>
    <w:rsid w:val="00FF44B2"/>
    <w:rsid w:val="00FF48EF"/>
    <w:rsid w:val="00FF536C"/>
    <w:rsid w:val="00FF589A"/>
    <w:rsid w:val="00FF590D"/>
    <w:rsid w:val="00FF6188"/>
    <w:rsid w:val="00FF62FA"/>
    <w:rsid w:val="00FF6C71"/>
    <w:rsid w:val="00FF700E"/>
    <w:rsid w:val="00FF7363"/>
    <w:rsid w:val="00FF7B4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A6DFE0"/>
  <w15:docId w15:val="{915A538D-DC2F-462D-BAD3-B768EE47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542"/>
    <w:rPr>
      <w:rFonts w:eastAsia="Times New Roman"/>
      <w:sz w:val="24"/>
      <w:szCs w:val="24"/>
      <w:lang w:val="en-US" w:eastAsia="en-US"/>
    </w:rPr>
  </w:style>
  <w:style w:type="paragraph" w:styleId="Heading1">
    <w:name w:val="heading 1"/>
    <w:basedOn w:val="Normal"/>
    <w:next w:val="Normal"/>
    <w:link w:val="Heading1Char"/>
    <w:qFormat/>
    <w:locked/>
    <w:rsid w:val="00543A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7A4123"/>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9"/>
    <w:qFormat/>
    <w:rsid w:val="00712FFA"/>
    <w:pPr>
      <w:spacing w:before="100" w:beforeAutospacing="1" w:after="100" w:afterAutospacing="1"/>
      <w:outlineLvl w:val="2"/>
    </w:pPr>
    <w:rPr>
      <w:color w:val="3366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12FFA"/>
    <w:rPr>
      <w:rFonts w:eastAsia="Times New Roman" w:cs="Times New Roman"/>
      <w:color w:val="3366CC"/>
      <w:sz w:val="28"/>
      <w:szCs w:val="28"/>
      <w:lang w:eastAsia="en-US"/>
    </w:rPr>
  </w:style>
  <w:style w:type="table" w:styleId="TableGrid">
    <w:name w:val="Table Grid"/>
    <w:basedOn w:val="TableNormal"/>
    <w:uiPriority w:val="59"/>
    <w:rsid w:val="00CB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CB49B8"/>
    <w:rPr>
      <w:sz w:val="20"/>
      <w:szCs w:val="20"/>
    </w:rPr>
  </w:style>
  <w:style w:type="character" w:customStyle="1" w:styleId="FootnoteTextChar">
    <w:name w:val="Footnote Text Char"/>
    <w:link w:val="FootnoteText"/>
    <w:uiPriority w:val="99"/>
    <w:semiHidden/>
    <w:rsid w:val="002B55A9"/>
    <w:rPr>
      <w:sz w:val="20"/>
      <w:szCs w:val="20"/>
      <w:lang w:val="en-US"/>
    </w:rPr>
  </w:style>
  <w:style w:type="character" w:styleId="FootnoteReference">
    <w:name w:val="footnote reference"/>
    <w:uiPriority w:val="99"/>
    <w:semiHidden/>
    <w:rsid w:val="00CB49B8"/>
    <w:rPr>
      <w:rFonts w:cs="Times New Roman"/>
      <w:vertAlign w:val="superscript"/>
    </w:rPr>
  </w:style>
  <w:style w:type="paragraph" w:styleId="Header">
    <w:name w:val="header"/>
    <w:basedOn w:val="Normal"/>
    <w:link w:val="HeaderChar"/>
    <w:uiPriority w:val="99"/>
    <w:rsid w:val="009652D2"/>
    <w:pPr>
      <w:tabs>
        <w:tab w:val="center" w:pos="4513"/>
        <w:tab w:val="right" w:pos="9026"/>
      </w:tabs>
    </w:pPr>
  </w:style>
  <w:style w:type="character" w:customStyle="1" w:styleId="HeaderChar">
    <w:name w:val="Header Char"/>
    <w:link w:val="Header"/>
    <w:uiPriority w:val="99"/>
    <w:locked/>
    <w:rsid w:val="009652D2"/>
    <w:rPr>
      <w:sz w:val="24"/>
      <w:lang w:val="en-US" w:eastAsia="zh-CN"/>
    </w:rPr>
  </w:style>
  <w:style w:type="paragraph" w:styleId="Footer">
    <w:name w:val="footer"/>
    <w:basedOn w:val="Normal"/>
    <w:link w:val="FooterChar"/>
    <w:uiPriority w:val="99"/>
    <w:rsid w:val="009652D2"/>
    <w:pPr>
      <w:tabs>
        <w:tab w:val="center" w:pos="4513"/>
        <w:tab w:val="right" w:pos="9026"/>
      </w:tabs>
    </w:pPr>
  </w:style>
  <w:style w:type="character" w:customStyle="1" w:styleId="FooterChar">
    <w:name w:val="Footer Char"/>
    <w:link w:val="Footer"/>
    <w:uiPriority w:val="99"/>
    <w:locked/>
    <w:rsid w:val="009652D2"/>
    <w:rPr>
      <w:sz w:val="24"/>
      <w:lang w:val="en-US" w:eastAsia="zh-CN"/>
    </w:rPr>
  </w:style>
  <w:style w:type="character" w:styleId="Hyperlink">
    <w:name w:val="Hyperlink"/>
    <w:uiPriority w:val="99"/>
    <w:rsid w:val="00F362BE"/>
    <w:rPr>
      <w:rFonts w:cs="Times New Roman"/>
      <w:color w:val="0000FF"/>
      <w:u w:val="single"/>
    </w:rPr>
  </w:style>
  <w:style w:type="paragraph" w:styleId="BalloonText">
    <w:name w:val="Balloon Text"/>
    <w:basedOn w:val="Normal"/>
    <w:link w:val="BalloonTextChar"/>
    <w:uiPriority w:val="99"/>
    <w:rsid w:val="00F362BE"/>
    <w:rPr>
      <w:rFonts w:ascii="Tahoma" w:hAnsi="Tahoma" w:cs="Tahoma"/>
      <w:sz w:val="16"/>
      <w:szCs w:val="16"/>
    </w:rPr>
  </w:style>
  <w:style w:type="character" w:customStyle="1" w:styleId="BalloonTextChar">
    <w:name w:val="Balloon Text Char"/>
    <w:link w:val="BalloonText"/>
    <w:uiPriority w:val="99"/>
    <w:locked/>
    <w:rsid w:val="00F362BE"/>
    <w:rPr>
      <w:rFonts w:ascii="Tahoma" w:hAnsi="Tahoma" w:cs="Tahoma"/>
      <w:sz w:val="16"/>
      <w:szCs w:val="16"/>
    </w:rPr>
  </w:style>
  <w:style w:type="character" w:styleId="CommentReference">
    <w:name w:val="annotation reference"/>
    <w:uiPriority w:val="99"/>
    <w:rsid w:val="00EF3AF6"/>
    <w:rPr>
      <w:rFonts w:cs="Times New Roman"/>
      <w:sz w:val="16"/>
      <w:szCs w:val="16"/>
    </w:rPr>
  </w:style>
  <w:style w:type="paragraph" w:styleId="CommentText">
    <w:name w:val="annotation text"/>
    <w:basedOn w:val="Normal"/>
    <w:link w:val="CommentTextChar"/>
    <w:uiPriority w:val="99"/>
    <w:rsid w:val="00EF3AF6"/>
    <w:rPr>
      <w:sz w:val="20"/>
      <w:szCs w:val="20"/>
    </w:rPr>
  </w:style>
  <w:style w:type="character" w:customStyle="1" w:styleId="CommentTextChar">
    <w:name w:val="Comment Text Char"/>
    <w:link w:val="CommentText"/>
    <w:uiPriority w:val="99"/>
    <w:locked/>
    <w:rsid w:val="00EF3AF6"/>
    <w:rPr>
      <w:rFonts w:cs="Times New Roman"/>
    </w:rPr>
  </w:style>
  <w:style w:type="paragraph" w:styleId="CommentSubject">
    <w:name w:val="annotation subject"/>
    <w:basedOn w:val="CommentText"/>
    <w:next w:val="CommentText"/>
    <w:link w:val="CommentSubjectChar"/>
    <w:uiPriority w:val="99"/>
    <w:rsid w:val="00EF3AF6"/>
    <w:rPr>
      <w:b/>
      <w:bCs/>
    </w:rPr>
  </w:style>
  <w:style w:type="character" w:customStyle="1" w:styleId="CommentSubjectChar">
    <w:name w:val="Comment Subject Char"/>
    <w:link w:val="CommentSubject"/>
    <w:uiPriority w:val="99"/>
    <w:locked/>
    <w:rsid w:val="00EF3AF6"/>
    <w:rPr>
      <w:rFonts w:cs="Times New Roman"/>
      <w:b/>
      <w:bCs/>
    </w:rPr>
  </w:style>
  <w:style w:type="paragraph" w:styleId="NormalWeb">
    <w:name w:val="Normal (Web)"/>
    <w:basedOn w:val="Normal"/>
    <w:uiPriority w:val="99"/>
    <w:rsid w:val="00712FFA"/>
    <w:pPr>
      <w:spacing w:before="100" w:beforeAutospacing="1" w:after="100" w:afterAutospacing="1"/>
    </w:pPr>
  </w:style>
  <w:style w:type="character" w:styleId="Emphasis">
    <w:name w:val="Emphasis"/>
    <w:uiPriority w:val="20"/>
    <w:qFormat/>
    <w:rsid w:val="00712FFA"/>
    <w:rPr>
      <w:rFonts w:cs="Times New Roman"/>
      <w:i/>
      <w:iCs/>
    </w:rPr>
  </w:style>
  <w:style w:type="paragraph" w:styleId="DocumentMap">
    <w:name w:val="Document Map"/>
    <w:basedOn w:val="Normal"/>
    <w:link w:val="DocumentMapChar"/>
    <w:uiPriority w:val="99"/>
    <w:semiHidden/>
    <w:rsid w:val="008D7C0D"/>
    <w:pPr>
      <w:shd w:val="clear" w:color="auto" w:fill="000080"/>
    </w:pPr>
    <w:rPr>
      <w:rFonts w:ascii="Tahoma" w:hAnsi="Tahoma"/>
      <w:sz w:val="20"/>
      <w:szCs w:val="20"/>
    </w:rPr>
  </w:style>
  <w:style w:type="character" w:customStyle="1" w:styleId="DocumentMapChar">
    <w:name w:val="Document Map Char"/>
    <w:link w:val="DocumentMap"/>
    <w:uiPriority w:val="99"/>
    <w:semiHidden/>
    <w:rsid w:val="002B55A9"/>
    <w:rPr>
      <w:sz w:val="0"/>
      <w:szCs w:val="0"/>
      <w:lang w:val="en-US"/>
    </w:rPr>
  </w:style>
  <w:style w:type="paragraph" w:styleId="Revision">
    <w:name w:val="Revision"/>
    <w:hidden/>
    <w:uiPriority w:val="99"/>
    <w:semiHidden/>
    <w:rsid w:val="005F5423"/>
    <w:rPr>
      <w:sz w:val="24"/>
      <w:szCs w:val="24"/>
      <w:lang w:val="en-US" w:eastAsia="zh-CN"/>
    </w:rPr>
  </w:style>
  <w:style w:type="character" w:customStyle="1" w:styleId="databold">
    <w:name w:val="data_bold"/>
    <w:basedOn w:val="DefaultParagraphFont"/>
    <w:uiPriority w:val="99"/>
    <w:rsid w:val="00FF589A"/>
    <w:rPr>
      <w:rFonts w:cs="Times New Roman"/>
    </w:rPr>
  </w:style>
  <w:style w:type="paragraph" w:styleId="Title">
    <w:name w:val="Title"/>
    <w:basedOn w:val="Normal"/>
    <w:link w:val="TitleChar"/>
    <w:uiPriority w:val="99"/>
    <w:qFormat/>
    <w:locked/>
    <w:rsid w:val="00E839B2"/>
    <w:pPr>
      <w:tabs>
        <w:tab w:val="left" w:pos="-1440"/>
        <w:tab w:val="left" w:pos="-720"/>
        <w:tab w:val="left" w:pos="284"/>
        <w:tab w:val="left" w:pos="720"/>
        <w:tab w:val="left" w:pos="1440"/>
        <w:tab w:val="left" w:pos="2160"/>
        <w:tab w:val="left" w:pos="24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pPr>
    <w:rPr>
      <w:rFonts w:ascii="CG Times" w:eastAsia="MS Mincho" w:hAnsi="CG Times" w:cs="CG Times"/>
      <w:b/>
      <w:bCs/>
      <w:sz w:val="26"/>
      <w:szCs w:val="26"/>
      <w:lang w:val="da-DK" w:bidi="th-TH"/>
    </w:rPr>
  </w:style>
  <w:style w:type="character" w:customStyle="1" w:styleId="TitleChar">
    <w:name w:val="Title Char"/>
    <w:basedOn w:val="DefaultParagraphFont"/>
    <w:link w:val="Title"/>
    <w:uiPriority w:val="99"/>
    <w:rsid w:val="00E839B2"/>
    <w:rPr>
      <w:rFonts w:ascii="CG Times" w:eastAsia="MS Mincho" w:hAnsi="CG Times" w:cs="CG Times"/>
      <w:b/>
      <w:bCs/>
      <w:sz w:val="26"/>
      <w:szCs w:val="26"/>
      <w:lang w:val="da-DK" w:eastAsia="en-US" w:bidi="th-TH"/>
    </w:rPr>
  </w:style>
  <w:style w:type="character" w:customStyle="1" w:styleId="Heading1Char">
    <w:name w:val="Heading 1 Char"/>
    <w:basedOn w:val="DefaultParagraphFont"/>
    <w:link w:val="Heading1"/>
    <w:rsid w:val="00543A7B"/>
    <w:rPr>
      <w:rFonts w:asciiTheme="majorHAnsi" w:eastAsiaTheme="majorEastAsia" w:hAnsiTheme="majorHAnsi" w:cstheme="majorBidi"/>
      <w:b/>
      <w:bCs/>
      <w:color w:val="365F91" w:themeColor="accent1" w:themeShade="BF"/>
      <w:sz w:val="28"/>
      <w:szCs w:val="28"/>
      <w:lang w:val="en-US" w:eastAsia="zh-CN"/>
    </w:rPr>
  </w:style>
  <w:style w:type="character" w:customStyle="1" w:styleId="apple-converted-space">
    <w:name w:val="apple-converted-space"/>
    <w:basedOn w:val="DefaultParagraphFont"/>
    <w:rsid w:val="005654A3"/>
  </w:style>
  <w:style w:type="character" w:customStyle="1" w:styleId="Heading2Char">
    <w:name w:val="Heading 2 Char"/>
    <w:basedOn w:val="DefaultParagraphFont"/>
    <w:link w:val="Heading2"/>
    <w:uiPriority w:val="9"/>
    <w:rsid w:val="007A4123"/>
    <w:rPr>
      <w:rFonts w:ascii="Times" w:hAnsi="Times"/>
      <w:b/>
      <w:bCs/>
      <w:sz w:val="36"/>
      <w:szCs w:val="36"/>
      <w:lang w:val="en-US" w:eastAsia="en-US"/>
    </w:rPr>
  </w:style>
  <w:style w:type="paragraph" w:customStyle="1" w:styleId="articledetails">
    <w:name w:val="articledetails"/>
    <w:basedOn w:val="Normal"/>
    <w:rsid w:val="007A4123"/>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CF079C"/>
    <w:rPr>
      <w:color w:val="800080" w:themeColor="followedHyperlink"/>
      <w:u w:val="single"/>
    </w:rPr>
  </w:style>
  <w:style w:type="paragraph" w:styleId="ListParagraph">
    <w:name w:val="List Paragraph"/>
    <w:basedOn w:val="Normal"/>
    <w:uiPriority w:val="34"/>
    <w:qFormat/>
    <w:rsid w:val="00CE783B"/>
    <w:pPr>
      <w:ind w:left="720"/>
      <w:contextualSpacing/>
    </w:pPr>
  </w:style>
  <w:style w:type="paragraph" w:styleId="PlainText">
    <w:name w:val="Plain Text"/>
    <w:basedOn w:val="Normal"/>
    <w:link w:val="PlainTextChar"/>
    <w:uiPriority w:val="99"/>
    <w:semiHidden/>
    <w:unhideWhenUsed/>
    <w:rsid w:val="002A096E"/>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semiHidden/>
    <w:rsid w:val="002A096E"/>
    <w:rPr>
      <w:rFonts w:ascii="Calibri" w:eastAsiaTheme="minorEastAsia" w:hAnsi="Calibri" w:cstheme="minorBidi"/>
      <w:sz w:val="22"/>
      <w:szCs w:val="21"/>
      <w:lang w:val="en-US" w:eastAsia="zh-CN"/>
    </w:rPr>
  </w:style>
  <w:style w:type="character" w:styleId="PlaceholderText">
    <w:name w:val="Placeholder Text"/>
    <w:basedOn w:val="DefaultParagraphFont"/>
    <w:uiPriority w:val="99"/>
    <w:semiHidden/>
    <w:rsid w:val="00F63CED"/>
    <w:rPr>
      <w:color w:val="808080"/>
    </w:rPr>
  </w:style>
  <w:style w:type="paragraph" w:customStyle="1" w:styleId="Standard">
    <w:name w:val="Standard"/>
    <w:rsid w:val="00C7161C"/>
    <w:pPr>
      <w:tabs>
        <w:tab w:val="left" w:pos="720"/>
      </w:tabs>
      <w:suppressAutoHyphens/>
      <w:spacing w:line="100" w:lineRule="atLeast"/>
    </w:pPr>
    <w:rPr>
      <w:rFonts w:ascii="Georgia" w:hAnsi="Georgia" w:cs="Georgia"/>
      <w:color w:val="000000"/>
      <w:sz w:val="24"/>
      <w:szCs w:val="24"/>
      <w:lang w:eastAsia="en-US"/>
    </w:rPr>
  </w:style>
  <w:style w:type="table" w:styleId="LightShading-Accent5">
    <w:name w:val="Light Shading Accent 5"/>
    <w:basedOn w:val="TableNormal"/>
    <w:uiPriority w:val="60"/>
    <w:rsid w:val="008B6EAE"/>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8B6EAE"/>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doi">
    <w:name w:val="doi"/>
    <w:basedOn w:val="DefaultParagraphFont"/>
    <w:rsid w:val="00AF601C"/>
  </w:style>
  <w:style w:type="character" w:customStyle="1" w:styleId="LienInternet">
    <w:name w:val="Lien Internet"/>
    <w:basedOn w:val="DefaultParagraphFont"/>
    <w:rsid w:val="005E1B66"/>
    <w:rPr>
      <w:color w:val="0000FF"/>
      <w:u w:val="single"/>
      <w:lang w:val="fr-FR" w:eastAsia="fr-FR" w:bidi="fr-FR"/>
    </w:rPr>
  </w:style>
  <w:style w:type="table" w:styleId="LightShading">
    <w:name w:val="Light Shading"/>
    <w:basedOn w:val="TableNormal"/>
    <w:uiPriority w:val="60"/>
    <w:rsid w:val="003647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lug-vol">
    <w:name w:val="slug-vol"/>
    <w:basedOn w:val="DefaultParagraphFont"/>
    <w:rsid w:val="00A8462F"/>
  </w:style>
  <w:style w:type="character" w:customStyle="1" w:styleId="slug-issue">
    <w:name w:val="slug-issue"/>
    <w:basedOn w:val="DefaultParagraphFont"/>
    <w:rsid w:val="00A8462F"/>
  </w:style>
  <w:style w:type="character" w:customStyle="1" w:styleId="slug-pages">
    <w:name w:val="slug-pages"/>
    <w:basedOn w:val="DefaultParagraphFont"/>
    <w:rsid w:val="00A8462F"/>
  </w:style>
  <w:style w:type="character" w:customStyle="1" w:styleId="il">
    <w:name w:val="il"/>
    <w:basedOn w:val="DefaultParagraphFont"/>
    <w:rsid w:val="00CF3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40">
      <w:bodyDiv w:val="1"/>
      <w:marLeft w:val="0"/>
      <w:marRight w:val="0"/>
      <w:marTop w:val="0"/>
      <w:marBottom w:val="0"/>
      <w:divBdr>
        <w:top w:val="none" w:sz="0" w:space="0" w:color="auto"/>
        <w:left w:val="none" w:sz="0" w:space="0" w:color="auto"/>
        <w:bottom w:val="none" w:sz="0" w:space="0" w:color="auto"/>
        <w:right w:val="none" w:sz="0" w:space="0" w:color="auto"/>
      </w:divBdr>
    </w:div>
    <w:div w:id="18357006">
      <w:bodyDiv w:val="1"/>
      <w:marLeft w:val="0"/>
      <w:marRight w:val="0"/>
      <w:marTop w:val="0"/>
      <w:marBottom w:val="0"/>
      <w:divBdr>
        <w:top w:val="none" w:sz="0" w:space="0" w:color="auto"/>
        <w:left w:val="none" w:sz="0" w:space="0" w:color="auto"/>
        <w:bottom w:val="none" w:sz="0" w:space="0" w:color="auto"/>
        <w:right w:val="none" w:sz="0" w:space="0" w:color="auto"/>
      </w:divBdr>
    </w:div>
    <w:div w:id="37752471">
      <w:bodyDiv w:val="1"/>
      <w:marLeft w:val="0"/>
      <w:marRight w:val="0"/>
      <w:marTop w:val="0"/>
      <w:marBottom w:val="0"/>
      <w:divBdr>
        <w:top w:val="none" w:sz="0" w:space="0" w:color="auto"/>
        <w:left w:val="none" w:sz="0" w:space="0" w:color="auto"/>
        <w:bottom w:val="none" w:sz="0" w:space="0" w:color="auto"/>
        <w:right w:val="none" w:sz="0" w:space="0" w:color="auto"/>
      </w:divBdr>
    </w:div>
    <w:div w:id="70809593">
      <w:bodyDiv w:val="1"/>
      <w:marLeft w:val="0"/>
      <w:marRight w:val="0"/>
      <w:marTop w:val="0"/>
      <w:marBottom w:val="0"/>
      <w:divBdr>
        <w:top w:val="none" w:sz="0" w:space="0" w:color="auto"/>
        <w:left w:val="none" w:sz="0" w:space="0" w:color="auto"/>
        <w:bottom w:val="none" w:sz="0" w:space="0" w:color="auto"/>
        <w:right w:val="none" w:sz="0" w:space="0" w:color="auto"/>
      </w:divBdr>
    </w:div>
    <w:div w:id="129130232">
      <w:bodyDiv w:val="1"/>
      <w:marLeft w:val="0"/>
      <w:marRight w:val="0"/>
      <w:marTop w:val="0"/>
      <w:marBottom w:val="0"/>
      <w:divBdr>
        <w:top w:val="none" w:sz="0" w:space="0" w:color="auto"/>
        <w:left w:val="none" w:sz="0" w:space="0" w:color="auto"/>
        <w:bottom w:val="none" w:sz="0" w:space="0" w:color="auto"/>
        <w:right w:val="none" w:sz="0" w:space="0" w:color="auto"/>
      </w:divBdr>
    </w:div>
    <w:div w:id="200868736">
      <w:bodyDiv w:val="1"/>
      <w:marLeft w:val="0"/>
      <w:marRight w:val="0"/>
      <w:marTop w:val="0"/>
      <w:marBottom w:val="0"/>
      <w:divBdr>
        <w:top w:val="none" w:sz="0" w:space="0" w:color="auto"/>
        <w:left w:val="none" w:sz="0" w:space="0" w:color="auto"/>
        <w:bottom w:val="none" w:sz="0" w:space="0" w:color="auto"/>
        <w:right w:val="none" w:sz="0" w:space="0" w:color="auto"/>
      </w:divBdr>
    </w:div>
    <w:div w:id="244266548">
      <w:bodyDiv w:val="1"/>
      <w:marLeft w:val="0"/>
      <w:marRight w:val="0"/>
      <w:marTop w:val="0"/>
      <w:marBottom w:val="0"/>
      <w:divBdr>
        <w:top w:val="none" w:sz="0" w:space="0" w:color="auto"/>
        <w:left w:val="none" w:sz="0" w:space="0" w:color="auto"/>
        <w:bottom w:val="none" w:sz="0" w:space="0" w:color="auto"/>
        <w:right w:val="none" w:sz="0" w:space="0" w:color="auto"/>
      </w:divBdr>
    </w:div>
    <w:div w:id="248775830">
      <w:bodyDiv w:val="1"/>
      <w:marLeft w:val="0"/>
      <w:marRight w:val="0"/>
      <w:marTop w:val="0"/>
      <w:marBottom w:val="0"/>
      <w:divBdr>
        <w:top w:val="none" w:sz="0" w:space="0" w:color="auto"/>
        <w:left w:val="none" w:sz="0" w:space="0" w:color="auto"/>
        <w:bottom w:val="none" w:sz="0" w:space="0" w:color="auto"/>
        <w:right w:val="none" w:sz="0" w:space="0" w:color="auto"/>
      </w:divBdr>
    </w:div>
    <w:div w:id="255938718">
      <w:bodyDiv w:val="1"/>
      <w:marLeft w:val="0"/>
      <w:marRight w:val="0"/>
      <w:marTop w:val="0"/>
      <w:marBottom w:val="0"/>
      <w:divBdr>
        <w:top w:val="none" w:sz="0" w:space="0" w:color="auto"/>
        <w:left w:val="none" w:sz="0" w:space="0" w:color="auto"/>
        <w:bottom w:val="none" w:sz="0" w:space="0" w:color="auto"/>
        <w:right w:val="none" w:sz="0" w:space="0" w:color="auto"/>
      </w:divBdr>
    </w:div>
    <w:div w:id="257521370">
      <w:bodyDiv w:val="1"/>
      <w:marLeft w:val="0"/>
      <w:marRight w:val="0"/>
      <w:marTop w:val="0"/>
      <w:marBottom w:val="0"/>
      <w:divBdr>
        <w:top w:val="none" w:sz="0" w:space="0" w:color="auto"/>
        <w:left w:val="none" w:sz="0" w:space="0" w:color="auto"/>
        <w:bottom w:val="none" w:sz="0" w:space="0" w:color="auto"/>
        <w:right w:val="none" w:sz="0" w:space="0" w:color="auto"/>
      </w:divBdr>
    </w:div>
    <w:div w:id="258831028">
      <w:bodyDiv w:val="1"/>
      <w:marLeft w:val="0"/>
      <w:marRight w:val="0"/>
      <w:marTop w:val="0"/>
      <w:marBottom w:val="0"/>
      <w:divBdr>
        <w:top w:val="none" w:sz="0" w:space="0" w:color="auto"/>
        <w:left w:val="none" w:sz="0" w:space="0" w:color="auto"/>
        <w:bottom w:val="none" w:sz="0" w:space="0" w:color="auto"/>
        <w:right w:val="none" w:sz="0" w:space="0" w:color="auto"/>
      </w:divBdr>
    </w:div>
    <w:div w:id="284847455">
      <w:bodyDiv w:val="1"/>
      <w:marLeft w:val="0"/>
      <w:marRight w:val="0"/>
      <w:marTop w:val="0"/>
      <w:marBottom w:val="0"/>
      <w:divBdr>
        <w:top w:val="none" w:sz="0" w:space="0" w:color="auto"/>
        <w:left w:val="none" w:sz="0" w:space="0" w:color="auto"/>
        <w:bottom w:val="none" w:sz="0" w:space="0" w:color="auto"/>
        <w:right w:val="none" w:sz="0" w:space="0" w:color="auto"/>
      </w:divBdr>
    </w:div>
    <w:div w:id="390615894">
      <w:bodyDiv w:val="1"/>
      <w:marLeft w:val="0"/>
      <w:marRight w:val="0"/>
      <w:marTop w:val="0"/>
      <w:marBottom w:val="0"/>
      <w:divBdr>
        <w:top w:val="none" w:sz="0" w:space="0" w:color="auto"/>
        <w:left w:val="none" w:sz="0" w:space="0" w:color="auto"/>
        <w:bottom w:val="none" w:sz="0" w:space="0" w:color="auto"/>
        <w:right w:val="none" w:sz="0" w:space="0" w:color="auto"/>
      </w:divBdr>
    </w:div>
    <w:div w:id="393625756">
      <w:bodyDiv w:val="1"/>
      <w:marLeft w:val="0"/>
      <w:marRight w:val="0"/>
      <w:marTop w:val="0"/>
      <w:marBottom w:val="0"/>
      <w:divBdr>
        <w:top w:val="none" w:sz="0" w:space="0" w:color="auto"/>
        <w:left w:val="none" w:sz="0" w:space="0" w:color="auto"/>
        <w:bottom w:val="none" w:sz="0" w:space="0" w:color="auto"/>
        <w:right w:val="none" w:sz="0" w:space="0" w:color="auto"/>
      </w:divBdr>
    </w:div>
    <w:div w:id="398987069">
      <w:bodyDiv w:val="1"/>
      <w:marLeft w:val="0"/>
      <w:marRight w:val="0"/>
      <w:marTop w:val="0"/>
      <w:marBottom w:val="0"/>
      <w:divBdr>
        <w:top w:val="none" w:sz="0" w:space="0" w:color="auto"/>
        <w:left w:val="none" w:sz="0" w:space="0" w:color="auto"/>
        <w:bottom w:val="none" w:sz="0" w:space="0" w:color="auto"/>
        <w:right w:val="none" w:sz="0" w:space="0" w:color="auto"/>
      </w:divBdr>
    </w:div>
    <w:div w:id="423916239">
      <w:bodyDiv w:val="1"/>
      <w:marLeft w:val="0"/>
      <w:marRight w:val="0"/>
      <w:marTop w:val="0"/>
      <w:marBottom w:val="0"/>
      <w:divBdr>
        <w:top w:val="none" w:sz="0" w:space="0" w:color="auto"/>
        <w:left w:val="none" w:sz="0" w:space="0" w:color="auto"/>
        <w:bottom w:val="none" w:sz="0" w:space="0" w:color="auto"/>
        <w:right w:val="none" w:sz="0" w:space="0" w:color="auto"/>
      </w:divBdr>
    </w:div>
    <w:div w:id="442379201">
      <w:bodyDiv w:val="1"/>
      <w:marLeft w:val="0"/>
      <w:marRight w:val="0"/>
      <w:marTop w:val="0"/>
      <w:marBottom w:val="0"/>
      <w:divBdr>
        <w:top w:val="none" w:sz="0" w:space="0" w:color="auto"/>
        <w:left w:val="none" w:sz="0" w:space="0" w:color="auto"/>
        <w:bottom w:val="none" w:sz="0" w:space="0" w:color="auto"/>
        <w:right w:val="none" w:sz="0" w:space="0" w:color="auto"/>
      </w:divBdr>
    </w:div>
    <w:div w:id="490876600">
      <w:bodyDiv w:val="1"/>
      <w:marLeft w:val="0"/>
      <w:marRight w:val="0"/>
      <w:marTop w:val="0"/>
      <w:marBottom w:val="0"/>
      <w:divBdr>
        <w:top w:val="none" w:sz="0" w:space="0" w:color="auto"/>
        <w:left w:val="none" w:sz="0" w:space="0" w:color="auto"/>
        <w:bottom w:val="none" w:sz="0" w:space="0" w:color="auto"/>
        <w:right w:val="none" w:sz="0" w:space="0" w:color="auto"/>
      </w:divBdr>
    </w:div>
    <w:div w:id="491214245">
      <w:bodyDiv w:val="1"/>
      <w:marLeft w:val="0"/>
      <w:marRight w:val="0"/>
      <w:marTop w:val="0"/>
      <w:marBottom w:val="0"/>
      <w:divBdr>
        <w:top w:val="none" w:sz="0" w:space="0" w:color="auto"/>
        <w:left w:val="none" w:sz="0" w:space="0" w:color="auto"/>
        <w:bottom w:val="none" w:sz="0" w:space="0" w:color="auto"/>
        <w:right w:val="none" w:sz="0" w:space="0" w:color="auto"/>
      </w:divBdr>
    </w:div>
    <w:div w:id="500389649">
      <w:bodyDiv w:val="1"/>
      <w:marLeft w:val="0"/>
      <w:marRight w:val="0"/>
      <w:marTop w:val="0"/>
      <w:marBottom w:val="0"/>
      <w:divBdr>
        <w:top w:val="none" w:sz="0" w:space="0" w:color="auto"/>
        <w:left w:val="none" w:sz="0" w:space="0" w:color="auto"/>
        <w:bottom w:val="none" w:sz="0" w:space="0" w:color="auto"/>
        <w:right w:val="none" w:sz="0" w:space="0" w:color="auto"/>
      </w:divBdr>
      <w:divsChild>
        <w:div w:id="1803961446">
          <w:marLeft w:val="0"/>
          <w:marRight w:val="0"/>
          <w:marTop w:val="0"/>
          <w:marBottom w:val="0"/>
          <w:divBdr>
            <w:top w:val="none" w:sz="0" w:space="0" w:color="auto"/>
            <w:left w:val="none" w:sz="0" w:space="0" w:color="auto"/>
            <w:bottom w:val="none" w:sz="0" w:space="0" w:color="auto"/>
            <w:right w:val="none" w:sz="0" w:space="0" w:color="auto"/>
          </w:divBdr>
          <w:divsChild>
            <w:div w:id="301272124">
              <w:marLeft w:val="0"/>
              <w:marRight w:val="0"/>
              <w:marTop w:val="0"/>
              <w:marBottom w:val="0"/>
              <w:divBdr>
                <w:top w:val="none" w:sz="0" w:space="0" w:color="auto"/>
                <w:left w:val="single" w:sz="48" w:space="0" w:color="FFFFFF"/>
                <w:bottom w:val="none" w:sz="0" w:space="0" w:color="auto"/>
                <w:right w:val="single" w:sz="48" w:space="0" w:color="FFFFFF"/>
              </w:divBdr>
              <w:divsChild>
                <w:div w:id="18236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8277">
      <w:bodyDiv w:val="1"/>
      <w:marLeft w:val="0"/>
      <w:marRight w:val="0"/>
      <w:marTop w:val="0"/>
      <w:marBottom w:val="0"/>
      <w:divBdr>
        <w:top w:val="none" w:sz="0" w:space="0" w:color="auto"/>
        <w:left w:val="none" w:sz="0" w:space="0" w:color="auto"/>
        <w:bottom w:val="none" w:sz="0" w:space="0" w:color="auto"/>
        <w:right w:val="none" w:sz="0" w:space="0" w:color="auto"/>
      </w:divBdr>
    </w:div>
    <w:div w:id="553348947">
      <w:bodyDiv w:val="1"/>
      <w:marLeft w:val="0"/>
      <w:marRight w:val="0"/>
      <w:marTop w:val="0"/>
      <w:marBottom w:val="0"/>
      <w:divBdr>
        <w:top w:val="none" w:sz="0" w:space="0" w:color="auto"/>
        <w:left w:val="none" w:sz="0" w:space="0" w:color="auto"/>
        <w:bottom w:val="none" w:sz="0" w:space="0" w:color="auto"/>
        <w:right w:val="none" w:sz="0" w:space="0" w:color="auto"/>
      </w:divBdr>
    </w:div>
    <w:div w:id="591935562">
      <w:bodyDiv w:val="1"/>
      <w:marLeft w:val="0"/>
      <w:marRight w:val="0"/>
      <w:marTop w:val="0"/>
      <w:marBottom w:val="0"/>
      <w:divBdr>
        <w:top w:val="none" w:sz="0" w:space="0" w:color="auto"/>
        <w:left w:val="none" w:sz="0" w:space="0" w:color="auto"/>
        <w:bottom w:val="none" w:sz="0" w:space="0" w:color="auto"/>
        <w:right w:val="none" w:sz="0" w:space="0" w:color="auto"/>
      </w:divBdr>
    </w:div>
    <w:div w:id="599027220">
      <w:bodyDiv w:val="1"/>
      <w:marLeft w:val="0"/>
      <w:marRight w:val="0"/>
      <w:marTop w:val="0"/>
      <w:marBottom w:val="0"/>
      <w:divBdr>
        <w:top w:val="none" w:sz="0" w:space="0" w:color="auto"/>
        <w:left w:val="none" w:sz="0" w:space="0" w:color="auto"/>
        <w:bottom w:val="none" w:sz="0" w:space="0" w:color="auto"/>
        <w:right w:val="none" w:sz="0" w:space="0" w:color="auto"/>
      </w:divBdr>
    </w:div>
    <w:div w:id="605620378">
      <w:bodyDiv w:val="1"/>
      <w:marLeft w:val="0"/>
      <w:marRight w:val="0"/>
      <w:marTop w:val="0"/>
      <w:marBottom w:val="0"/>
      <w:divBdr>
        <w:top w:val="none" w:sz="0" w:space="0" w:color="auto"/>
        <w:left w:val="none" w:sz="0" w:space="0" w:color="auto"/>
        <w:bottom w:val="none" w:sz="0" w:space="0" w:color="auto"/>
        <w:right w:val="none" w:sz="0" w:space="0" w:color="auto"/>
      </w:divBdr>
    </w:div>
    <w:div w:id="635991174">
      <w:bodyDiv w:val="1"/>
      <w:marLeft w:val="0"/>
      <w:marRight w:val="0"/>
      <w:marTop w:val="0"/>
      <w:marBottom w:val="0"/>
      <w:divBdr>
        <w:top w:val="none" w:sz="0" w:space="0" w:color="auto"/>
        <w:left w:val="none" w:sz="0" w:space="0" w:color="auto"/>
        <w:bottom w:val="none" w:sz="0" w:space="0" w:color="auto"/>
        <w:right w:val="none" w:sz="0" w:space="0" w:color="auto"/>
      </w:divBdr>
      <w:divsChild>
        <w:div w:id="522086712">
          <w:marLeft w:val="547"/>
          <w:marRight w:val="0"/>
          <w:marTop w:val="125"/>
          <w:marBottom w:val="0"/>
          <w:divBdr>
            <w:top w:val="none" w:sz="0" w:space="0" w:color="auto"/>
            <w:left w:val="none" w:sz="0" w:space="0" w:color="auto"/>
            <w:bottom w:val="none" w:sz="0" w:space="0" w:color="auto"/>
            <w:right w:val="none" w:sz="0" w:space="0" w:color="auto"/>
          </w:divBdr>
        </w:div>
      </w:divsChild>
    </w:div>
    <w:div w:id="646401660">
      <w:bodyDiv w:val="1"/>
      <w:marLeft w:val="0"/>
      <w:marRight w:val="0"/>
      <w:marTop w:val="0"/>
      <w:marBottom w:val="0"/>
      <w:divBdr>
        <w:top w:val="none" w:sz="0" w:space="0" w:color="auto"/>
        <w:left w:val="none" w:sz="0" w:space="0" w:color="auto"/>
        <w:bottom w:val="none" w:sz="0" w:space="0" w:color="auto"/>
        <w:right w:val="none" w:sz="0" w:space="0" w:color="auto"/>
      </w:divBdr>
    </w:div>
    <w:div w:id="748696812">
      <w:bodyDiv w:val="1"/>
      <w:marLeft w:val="0"/>
      <w:marRight w:val="0"/>
      <w:marTop w:val="0"/>
      <w:marBottom w:val="0"/>
      <w:divBdr>
        <w:top w:val="none" w:sz="0" w:space="0" w:color="auto"/>
        <w:left w:val="none" w:sz="0" w:space="0" w:color="auto"/>
        <w:bottom w:val="none" w:sz="0" w:space="0" w:color="auto"/>
        <w:right w:val="none" w:sz="0" w:space="0" w:color="auto"/>
      </w:divBdr>
    </w:div>
    <w:div w:id="765619415">
      <w:bodyDiv w:val="1"/>
      <w:marLeft w:val="0"/>
      <w:marRight w:val="0"/>
      <w:marTop w:val="0"/>
      <w:marBottom w:val="0"/>
      <w:divBdr>
        <w:top w:val="none" w:sz="0" w:space="0" w:color="auto"/>
        <w:left w:val="none" w:sz="0" w:space="0" w:color="auto"/>
        <w:bottom w:val="none" w:sz="0" w:space="0" w:color="auto"/>
        <w:right w:val="none" w:sz="0" w:space="0" w:color="auto"/>
      </w:divBdr>
    </w:div>
    <w:div w:id="845367485">
      <w:bodyDiv w:val="1"/>
      <w:marLeft w:val="0"/>
      <w:marRight w:val="0"/>
      <w:marTop w:val="0"/>
      <w:marBottom w:val="0"/>
      <w:divBdr>
        <w:top w:val="none" w:sz="0" w:space="0" w:color="auto"/>
        <w:left w:val="none" w:sz="0" w:space="0" w:color="auto"/>
        <w:bottom w:val="none" w:sz="0" w:space="0" w:color="auto"/>
        <w:right w:val="none" w:sz="0" w:space="0" w:color="auto"/>
      </w:divBdr>
    </w:div>
    <w:div w:id="931356202">
      <w:bodyDiv w:val="1"/>
      <w:marLeft w:val="0"/>
      <w:marRight w:val="0"/>
      <w:marTop w:val="0"/>
      <w:marBottom w:val="0"/>
      <w:divBdr>
        <w:top w:val="none" w:sz="0" w:space="0" w:color="auto"/>
        <w:left w:val="none" w:sz="0" w:space="0" w:color="auto"/>
        <w:bottom w:val="none" w:sz="0" w:space="0" w:color="auto"/>
        <w:right w:val="none" w:sz="0" w:space="0" w:color="auto"/>
      </w:divBdr>
    </w:div>
    <w:div w:id="1026828576">
      <w:bodyDiv w:val="1"/>
      <w:marLeft w:val="0"/>
      <w:marRight w:val="0"/>
      <w:marTop w:val="0"/>
      <w:marBottom w:val="0"/>
      <w:divBdr>
        <w:top w:val="none" w:sz="0" w:space="0" w:color="auto"/>
        <w:left w:val="none" w:sz="0" w:space="0" w:color="auto"/>
        <w:bottom w:val="none" w:sz="0" w:space="0" w:color="auto"/>
        <w:right w:val="none" w:sz="0" w:space="0" w:color="auto"/>
      </w:divBdr>
    </w:div>
    <w:div w:id="1028064513">
      <w:bodyDiv w:val="1"/>
      <w:marLeft w:val="0"/>
      <w:marRight w:val="0"/>
      <w:marTop w:val="0"/>
      <w:marBottom w:val="0"/>
      <w:divBdr>
        <w:top w:val="none" w:sz="0" w:space="0" w:color="auto"/>
        <w:left w:val="none" w:sz="0" w:space="0" w:color="auto"/>
        <w:bottom w:val="none" w:sz="0" w:space="0" w:color="auto"/>
        <w:right w:val="none" w:sz="0" w:space="0" w:color="auto"/>
      </w:divBdr>
      <w:divsChild>
        <w:div w:id="92669540">
          <w:marLeft w:val="0"/>
          <w:marRight w:val="0"/>
          <w:marTop w:val="0"/>
          <w:marBottom w:val="240"/>
          <w:divBdr>
            <w:top w:val="none" w:sz="0" w:space="0" w:color="auto"/>
            <w:left w:val="none" w:sz="0" w:space="0" w:color="auto"/>
            <w:bottom w:val="none" w:sz="0" w:space="0" w:color="auto"/>
            <w:right w:val="none" w:sz="0" w:space="0" w:color="auto"/>
          </w:divBdr>
        </w:div>
      </w:divsChild>
    </w:div>
    <w:div w:id="1085227416">
      <w:bodyDiv w:val="1"/>
      <w:marLeft w:val="0"/>
      <w:marRight w:val="0"/>
      <w:marTop w:val="0"/>
      <w:marBottom w:val="0"/>
      <w:divBdr>
        <w:top w:val="none" w:sz="0" w:space="0" w:color="auto"/>
        <w:left w:val="none" w:sz="0" w:space="0" w:color="auto"/>
        <w:bottom w:val="none" w:sz="0" w:space="0" w:color="auto"/>
        <w:right w:val="none" w:sz="0" w:space="0" w:color="auto"/>
      </w:divBdr>
    </w:div>
    <w:div w:id="1174762079">
      <w:bodyDiv w:val="1"/>
      <w:marLeft w:val="0"/>
      <w:marRight w:val="0"/>
      <w:marTop w:val="0"/>
      <w:marBottom w:val="0"/>
      <w:divBdr>
        <w:top w:val="none" w:sz="0" w:space="0" w:color="auto"/>
        <w:left w:val="none" w:sz="0" w:space="0" w:color="auto"/>
        <w:bottom w:val="none" w:sz="0" w:space="0" w:color="auto"/>
        <w:right w:val="none" w:sz="0" w:space="0" w:color="auto"/>
      </w:divBdr>
    </w:div>
    <w:div w:id="1209612529">
      <w:bodyDiv w:val="1"/>
      <w:marLeft w:val="0"/>
      <w:marRight w:val="0"/>
      <w:marTop w:val="0"/>
      <w:marBottom w:val="0"/>
      <w:divBdr>
        <w:top w:val="none" w:sz="0" w:space="0" w:color="auto"/>
        <w:left w:val="none" w:sz="0" w:space="0" w:color="auto"/>
        <w:bottom w:val="none" w:sz="0" w:space="0" w:color="auto"/>
        <w:right w:val="none" w:sz="0" w:space="0" w:color="auto"/>
      </w:divBdr>
      <w:divsChild>
        <w:div w:id="462625708">
          <w:marLeft w:val="0"/>
          <w:marRight w:val="0"/>
          <w:marTop w:val="0"/>
          <w:marBottom w:val="0"/>
          <w:divBdr>
            <w:top w:val="none" w:sz="0" w:space="0" w:color="auto"/>
            <w:left w:val="none" w:sz="0" w:space="0" w:color="auto"/>
            <w:bottom w:val="none" w:sz="0" w:space="0" w:color="auto"/>
            <w:right w:val="none" w:sz="0" w:space="0" w:color="auto"/>
          </w:divBdr>
        </w:div>
        <w:div w:id="710685507">
          <w:marLeft w:val="0"/>
          <w:marRight w:val="0"/>
          <w:marTop w:val="0"/>
          <w:marBottom w:val="0"/>
          <w:divBdr>
            <w:top w:val="none" w:sz="0" w:space="0" w:color="auto"/>
            <w:left w:val="none" w:sz="0" w:space="0" w:color="auto"/>
            <w:bottom w:val="none" w:sz="0" w:space="0" w:color="auto"/>
            <w:right w:val="none" w:sz="0" w:space="0" w:color="auto"/>
          </w:divBdr>
        </w:div>
        <w:div w:id="397940643">
          <w:marLeft w:val="0"/>
          <w:marRight w:val="0"/>
          <w:marTop w:val="0"/>
          <w:marBottom w:val="0"/>
          <w:divBdr>
            <w:top w:val="none" w:sz="0" w:space="0" w:color="auto"/>
            <w:left w:val="none" w:sz="0" w:space="0" w:color="auto"/>
            <w:bottom w:val="none" w:sz="0" w:space="0" w:color="auto"/>
            <w:right w:val="none" w:sz="0" w:space="0" w:color="auto"/>
          </w:divBdr>
        </w:div>
      </w:divsChild>
    </w:div>
    <w:div w:id="1229654083">
      <w:bodyDiv w:val="1"/>
      <w:marLeft w:val="0"/>
      <w:marRight w:val="0"/>
      <w:marTop w:val="0"/>
      <w:marBottom w:val="0"/>
      <w:divBdr>
        <w:top w:val="none" w:sz="0" w:space="0" w:color="auto"/>
        <w:left w:val="none" w:sz="0" w:space="0" w:color="auto"/>
        <w:bottom w:val="none" w:sz="0" w:space="0" w:color="auto"/>
        <w:right w:val="none" w:sz="0" w:space="0" w:color="auto"/>
      </w:divBdr>
    </w:div>
    <w:div w:id="1266226653">
      <w:bodyDiv w:val="1"/>
      <w:marLeft w:val="0"/>
      <w:marRight w:val="0"/>
      <w:marTop w:val="0"/>
      <w:marBottom w:val="0"/>
      <w:divBdr>
        <w:top w:val="none" w:sz="0" w:space="0" w:color="auto"/>
        <w:left w:val="none" w:sz="0" w:space="0" w:color="auto"/>
        <w:bottom w:val="none" w:sz="0" w:space="0" w:color="auto"/>
        <w:right w:val="none" w:sz="0" w:space="0" w:color="auto"/>
      </w:divBdr>
    </w:div>
    <w:div w:id="1295789553">
      <w:bodyDiv w:val="1"/>
      <w:marLeft w:val="0"/>
      <w:marRight w:val="0"/>
      <w:marTop w:val="0"/>
      <w:marBottom w:val="0"/>
      <w:divBdr>
        <w:top w:val="none" w:sz="0" w:space="0" w:color="auto"/>
        <w:left w:val="none" w:sz="0" w:space="0" w:color="auto"/>
        <w:bottom w:val="none" w:sz="0" w:space="0" w:color="auto"/>
        <w:right w:val="none" w:sz="0" w:space="0" w:color="auto"/>
      </w:divBdr>
    </w:div>
    <w:div w:id="1300695932">
      <w:bodyDiv w:val="1"/>
      <w:marLeft w:val="0"/>
      <w:marRight w:val="0"/>
      <w:marTop w:val="0"/>
      <w:marBottom w:val="0"/>
      <w:divBdr>
        <w:top w:val="none" w:sz="0" w:space="0" w:color="auto"/>
        <w:left w:val="none" w:sz="0" w:space="0" w:color="auto"/>
        <w:bottom w:val="none" w:sz="0" w:space="0" w:color="auto"/>
        <w:right w:val="none" w:sz="0" w:space="0" w:color="auto"/>
      </w:divBdr>
    </w:div>
    <w:div w:id="1304382355">
      <w:bodyDiv w:val="1"/>
      <w:marLeft w:val="0"/>
      <w:marRight w:val="0"/>
      <w:marTop w:val="0"/>
      <w:marBottom w:val="0"/>
      <w:divBdr>
        <w:top w:val="none" w:sz="0" w:space="0" w:color="auto"/>
        <w:left w:val="none" w:sz="0" w:space="0" w:color="auto"/>
        <w:bottom w:val="none" w:sz="0" w:space="0" w:color="auto"/>
        <w:right w:val="none" w:sz="0" w:space="0" w:color="auto"/>
      </w:divBdr>
    </w:div>
    <w:div w:id="1345979003">
      <w:bodyDiv w:val="1"/>
      <w:marLeft w:val="0"/>
      <w:marRight w:val="0"/>
      <w:marTop w:val="0"/>
      <w:marBottom w:val="0"/>
      <w:divBdr>
        <w:top w:val="none" w:sz="0" w:space="0" w:color="auto"/>
        <w:left w:val="none" w:sz="0" w:space="0" w:color="auto"/>
        <w:bottom w:val="none" w:sz="0" w:space="0" w:color="auto"/>
        <w:right w:val="none" w:sz="0" w:space="0" w:color="auto"/>
      </w:divBdr>
    </w:div>
    <w:div w:id="1348750530">
      <w:bodyDiv w:val="1"/>
      <w:marLeft w:val="0"/>
      <w:marRight w:val="0"/>
      <w:marTop w:val="0"/>
      <w:marBottom w:val="0"/>
      <w:divBdr>
        <w:top w:val="none" w:sz="0" w:space="0" w:color="auto"/>
        <w:left w:val="none" w:sz="0" w:space="0" w:color="auto"/>
        <w:bottom w:val="none" w:sz="0" w:space="0" w:color="auto"/>
        <w:right w:val="none" w:sz="0" w:space="0" w:color="auto"/>
      </w:divBdr>
    </w:div>
    <w:div w:id="1394935150">
      <w:bodyDiv w:val="1"/>
      <w:marLeft w:val="0"/>
      <w:marRight w:val="0"/>
      <w:marTop w:val="0"/>
      <w:marBottom w:val="0"/>
      <w:divBdr>
        <w:top w:val="none" w:sz="0" w:space="0" w:color="auto"/>
        <w:left w:val="none" w:sz="0" w:space="0" w:color="auto"/>
        <w:bottom w:val="none" w:sz="0" w:space="0" w:color="auto"/>
        <w:right w:val="none" w:sz="0" w:space="0" w:color="auto"/>
      </w:divBdr>
    </w:div>
    <w:div w:id="1422724070">
      <w:bodyDiv w:val="1"/>
      <w:marLeft w:val="0"/>
      <w:marRight w:val="0"/>
      <w:marTop w:val="0"/>
      <w:marBottom w:val="0"/>
      <w:divBdr>
        <w:top w:val="none" w:sz="0" w:space="0" w:color="auto"/>
        <w:left w:val="none" w:sz="0" w:space="0" w:color="auto"/>
        <w:bottom w:val="none" w:sz="0" w:space="0" w:color="auto"/>
        <w:right w:val="none" w:sz="0" w:space="0" w:color="auto"/>
      </w:divBdr>
    </w:div>
    <w:div w:id="1445156768">
      <w:bodyDiv w:val="1"/>
      <w:marLeft w:val="0"/>
      <w:marRight w:val="0"/>
      <w:marTop w:val="0"/>
      <w:marBottom w:val="0"/>
      <w:divBdr>
        <w:top w:val="none" w:sz="0" w:space="0" w:color="auto"/>
        <w:left w:val="none" w:sz="0" w:space="0" w:color="auto"/>
        <w:bottom w:val="none" w:sz="0" w:space="0" w:color="auto"/>
        <w:right w:val="none" w:sz="0" w:space="0" w:color="auto"/>
      </w:divBdr>
    </w:div>
    <w:div w:id="1485125653">
      <w:bodyDiv w:val="1"/>
      <w:marLeft w:val="0"/>
      <w:marRight w:val="0"/>
      <w:marTop w:val="0"/>
      <w:marBottom w:val="0"/>
      <w:divBdr>
        <w:top w:val="none" w:sz="0" w:space="0" w:color="auto"/>
        <w:left w:val="none" w:sz="0" w:space="0" w:color="auto"/>
        <w:bottom w:val="none" w:sz="0" w:space="0" w:color="auto"/>
        <w:right w:val="none" w:sz="0" w:space="0" w:color="auto"/>
      </w:divBdr>
    </w:div>
    <w:div w:id="1493062575">
      <w:bodyDiv w:val="1"/>
      <w:marLeft w:val="0"/>
      <w:marRight w:val="0"/>
      <w:marTop w:val="0"/>
      <w:marBottom w:val="0"/>
      <w:divBdr>
        <w:top w:val="none" w:sz="0" w:space="0" w:color="auto"/>
        <w:left w:val="none" w:sz="0" w:space="0" w:color="auto"/>
        <w:bottom w:val="none" w:sz="0" w:space="0" w:color="auto"/>
        <w:right w:val="none" w:sz="0" w:space="0" w:color="auto"/>
      </w:divBdr>
    </w:div>
    <w:div w:id="1532953807">
      <w:bodyDiv w:val="1"/>
      <w:marLeft w:val="0"/>
      <w:marRight w:val="0"/>
      <w:marTop w:val="0"/>
      <w:marBottom w:val="0"/>
      <w:divBdr>
        <w:top w:val="none" w:sz="0" w:space="0" w:color="auto"/>
        <w:left w:val="none" w:sz="0" w:space="0" w:color="auto"/>
        <w:bottom w:val="none" w:sz="0" w:space="0" w:color="auto"/>
        <w:right w:val="none" w:sz="0" w:space="0" w:color="auto"/>
      </w:divBdr>
    </w:div>
    <w:div w:id="1535920998">
      <w:bodyDiv w:val="1"/>
      <w:marLeft w:val="0"/>
      <w:marRight w:val="0"/>
      <w:marTop w:val="0"/>
      <w:marBottom w:val="0"/>
      <w:divBdr>
        <w:top w:val="none" w:sz="0" w:space="0" w:color="auto"/>
        <w:left w:val="none" w:sz="0" w:space="0" w:color="auto"/>
        <w:bottom w:val="none" w:sz="0" w:space="0" w:color="auto"/>
        <w:right w:val="none" w:sz="0" w:space="0" w:color="auto"/>
      </w:divBdr>
      <w:divsChild>
        <w:div w:id="1571620106">
          <w:marLeft w:val="0"/>
          <w:marRight w:val="0"/>
          <w:marTop w:val="0"/>
          <w:marBottom w:val="0"/>
          <w:divBdr>
            <w:top w:val="none" w:sz="0" w:space="0" w:color="auto"/>
            <w:left w:val="none" w:sz="0" w:space="0" w:color="auto"/>
            <w:bottom w:val="none" w:sz="0" w:space="0" w:color="auto"/>
            <w:right w:val="none" w:sz="0" w:space="0" w:color="auto"/>
          </w:divBdr>
          <w:divsChild>
            <w:div w:id="1019816920">
              <w:marLeft w:val="0"/>
              <w:marRight w:val="0"/>
              <w:marTop w:val="0"/>
              <w:marBottom w:val="0"/>
              <w:divBdr>
                <w:top w:val="none" w:sz="0" w:space="0" w:color="auto"/>
                <w:left w:val="none" w:sz="0" w:space="0" w:color="auto"/>
                <w:bottom w:val="single" w:sz="6" w:space="0" w:color="DEDEDE"/>
                <w:right w:val="none" w:sz="0" w:space="0" w:color="auto"/>
              </w:divBdr>
              <w:divsChild>
                <w:div w:id="1402674139">
                  <w:marLeft w:val="0"/>
                  <w:marRight w:val="0"/>
                  <w:marTop w:val="0"/>
                  <w:marBottom w:val="0"/>
                  <w:divBdr>
                    <w:top w:val="none" w:sz="0" w:space="0" w:color="auto"/>
                    <w:left w:val="none" w:sz="0" w:space="0" w:color="auto"/>
                    <w:bottom w:val="none" w:sz="0" w:space="0" w:color="auto"/>
                    <w:right w:val="none" w:sz="0" w:space="0" w:color="auto"/>
                  </w:divBdr>
                  <w:divsChild>
                    <w:div w:id="1002783504">
                      <w:marLeft w:val="0"/>
                      <w:marRight w:val="0"/>
                      <w:marTop w:val="0"/>
                      <w:marBottom w:val="0"/>
                      <w:divBdr>
                        <w:top w:val="none" w:sz="0" w:space="0" w:color="auto"/>
                        <w:left w:val="none" w:sz="0" w:space="0" w:color="auto"/>
                        <w:bottom w:val="none" w:sz="0" w:space="0" w:color="auto"/>
                        <w:right w:val="none" w:sz="0" w:space="0" w:color="auto"/>
                      </w:divBdr>
                      <w:divsChild>
                        <w:div w:id="252974573">
                          <w:marLeft w:val="0"/>
                          <w:marRight w:val="0"/>
                          <w:marTop w:val="0"/>
                          <w:marBottom w:val="0"/>
                          <w:divBdr>
                            <w:top w:val="single" w:sz="6" w:space="0" w:color="CCCCCC"/>
                            <w:left w:val="single" w:sz="6" w:space="0" w:color="CCCCCC"/>
                            <w:bottom w:val="single" w:sz="6" w:space="0" w:color="CCCCCC"/>
                            <w:right w:val="single" w:sz="6" w:space="0" w:color="CCCCCC"/>
                          </w:divBdr>
                          <w:divsChild>
                            <w:div w:id="1960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09725">
              <w:marLeft w:val="0"/>
              <w:marRight w:val="0"/>
              <w:marTop w:val="315"/>
              <w:marBottom w:val="0"/>
              <w:divBdr>
                <w:top w:val="none" w:sz="0" w:space="0" w:color="auto"/>
                <w:left w:val="none" w:sz="0" w:space="0" w:color="auto"/>
                <w:bottom w:val="none" w:sz="0" w:space="0" w:color="auto"/>
                <w:right w:val="none" w:sz="0" w:space="0" w:color="auto"/>
              </w:divBdr>
              <w:divsChild>
                <w:div w:id="1587380023">
                  <w:marLeft w:val="0"/>
                  <w:marRight w:val="0"/>
                  <w:marTop w:val="0"/>
                  <w:marBottom w:val="0"/>
                  <w:divBdr>
                    <w:top w:val="none" w:sz="0" w:space="0" w:color="auto"/>
                    <w:left w:val="none" w:sz="0" w:space="0" w:color="auto"/>
                    <w:bottom w:val="none" w:sz="0" w:space="0" w:color="auto"/>
                    <w:right w:val="none" w:sz="0" w:space="0" w:color="auto"/>
                  </w:divBdr>
                  <w:divsChild>
                    <w:div w:id="560100749">
                      <w:marLeft w:val="0"/>
                      <w:marRight w:val="0"/>
                      <w:marTop w:val="0"/>
                      <w:marBottom w:val="0"/>
                      <w:divBdr>
                        <w:top w:val="none" w:sz="0" w:space="0" w:color="auto"/>
                        <w:left w:val="none" w:sz="0" w:space="0" w:color="auto"/>
                        <w:bottom w:val="none" w:sz="0" w:space="0" w:color="auto"/>
                        <w:right w:val="none" w:sz="0" w:space="0" w:color="auto"/>
                      </w:divBdr>
                      <w:divsChild>
                        <w:div w:id="778258668">
                          <w:marLeft w:val="0"/>
                          <w:marRight w:val="0"/>
                          <w:marTop w:val="0"/>
                          <w:marBottom w:val="0"/>
                          <w:divBdr>
                            <w:top w:val="none" w:sz="0" w:space="0" w:color="auto"/>
                            <w:left w:val="none" w:sz="0" w:space="0" w:color="auto"/>
                            <w:bottom w:val="none" w:sz="0" w:space="0" w:color="auto"/>
                            <w:right w:val="none" w:sz="0" w:space="0" w:color="auto"/>
                          </w:divBdr>
                          <w:divsChild>
                            <w:div w:id="13777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340">
                      <w:marLeft w:val="3180"/>
                      <w:marRight w:val="0"/>
                      <w:marTop w:val="0"/>
                      <w:marBottom w:val="0"/>
                      <w:divBdr>
                        <w:top w:val="none" w:sz="0" w:space="0" w:color="auto"/>
                        <w:left w:val="none" w:sz="0" w:space="0" w:color="auto"/>
                        <w:bottom w:val="none" w:sz="0" w:space="0" w:color="auto"/>
                        <w:right w:val="none" w:sz="0" w:space="0" w:color="auto"/>
                      </w:divBdr>
                      <w:divsChild>
                        <w:div w:id="565577389">
                          <w:marLeft w:val="0"/>
                          <w:marRight w:val="0"/>
                          <w:marTop w:val="240"/>
                          <w:marBottom w:val="240"/>
                          <w:divBdr>
                            <w:top w:val="none" w:sz="0" w:space="0" w:color="auto"/>
                            <w:left w:val="none" w:sz="0" w:space="0" w:color="auto"/>
                            <w:bottom w:val="none" w:sz="0" w:space="0" w:color="auto"/>
                            <w:right w:val="none" w:sz="0" w:space="0" w:color="auto"/>
                          </w:divBdr>
                          <w:divsChild>
                            <w:div w:id="787234717">
                              <w:marLeft w:val="0"/>
                              <w:marRight w:val="0"/>
                              <w:marTop w:val="0"/>
                              <w:marBottom w:val="0"/>
                              <w:divBdr>
                                <w:top w:val="none" w:sz="0" w:space="0" w:color="auto"/>
                                <w:left w:val="none" w:sz="0" w:space="0" w:color="auto"/>
                                <w:bottom w:val="none" w:sz="0" w:space="0" w:color="auto"/>
                                <w:right w:val="none" w:sz="0" w:space="0" w:color="auto"/>
                              </w:divBdr>
                              <w:divsChild>
                                <w:div w:id="1250315781">
                                  <w:marLeft w:val="0"/>
                                  <w:marRight w:val="0"/>
                                  <w:marTop w:val="0"/>
                                  <w:marBottom w:val="0"/>
                                  <w:divBdr>
                                    <w:top w:val="none" w:sz="0" w:space="0" w:color="auto"/>
                                    <w:left w:val="none" w:sz="0" w:space="0" w:color="auto"/>
                                    <w:bottom w:val="none" w:sz="0" w:space="0" w:color="auto"/>
                                    <w:right w:val="none" w:sz="0" w:space="0" w:color="auto"/>
                                  </w:divBdr>
                                </w:div>
                              </w:divsChild>
                            </w:div>
                            <w:div w:id="20888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15424">
      <w:bodyDiv w:val="1"/>
      <w:marLeft w:val="0"/>
      <w:marRight w:val="0"/>
      <w:marTop w:val="0"/>
      <w:marBottom w:val="0"/>
      <w:divBdr>
        <w:top w:val="none" w:sz="0" w:space="0" w:color="auto"/>
        <w:left w:val="none" w:sz="0" w:space="0" w:color="auto"/>
        <w:bottom w:val="none" w:sz="0" w:space="0" w:color="auto"/>
        <w:right w:val="none" w:sz="0" w:space="0" w:color="auto"/>
      </w:divBdr>
      <w:divsChild>
        <w:div w:id="1547377955">
          <w:marLeft w:val="0"/>
          <w:marRight w:val="0"/>
          <w:marTop w:val="0"/>
          <w:marBottom w:val="0"/>
          <w:divBdr>
            <w:top w:val="none" w:sz="0" w:space="0" w:color="auto"/>
            <w:left w:val="none" w:sz="0" w:space="0" w:color="auto"/>
            <w:bottom w:val="none" w:sz="0" w:space="0" w:color="auto"/>
            <w:right w:val="none" w:sz="0" w:space="0" w:color="auto"/>
          </w:divBdr>
          <w:divsChild>
            <w:div w:id="1912427622">
              <w:marLeft w:val="0"/>
              <w:marRight w:val="0"/>
              <w:marTop w:val="0"/>
              <w:marBottom w:val="0"/>
              <w:divBdr>
                <w:top w:val="none" w:sz="0" w:space="0" w:color="auto"/>
                <w:left w:val="single" w:sz="48" w:space="0" w:color="FFFFFF"/>
                <w:bottom w:val="none" w:sz="0" w:space="0" w:color="auto"/>
                <w:right w:val="single" w:sz="48" w:space="0" w:color="FFFFFF"/>
              </w:divBdr>
              <w:divsChild>
                <w:div w:id="1770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1305">
      <w:bodyDiv w:val="1"/>
      <w:marLeft w:val="0"/>
      <w:marRight w:val="0"/>
      <w:marTop w:val="0"/>
      <w:marBottom w:val="0"/>
      <w:divBdr>
        <w:top w:val="none" w:sz="0" w:space="0" w:color="auto"/>
        <w:left w:val="none" w:sz="0" w:space="0" w:color="auto"/>
        <w:bottom w:val="none" w:sz="0" w:space="0" w:color="auto"/>
        <w:right w:val="none" w:sz="0" w:space="0" w:color="auto"/>
      </w:divBdr>
    </w:div>
    <w:div w:id="1633100701">
      <w:bodyDiv w:val="1"/>
      <w:marLeft w:val="0"/>
      <w:marRight w:val="0"/>
      <w:marTop w:val="0"/>
      <w:marBottom w:val="0"/>
      <w:divBdr>
        <w:top w:val="none" w:sz="0" w:space="0" w:color="auto"/>
        <w:left w:val="none" w:sz="0" w:space="0" w:color="auto"/>
        <w:bottom w:val="none" w:sz="0" w:space="0" w:color="auto"/>
        <w:right w:val="none" w:sz="0" w:space="0" w:color="auto"/>
      </w:divBdr>
    </w:div>
    <w:div w:id="1634866612">
      <w:bodyDiv w:val="1"/>
      <w:marLeft w:val="0"/>
      <w:marRight w:val="0"/>
      <w:marTop w:val="0"/>
      <w:marBottom w:val="0"/>
      <w:divBdr>
        <w:top w:val="none" w:sz="0" w:space="0" w:color="auto"/>
        <w:left w:val="none" w:sz="0" w:space="0" w:color="auto"/>
        <w:bottom w:val="none" w:sz="0" w:space="0" w:color="auto"/>
        <w:right w:val="none" w:sz="0" w:space="0" w:color="auto"/>
      </w:divBdr>
    </w:div>
    <w:div w:id="1660618672">
      <w:bodyDiv w:val="1"/>
      <w:marLeft w:val="0"/>
      <w:marRight w:val="0"/>
      <w:marTop w:val="0"/>
      <w:marBottom w:val="0"/>
      <w:divBdr>
        <w:top w:val="none" w:sz="0" w:space="0" w:color="auto"/>
        <w:left w:val="none" w:sz="0" w:space="0" w:color="auto"/>
        <w:bottom w:val="none" w:sz="0" w:space="0" w:color="auto"/>
        <w:right w:val="none" w:sz="0" w:space="0" w:color="auto"/>
      </w:divBdr>
    </w:div>
    <w:div w:id="1667902297">
      <w:bodyDiv w:val="1"/>
      <w:marLeft w:val="0"/>
      <w:marRight w:val="0"/>
      <w:marTop w:val="0"/>
      <w:marBottom w:val="0"/>
      <w:divBdr>
        <w:top w:val="none" w:sz="0" w:space="0" w:color="auto"/>
        <w:left w:val="none" w:sz="0" w:space="0" w:color="auto"/>
        <w:bottom w:val="none" w:sz="0" w:space="0" w:color="auto"/>
        <w:right w:val="none" w:sz="0" w:space="0" w:color="auto"/>
      </w:divBdr>
    </w:div>
    <w:div w:id="1713990996">
      <w:bodyDiv w:val="1"/>
      <w:marLeft w:val="0"/>
      <w:marRight w:val="0"/>
      <w:marTop w:val="0"/>
      <w:marBottom w:val="0"/>
      <w:divBdr>
        <w:top w:val="none" w:sz="0" w:space="0" w:color="auto"/>
        <w:left w:val="none" w:sz="0" w:space="0" w:color="auto"/>
        <w:bottom w:val="none" w:sz="0" w:space="0" w:color="auto"/>
        <w:right w:val="none" w:sz="0" w:space="0" w:color="auto"/>
      </w:divBdr>
    </w:div>
    <w:div w:id="1730305645">
      <w:bodyDiv w:val="1"/>
      <w:marLeft w:val="0"/>
      <w:marRight w:val="0"/>
      <w:marTop w:val="0"/>
      <w:marBottom w:val="0"/>
      <w:divBdr>
        <w:top w:val="none" w:sz="0" w:space="0" w:color="auto"/>
        <w:left w:val="none" w:sz="0" w:space="0" w:color="auto"/>
        <w:bottom w:val="none" w:sz="0" w:space="0" w:color="auto"/>
        <w:right w:val="none" w:sz="0" w:space="0" w:color="auto"/>
      </w:divBdr>
    </w:div>
    <w:div w:id="1769689268">
      <w:bodyDiv w:val="1"/>
      <w:marLeft w:val="0"/>
      <w:marRight w:val="0"/>
      <w:marTop w:val="0"/>
      <w:marBottom w:val="0"/>
      <w:divBdr>
        <w:top w:val="none" w:sz="0" w:space="0" w:color="auto"/>
        <w:left w:val="none" w:sz="0" w:space="0" w:color="auto"/>
        <w:bottom w:val="none" w:sz="0" w:space="0" w:color="auto"/>
        <w:right w:val="none" w:sz="0" w:space="0" w:color="auto"/>
      </w:divBdr>
    </w:div>
    <w:div w:id="1781759154">
      <w:bodyDiv w:val="1"/>
      <w:marLeft w:val="0"/>
      <w:marRight w:val="0"/>
      <w:marTop w:val="0"/>
      <w:marBottom w:val="0"/>
      <w:divBdr>
        <w:top w:val="none" w:sz="0" w:space="0" w:color="auto"/>
        <w:left w:val="none" w:sz="0" w:space="0" w:color="auto"/>
        <w:bottom w:val="none" w:sz="0" w:space="0" w:color="auto"/>
        <w:right w:val="none" w:sz="0" w:space="0" w:color="auto"/>
      </w:divBdr>
    </w:div>
    <w:div w:id="1784613079">
      <w:bodyDiv w:val="1"/>
      <w:marLeft w:val="0"/>
      <w:marRight w:val="0"/>
      <w:marTop w:val="0"/>
      <w:marBottom w:val="0"/>
      <w:divBdr>
        <w:top w:val="none" w:sz="0" w:space="0" w:color="auto"/>
        <w:left w:val="none" w:sz="0" w:space="0" w:color="auto"/>
        <w:bottom w:val="none" w:sz="0" w:space="0" w:color="auto"/>
        <w:right w:val="none" w:sz="0" w:space="0" w:color="auto"/>
      </w:divBdr>
    </w:div>
    <w:div w:id="1889142219">
      <w:bodyDiv w:val="1"/>
      <w:marLeft w:val="0"/>
      <w:marRight w:val="0"/>
      <w:marTop w:val="0"/>
      <w:marBottom w:val="0"/>
      <w:divBdr>
        <w:top w:val="none" w:sz="0" w:space="0" w:color="auto"/>
        <w:left w:val="none" w:sz="0" w:space="0" w:color="auto"/>
        <w:bottom w:val="none" w:sz="0" w:space="0" w:color="auto"/>
        <w:right w:val="none" w:sz="0" w:space="0" w:color="auto"/>
      </w:divBdr>
      <w:divsChild>
        <w:div w:id="506941772">
          <w:marLeft w:val="0"/>
          <w:marRight w:val="0"/>
          <w:marTop w:val="0"/>
          <w:marBottom w:val="0"/>
          <w:divBdr>
            <w:top w:val="none" w:sz="0" w:space="0" w:color="auto"/>
            <w:left w:val="none" w:sz="0" w:space="0" w:color="auto"/>
            <w:bottom w:val="none" w:sz="0" w:space="0" w:color="auto"/>
            <w:right w:val="none" w:sz="0" w:space="0" w:color="auto"/>
          </w:divBdr>
          <w:divsChild>
            <w:div w:id="16122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6188">
      <w:bodyDiv w:val="1"/>
      <w:marLeft w:val="0"/>
      <w:marRight w:val="0"/>
      <w:marTop w:val="0"/>
      <w:marBottom w:val="0"/>
      <w:divBdr>
        <w:top w:val="none" w:sz="0" w:space="0" w:color="auto"/>
        <w:left w:val="none" w:sz="0" w:space="0" w:color="auto"/>
        <w:bottom w:val="none" w:sz="0" w:space="0" w:color="auto"/>
        <w:right w:val="none" w:sz="0" w:space="0" w:color="auto"/>
      </w:divBdr>
    </w:div>
    <w:div w:id="1945651054">
      <w:bodyDiv w:val="1"/>
      <w:marLeft w:val="0"/>
      <w:marRight w:val="0"/>
      <w:marTop w:val="0"/>
      <w:marBottom w:val="0"/>
      <w:divBdr>
        <w:top w:val="none" w:sz="0" w:space="0" w:color="auto"/>
        <w:left w:val="none" w:sz="0" w:space="0" w:color="auto"/>
        <w:bottom w:val="none" w:sz="0" w:space="0" w:color="auto"/>
        <w:right w:val="none" w:sz="0" w:space="0" w:color="auto"/>
      </w:divBdr>
    </w:div>
    <w:div w:id="1964923107">
      <w:bodyDiv w:val="1"/>
      <w:marLeft w:val="0"/>
      <w:marRight w:val="0"/>
      <w:marTop w:val="0"/>
      <w:marBottom w:val="0"/>
      <w:divBdr>
        <w:top w:val="none" w:sz="0" w:space="0" w:color="auto"/>
        <w:left w:val="none" w:sz="0" w:space="0" w:color="auto"/>
        <w:bottom w:val="none" w:sz="0" w:space="0" w:color="auto"/>
        <w:right w:val="none" w:sz="0" w:space="0" w:color="auto"/>
      </w:divBdr>
    </w:div>
    <w:div w:id="2023311107">
      <w:bodyDiv w:val="1"/>
      <w:marLeft w:val="0"/>
      <w:marRight w:val="0"/>
      <w:marTop w:val="0"/>
      <w:marBottom w:val="0"/>
      <w:divBdr>
        <w:top w:val="none" w:sz="0" w:space="0" w:color="auto"/>
        <w:left w:val="none" w:sz="0" w:space="0" w:color="auto"/>
        <w:bottom w:val="none" w:sz="0" w:space="0" w:color="auto"/>
        <w:right w:val="none" w:sz="0" w:space="0" w:color="auto"/>
      </w:divBdr>
      <w:divsChild>
        <w:div w:id="712077423">
          <w:marLeft w:val="0"/>
          <w:marRight w:val="0"/>
          <w:marTop w:val="0"/>
          <w:marBottom w:val="0"/>
          <w:divBdr>
            <w:top w:val="none" w:sz="0" w:space="0" w:color="auto"/>
            <w:left w:val="none" w:sz="0" w:space="0" w:color="auto"/>
            <w:bottom w:val="none" w:sz="0" w:space="0" w:color="auto"/>
            <w:right w:val="none" w:sz="0" w:space="0" w:color="auto"/>
          </w:divBdr>
          <w:divsChild>
            <w:div w:id="823081886">
              <w:marLeft w:val="0"/>
              <w:marRight w:val="0"/>
              <w:marTop w:val="0"/>
              <w:marBottom w:val="0"/>
              <w:divBdr>
                <w:top w:val="none" w:sz="0" w:space="0" w:color="auto"/>
                <w:left w:val="single" w:sz="48" w:space="0" w:color="FFFFFF"/>
                <w:bottom w:val="none" w:sz="0" w:space="0" w:color="auto"/>
                <w:right w:val="single" w:sz="48" w:space="0" w:color="FFFFFF"/>
              </w:divBdr>
              <w:divsChild>
                <w:div w:id="14946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30169">
      <w:marLeft w:val="0"/>
      <w:marRight w:val="0"/>
      <w:marTop w:val="0"/>
      <w:marBottom w:val="0"/>
      <w:divBdr>
        <w:top w:val="none" w:sz="0" w:space="0" w:color="auto"/>
        <w:left w:val="none" w:sz="0" w:space="0" w:color="auto"/>
        <w:bottom w:val="none" w:sz="0" w:space="0" w:color="auto"/>
        <w:right w:val="none" w:sz="0" w:space="0" w:color="auto"/>
      </w:divBdr>
    </w:div>
    <w:div w:id="2096130170">
      <w:marLeft w:val="0"/>
      <w:marRight w:val="0"/>
      <w:marTop w:val="120"/>
      <w:marBottom w:val="120"/>
      <w:divBdr>
        <w:top w:val="none" w:sz="0" w:space="0" w:color="auto"/>
        <w:left w:val="none" w:sz="0" w:space="0" w:color="auto"/>
        <w:bottom w:val="none" w:sz="0" w:space="0" w:color="auto"/>
        <w:right w:val="none" w:sz="0" w:space="0" w:color="auto"/>
      </w:divBdr>
      <w:divsChild>
        <w:div w:id="2096130194">
          <w:marLeft w:val="0"/>
          <w:marRight w:val="0"/>
          <w:marTop w:val="0"/>
          <w:marBottom w:val="0"/>
          <w:divBdr>
            <w:top w:val="none" w:sz="0" w:space="0" w:color="auto"/>
            <w:left w:val="none" w:sz="0" w:space="0" w:color="auto"/>
            <w:bottom w:val="none" w:sz="0" w:space="0" w:color="auto"/>
            <w:right w:val="none" w:sz="0" w:space="0" w:color="auto"/>
          </w:divBdr>
          <w:divsChild>
            <w:div w:id="2096130166">
              <w:marLeft w:val="3696"/>
              <w:marRight w:val="150"/>
              <w:marTop w:val="0"/>
              <w:marBottom w:val="0"/>
              <w:divBdr>
                <w:top w:val="none" w:sz="0" w:space="0" w:color="auto"/>
                <w:left w:val="none" w:sz="0" w:space="0" w:color="auto"/>
                <w:bottom w:val="none" w:sz="0" w:space="0" w:color="auto"/>
                <w:right w:val="none" w:sz="0" w:space="0" w:color="auto"/>
              </w:divBdr>
            </w:div>
          </w:divsChild>
        </w:div>
      </w:divsChild>
    </w:div>
    <w:div w:id="2096130173">
      <w:marLeft w:val="0"/>
      <w:marRight w:val="0"/>
      <w:marTop w:val="0"/>
      <w:marBottom w:val="0"/>
      <w:divBdr>
        <w:top w:val="none" w:sz="0" w:space="0" w:color="auto"/>
        <w:left w:val="none" w:sz="0" w:space="0" w:color="auto"/>
        <w:bottom w:val="none" w:sz="0" w:space="0" w:color="auto"/>
        <w:right w:val="none" w:sz="0" w:space="0" w:color="auto"/>
      </w:divBdr>
      <w:divsChild>
        <w:div w:id="2096130196">
          <w:marLeft w:val="0"/>
          <w:marRight w:val="0"/>
          <w:marTop w:val="100"/>
          <w:marBottom w:val="100"/>
          <w:divBdr>
            <w:top w:val="none" w:sz="0" w:space="0" w:color="auto"/>
            <w:left w:val="none" w:sz="0" w:space="0" w:color="auto"/>
            <w:bottom w:val="none" w:sz="0" w:space="0" w:color="auto"/>
            <w:right w:val="none" w:sz="0" w:space="0" w:color="auto"/>
          </w:divBdr>
          <w:divsChild>
            <w:div w:id="2096130167">
              <w:marLeft w:val="0"/>
              <w:marRight w:val="0"/>
              <w:marTop w:val="100"/>
              <w:marBottom w:val="100"/>
              <w:divBdr>
                <w:top w:val="none" w:sz="0" w:space="0" w:color="auto"/>
                <w:left w:val="single" w:sz="6" w:space="9" w:color="3366CC"/>
                <w:bottom w:val="single" w:sz="6" w:space="9" w:color="3366CC"/>
                <w:right w:val="single" w:sz="6" w:space="9" w:color="3366CC"/>
              </w:divBdr>
            </w:div>
          </w:divsChild>
        </w:div>
      </w:divsChild>
    </w:div>
    <w:div w:id="2096130175">
      <w:marLeft w:val="0"/>
      <w:marRight w:val="0"/>
      <w:marTop w:val="0"/>
      <w:marBottom w:val="0"/>
      <w:divBdr>
        <w:top w:val="none" w:sz="0" w:space="0" w:color="auto"/>
        <w:left w:val="none" w:sz="0" w:space="0" w:color="auto"/>
        <w:bottom w:val="none" w:sz="0" w:space="0" w:color="auto"/>
        <w:right w:val="none" w:sz="0" w:space="0" w:color="auto"/>
      </w:divBdr>
    </w:div>
    <w:div w:id="2096130176">
      <w:marLeft w:val="0"/>
      <w:marRight w:val="0"/>
      <w:marTop w:val="0"/>
      <w:marBottom w:val="0"/>
      <w:divBdr>
        <w:top w:val="none" w:sz="0" w:space="0" w:color="auto"/>
        <w:left w:val="none" w:sz="0" w:space="0" w:color="auto"/>
        <w:bottom w:val="none" w:sz="0" w:space="0" w:color="auto"/>
        <w:right w:val="none" w:sz="0" w:space="0" w:color="auto"/>
      </w:divBdr>
      <w:divsChild>
        <w:div w:id="2096130164">
          <w:marLeft w:val="965"/>
          <w:marRight w:val="0"/>
          <w:marTop w:val="96"/>
          <w:marBottom w:val="0"/>
          <w:divBdr>
            <w:top w:val="none" w:sz="0" w:space="0" w:color="auto"/>
            <w:left w:val="none" w:sz="0" w:space="0" w:color="auto"/>
            <w:bottom w:val="none" w:sz="0" w:space="0" w:color="auto"/>
            <w:right w:val="none" w:sz="0" w:space="0" w:color="auto"/>
          </w:divBdr>
        </w:div>
        <w:div w:id="2096130168">
          <w:marLeft w:val="965"/>
          <w:marRight w:val="0"/>
          <w:marTop w:val="96"/>
          <w:marBottom w:val="0"/>
          <w:divBdr>
            <w:top w:val="none" w:sz="0" w:space="0" w:color="auto"/>
            <w:left w:val="none" w:sz="0" w:space="0" w:color="auto"/>
            <w:bottom w:val="none" w:sz="0" w:space="0" w:color="auto"/>
            <w:right w:val="none" w:sz="0" w:space="0" w:color="auto"/>
          </w:divBdr>
        </w:div>
        <w:div w:id="2096130212">
          <w:marLeft w:val="965"/>
          <w:marRight w:val="0"/>
          <w:marTop w:val="96"/>
          <w:marBottom w:val="0"/>
          <w:divBdr>
            <w:top w:val="none" w:sz="0" w:space="0" w:color="auto"/>
            <w:left w:val="none" w:sz="0" w:space="0" w:color="auto"/>
            <w:bottom w:val="none" w:sz="0" w:space="0" w:color="auto"/>
            <w:right w:val="none" w:sz="0" w:space="0" w:color="auto"/>
          </w:divBdr>
        </w:div>
      </w:divsChild>
    </w:div>
    <w:div w:id="2096130178">
      <w:marLeft w:val="0"/>
      <w:marRight w:val="0"/>
      <w:marTop w:val="0"/>
      <w:marBottom w:val="0"/>
      <w:divBdr>
        <w:top w:val="none" w:sz="0" w:space="0" w:color="auto"/>
        <w:left w:val="none" w:sz="0" w:space="0" w:color="auto"/>
        <w:bottom w:val="none" w:sz="0" w:space="0" w:color="auto"/>
        <w:right w:val="none" w:sz="0" w:space="0" w:color="auto"/>
      </w:divBdr>
    </w:div>
    <w:div w:id="2096130181">
      <w:marLeft w:val="0"/>
      <w:marRight w:val="0"/>
      <w:marTop w:val="0"/>
      <w:marBottom w:val="0"/>
      <w:divBdr>
        <w:top w:val="none" w:sz="0" w:space="0" w:color="auto"/>
        <w:left w:val="none" w:sz="0" w:space="0" w:color="auto"/>
        <w:bottom w:val="none" w:sz="0" w:space="0" w:color="auto"/>
        <w:right w:val="none" w:sz="0" w:space="0" w:color="auto"/>
      </w:divBdr>
    </w:div>
    <w:div w:id="2096130182">
      <w:marLeft w:val="0"/>
      <w:marRight w:val="0"/>
      <w:marTop w:val="0"/>
      <w:marBottom w:val="0"/>
      <w:divBdr>
        <w:top w:val="none" w:sz="0" w:space="0" w:color="auto"/>
        <w:left w:val="none" w:sz="0" w:space="0" w:color="auto"/>
        <w:bottom w:val="none" w:sz="0" w:space="0" w:color="auto"/>
        <w:right w:val="none" w:sz="0" w:space="0" w:color="auto"/>
      </w:divBdr>
      <w:divsChild>
        <w:div w:id="2096130186">
          <w:marLeft w:val="1555"/>
          <w:marRight w:val="0"/>
          <w:marTop w:val="115"/>
          <w:marBottom w:val="0"/>
          <w:divBdr>
            <w:top w:val="none" w:sz="0" w:space="0" w:color="auto"/>
            <w:left w:val="none" w:sz="0" w:space="0" w:color="auto"/>
            <w:bottom w:val="none" w:sz="0" w:space="0" w:color="auto"/>
            <w:right w:val="none" w:sz="0" w:space="0" w:color="auto"/>
          </w:divBdr>
        </w:div>
      </w:divsChild>
    </w:div>
    <w:div w:id="2096130185">
      <w:marLeft w:val="0"/>
      <w:marRight w:val="0"/>
      <w:marTop w:val="0"/>
      <w:marBottom w:val="0"/>
      <w:divBdr>
        <w:top w:val="none" w:sz="0" w:space="0" w:color="auto"/>
        <w:left w:val="none" w:sz="0" w:space="0" w:color="auto"/>
        <w:bottom w:val="none" w:sz="0" w:space="0" w:color="auto"/>
        <w:right w:val="none" w:sz="0" w:space="0" w:color="auto"/>
      </w:divBdr>
    </w:div>
    <w:div w:id="2096130187">
      <w:marLeft w:val="0"/>
      <w:marRight w:val="0"/>
      <w:marTop w:val="0"/>
      <w:marBottom w:val="0"/>
      <w:divBdr>
        <w:top w:val="none" w:sz="0" w:space="0" w:color="auto"/>
        <w:left w:val="none" w:sz="0" w:space="0" w:color="auto"/>
        <w:bottom w:val="none" w:sz="0" w:space="0" w:color="auto"/>
        <w:right w:val="none" w:sz="0" w:space="0" w:color="auto"/>
      </w:divBdr>
    </w:div>
    <w:div w:id="2096130188">
      <w:marLeft w:val="0"/>
      <w:marRight w:val="0"/>
      <w:marTop w:val="0"/>
      <w:marBottom w:val="0"/>
      <w:divBdr>
        <w:top w:val="none" w:sz="0" w:space="0" w:color="auto"/>
        <w:left w:val="none" w:sz="0" w:space="0" w:color="auto"/>
        <w:bottom w:val="none" w:sz="0" w:space="0" w:color="auto"/>
        <w:right w:val="none" w:sz="0" w:space="0" w:color="auto"/>
      </w:divBdr>
    </w:div>
    <w:div w:id="2096130189">
      <w:marLeft w:val="0"/>
      <w:marRight w:val="0"/>
      <w:marTop w:val="0"/>
      <w:marBottom w:val="0"/>
      <w:divBdr>
        <w:top w:val="none" w:sz="0" w:space="0" w:color="auto"/>
        <w:left w:val="none" w:sz="0" w:space="0" w:color="auto"/>
        <w:bottom w:val="none" w:sz="0" w:space="0" w:color="auto"/>
        <w:right w:val="none" w:sz="0" w:space="0" w:color="auto"/>
      </w:divBdr>
    </w:div>
    <w:div w:id="2096130190">
      <w:marLeft w:val="0"/>
      <w:marRight w:val="0"/>
      <w:marTop w:val="0"/>
      <w:marBottom w:val="0"/>
      <w:divBdr>
        <w:top w:val="none" w:sz="0" w:space="0" w:color="auto"/>
        <w:left w:val="none" w:sz="0" w:space="0" w:color="auto"/>
        <w:bottom w:val="none" w:sz="0" w:space="0" w:color="auto"/>
        <w:right w:val="none" w:sz="0" w:space="0" w:color="auto"/>
      </w:divBdr>
    </w:div>
    <w:div w:id="2096130191">
      <w:marLeft w:val="0"/>
      <w:marRight w:val="0"/>
      <w:marTop w:val="0"/>
      <w:marBottom w:val="0"/>
      <w:divBdr>
        <w:top w:val="none" w:sz="0" w:space="0" w:color="auto"/>
        <w:left w:val="none" w:sz="0" w:space="0" w:color="auto"/>
        <w:bottom w:val="none" w:sz="0" w:space="0" w:color="auto"/>
        <w:right w:val="none" w:sz="0" w:space="0" w:color="auto"/>
      </w:divBdr>
    </w:div>
    <w:div w:id="2096130193">
      <w:marLeft w:val="0"/>
      <w:marRight w:val="0"/>
      <w:marTop w:val="0"/>
      <w:marBottom w:val="0"/>
      <w:divBdr>
        <w:top w:val="none" w:sz="0" w:space="0" w:color="auto"/>
        <w:left w:val="none" w:sz="0" w:space="0" w:color="auto"/>
        <w:bottom w:val="none" w:sz="0" w:space="0" w:color="auto"/>
        <w:right w:val="none" w:sz="0" w:space="0" w:color="auto"/>
      </w:divBdr>
    </w:div>
    <w:div w:id="2096130200">
      <w:marLeft w:val="0"/>
      <w:marRight w:val="0"/>
      <w:marTop w:val="0"/>
      <w:marBottom w:val="0"/>
      <w:divBdr>
        <w:top w:val="none" w:sz="0" w:space="0" w:color="auto"/>
        <w:left w:val="none" w:sz="0" w:space="0" w:color="auto"/>
        <w:bottom w:val="none" w:sz="0" w:space="0" w:color="auto"/>
        <w:right w:val="none" w:sz="0" w:space="0" w:color="auto"/>
      </w:divBdr>
      <w:divsChild>
        <w:div w:id="2096130171">
          <w:marLeft w:val="0"/>
          <w:marRight w:val="0"/>
          <w:marTop w:val="0"/>
          <w:marBottom w:val="0"/>
          <w:divBdr>
            <w:top w:val="none" w:sz="0" w:space="0" w:color="auto"/>
            <w:left w:val="none" w:sz="0" w:space="0" w:color="auto"/>
            <w:bottom w:val="none" w:sz="0" w:space="0" w:color="auto"/>
            <w:right w:val="none" w:sz="0" w:space="0" w:color="auto"/>
          </w:divBdr>
          <w:divsChild>
            <w:div w:id="20961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0205">
      <w:marLeft w:val="0"/>
      <w:marRight w:val="0"/>
      <w:marTop w:val="0"/>
      <w:marBottom w:val="0"/>
      <w:divBdr>
        <w:top w:val="none" w:sz="0" w:space="0" w:color="auto"/>
        <w:left w:val="none" w:sz="0" w:space="0" w:color="auto"/>
        <w:bottom w:val="none" w:sz="0" w:space="0" w:color="auto"/>
        <w:right w:val="none" w:sz="0" w:space="0" w:color="auto"/>
      </w:divBdr>
    </w:div>
    <w:div w:id="2096130206">
      <w:marLeft w:val="0"/>
      <w:marRight w:val="0"/>
      <w:marTop w:val="0"/>
      <w:marBottom w:val="0"/>
      <w:divBdr>
        <w:top w:val="none" w:sz="0" w:space="0" w:color="auto"/>
        <w:left w:val="none" w:sz="0" w:space="0" w:color="auto"/>
        <w:bottom w:val="none" w:sz="0" w:space="0" w:color="auto"/>
        <w:right w:val="none" w:sz="0" w:space="0" w:color="auto"/>
      </w:divBdr>
    </w:div>
    <w:div w:id="2096130208">
      <w:marLeft w:val="0"/>
      <w:marRight w:val="0"/>
      <w:marTop w:val="0"/>
      <w:marBottom w:val="0"/>
      <w:divBdr>
        <w:top w:val="none" w:sz="0" w:space="0" w:color="auto"/>
        <w:left w:val="none" w:sz="0" w:space="0" w:color="auto"/>
        <w:bottom w:val="none" w:sz="0" w:space="0" w:color="auto"/>
        <w:right w:val="none" w:sz="0" w:space="0" w:color="auto"/>
      </w:divBdr>
    </w:div>
    <w:div w:id="2096130210">
      <w:marLeft w:val="0"/>
      <w:marRight w:val="0"/>
      <w:marTop w:val="0"/>
      <w:marBottom w:val="0"/>
      <w:divBdr>
        <w:top w:val="none" w:sz="0" w:space="0" w:color="auto"/>
        <w:left w:val="none" w:sz="0" w:space="0" w:color="auto"/>
        <w:bottom w:val="none" w:sz="0" w:space="0" w:color="auto"/>
        <w:right w:val="none" w:sz="0" w:space="0" w:color="auto"/>
      </w:divBdr>
      <w:divsChild>
        <w:div w:id="2096130163">
          <w:marLeft w:val="965"/>
          <w:marRight w:val="0"/>
          <w:marTop w:val="96"/>
          <w:marBottom w:val="0"/>
          <w:divBdr>
            <w:top w:val="none" w:sz="0" w:space="0" w:color="auto"/>
            <w:left w:val="none" w:sz="0" w:space="0" w:color="auto"/>
            <w:bottom w:val="none" w:sz="0" w:space="0" w:color="auto"/>
            <w:right w:val="none" w:sz="0" w:space="0" w:color="auto"/>
          </w:divBdr>
        </w:div>
        <w:div w:id="2096130165">
          <w:marLeft w:val="965"/>
          <w:marRight w:val="0"/>
          <w:marTop w:val="96"/>
          <w:marBottom w:val="0"/>
          <w:divBdr>
            <w:top w:val="none" w:sz="0" w:space="0" w:color="auto"/>
            <w:left w:val="none" w:sz="0" w:space="0" w:color="auto"/>
            <w:bottom w:val="none" w:sz="0" w:space="0" w:color="auto"/>
            <w:right w:val="none" w:sz="0" w:space="0" w:color="auto"/>
          </w:divBdr>
        </w:div>
        <w:div w:id="2096130180">
          <w:marLeft w:val="965"/>
          <w:marRight w:val="0"/>
          <w:marTop w:val="96"/>
          <w:marBottom w:val="0"/>
          <w:divBdr>
            <w:top w:val="none" w:sz="0" w:space="0" w:color="auto"/>
            <w:left w:val="none" w:sz="0" w:space="0" w:color="auto"/>
            <w:bottom w:val="none" w:sz="0" w:space="0" w:color="auto"/>
            <w:right w:val="none" w:sz="0" w:space="0" w:color="auto"/>
          </w:divBdr>
        </w:div>
        <w:div w:id="2096130199">
          <w:marLeft w:val="965"/>
          <w:marRight w:val="0"/>
          <w:marTop w:val="96"/>
          <w:marBottom w:val="0"/>
          <w:divBdr>
            <w:top w:val="none" w:sz="0" w:space="0" w:color="auto"/>
            <w:left w:val="none" w:sz="0" w:space="0" w:color="auto"/>
            <w:bottom w:val="none" w:sz="0" w:space="0" w:color="auto"/>
            <w:right w:val="none" w:sz="0" w:space="0" w:color="auto"/>
          </w:divBdr>
        </w:div>
      </w:divsChild>
    </w:div>
    <w:div w:id="2096130213">
      <w:marLeft w:val="0"/>
      <w:marRight w:val="0"/>
      <w:marTop w:val="0"/>
      <w:marBottom w:val="0"/>
      <w:divBdr>
        <w:top w:val="none" w:sz="0" w:space="0" w:color="auto"/>
        <w:left w:val="none" w:sz="0" w:space="0" w:color="auto"/>
        <w:bottom w:val="none" w:sz="0" w:space="0" w:color="auto"/>
        <w:right w:val="none" w:sz="0" w:space="0" w:color="auto"/>
      </w:divBdr>
      <w:divsChild>
        <w:div w:id="2096130184">
          <w:marLeft w:val="0"/>
          <w:marRight w:val="0"/>
          <w:marTop w:val="0"/>
          <w:marBottom w:val="0"/>
          <w:divBdr>
            <w:top w:val="none" w:sz="0" w:space="0" w:color="auto"/>
            <w:left w:val="none" w:sz="0" w:space="0" w:color="auto"/>
            <w:bottom w:val="none" w:sz="0" w:space="0" w:color="auto"/>
            <w:right w:val="none" w:sz="0" w:space="0" w:color="auto"/>
          </w:divBdr>
          <w:divsChild>
            <w:div w:id="2096130172">
              <w:marLeft w:val="0"/>
              <w:marRight w:val="0"/>
              <w:marTop w:val="0"/>
              <w:marBottom w:val="0"/>
              <w:divBdr>
                <w:top w:val="none" w:sz="0" w:space="0" w:color="auto"/>
                <w:left w:val="none" w:sz="0" w:space="0" w:color="auto"/>
                <w:bottom w:val="none" w:sz="0" w:space="0" w:color="auto"/>
                <w:right w:val="none" w:sz="0" w:space="0" w:color="auto"/>
              </w:divBdr>
              <w:divsChild>
                <w:div w:id="2096130203">
                  <w:marLeft w:val="0"/>
                  <w:marRight w:val="0"/>
                  <w:marTop w:val="0"/>
                  <w:marBottom w:val="0"/>
                  <w:divBdr>
                    <w:top w:val="none" w:sz="0" w:space="0" w:color="auto"/>
                    <w:left w:val="none" w:sz="0" w:space="0" w:color="auto"/>
                    <w:bottom w:val="none" w:sz="0" w:space="0" w:color="auto"/>
                    <w:right w:val="none" w:sz="0" w:space="0" w:color="auto"/>
                  </w:divBdr>
                  <w:divsChild>
                    <w:div w:id="2096130207">
                      <w:marLeft w:val="0"/>
                      <w:marRight w:val="0"/>
                      <w:marTop w:val="0"/>
                      <w:marBottom w:val="0"/>
                      <w:divBdr>
                        <w:top w:val="single" w:sz="24" w:space="0" w:color="E8E8E8"/>
                        <w:left w:val="none" w:sz="0" w:space="0" w:color="auto"/>
                        <w:bottom w:val="none" w:sz="0" w:space="0" w:color="auto"/>
                        <w:right w:val="none" w:sz="0" w:space="0" w:color="auto"/>
                      </w:divBdr>
                      <w:divsChild>
                        <w:div w:id="2096130179">
                          <w:marLeft w:val="0"/>
                          <w:marRight w:val="5415"/>
                          <w:marTop w:val="0"/>
                          <w:marBottom w:val="0"/>
                          <w:divBdr>
                            <w:top w:val="none" w:sz="0" w:space="0" w:color="auto"/>
                            <w:left w:val="none" w:sz="0" w:space="0" w:color="auto"/>
                            <w:bottom w:val="none" w:sz="0" w:space="0" w:color="auto"/>
                            <w:right w:val="none" w:sz="0" w:space="0" w:color="auto"/>
                          </w:divBdr>
                          <w:divsChild>
                            <w:div w:id="2096130197">
                              <w:marLeft w:val="0"/>
                              <w:marRight w:val="0"/>
                              <w:marTop w:val="0"/>
                              <w:marBottom w:val="0"/>
                              <w:divBdr>
                                <w:top w:val="none" w:sz="0" w:space="0" w:color="auto"/>
                                <w:left w:val="none" w:sz="0" w:space="0" w:color="auto"/>
                                <w:bottom w:val="none" w:sz="0" w:space="0" w:color="auto"/>
                                <w:right w:val="none" w:sz="0" w:space="0" w:color="auto"/>
                              </w:divBdr>
                              <w:divsChild>
                                <w:div w:id="2096130192">
                                  <w:marLeft w:val="0"/>
                                  <w:marRight w:val="0"/>
                                  <w:marTop w:val="0"/>
                                  <w:marBottom w:val="0"/>
                                  <w:divBdr>
                                    <w:top w:val="single" w:sz="6" w:space="0" w:color="FFFFFF"/>
                                    <w:left w:val="none" w:sz="0" w:space="0" w:color="auto"/>
                                    <w:bottom w:val="none" w:sz="0" w:space="0" w:color="auto"/>
                                    <w:right w:val="none" w:sz="0" w:space="0" w:color="auto"/>
                                  </w:divBdr>
                                  <w:divsChild>
                                    <w:div w:id="2096130204">
                                      <w:marLeft w:val="0"/>
                                      <w:marRight w:val="0"/>
                                      <w:marTop w:val="0"/>
                                      <w:marBottom w:val="0"/>
                                      <w:divBdr>
                                        <w:top w:val="none" w:sz="0" w:space="0" w:color="auto"/>
                                        <w:left w:val="none" w:sz="0" w:space="0" w:color="auto"/>
                                        <w:bottom w:val="none" w:sz="0" w:space="0" w:color="auto"/>
                                        <w:right w:val="none" w:sz="0" w:space="0" w:color="auto"/>
                                      </w:divBdr>
                                      <w:divsChild>
                                        <w:div w:id="2096130201">
                                          <w:marLeft w:val="0"/>
                                          <w:marRight w:val="0"/>
                                          <w:marTop w:val="0"/>
                                          <w:marBottom w:val="0"/>
                                          <w:divBdr>
                                            <w:top w:val="none" w:sz="0" w:space="0" w:color="auto"/>
                                            <w:left w:val="none" w:sz="0" w:space="0" w:color="auto"/>
                                            <w:bottom w:val="none" w:sz="0" w:space="0" w:color="auto"/>
                                            <w:right w:val="none" w:sz="0" w:space="0" w:color="auto"/>
                                          </w:divBdr>
                                          <w:divsChild>
                                            <w:div w:id="2096130195">
                                              <w:marLeft w:val="0"/>
                                              <w:marRight w:val="0"/>
                                              <w:marTop w:val="0"/>
                                              <w:marBottom w:val="0"/>
                                              <w:divBdr>
                                                <w:top w:val="none" w:sz="0" w:space="0" w:color="auto"/>
                                                <w:left w:val="none" w:sz="0" w:space="0" w:color="auto"/>
                                                <w:bottom w:val="none" w:sz="0" w:space="0" w:color="auto"/>
                                                <w:right w:val="none" w:sz="0" w:space="0" w:color="auto"/>
                                              </w:divBdr>
                                              <w:divsChild>
                                                <w:div w:id="2096130209">
                                                  <w:marLeft w:val="45"/>
                                                  <w:marRight w:val="75"/>
                                                  <w:marTop w:val="0"/>
                                                  <w:marBottom w:val="0"/>
                                                  <w:divBdr>
                                                    <w:top w:val="none" w:sz="0" w:space="0" w:color="auto"/>
                                                    <w:left w:val="none" w:sz="0" w:space="0" w:color="auto"/>
                                                    <w:bottom w:val="none" w:sz="0" w:space="0" w:color="auto"/>
                                                    <w:right w:val="none" w:sz="0" w:space="0" w:color="auto"/>
                                                  </w:divBdr>
                                                  <w:divsChild>
                                                    <w:div w:id="2096130198">
                                                      <w:marLeft w:val="0"/>
                                                      <w:marRight w:val="0"/>
                                                      <w:marTop w:val="0"/>
                                                      <w:marBottom w:val="0"/>
                                                      <w:divBdr>
                                                        <w:top w:val="none" w:sz="0" w:space="0" w:color="auto"/>
                                                        <w:left w:val="none" w:sz="0" w:space="0" w:color="auto"/>
                                                        <w:bottom w:val="none" w:sz="0" w:space="0" w:color="auto"/>
                                                        <w:right w:val="none" w:sz="0" w:space="0" w:color="auto"/>
                                                      </w:divBdr>
                                                      <w:divsChild>
                                                        <w:div w:id="2096130211">
                                                          <w:marLeft w:val="0"/>
                                                          <w:marRight w:val="0"/>
                                                          <w:marTop w:val="0"/>
                                                          <w:marBottom w:val="0"/>
                                                          <w:divBdr>
                                                            <w:top w:val="none" w:sz="0" w:space="0" w:color="auto"/>
                                                            <w:left w:val="none" w:sz="0" w:space="0" w:color="auto"/>
                                                            <w:bottom w:val="none" w:sz="0" w:space="0" w:color="auto"/>
                                                            <w:right w:val="none" w:sz="0" w:space="0" w:color="auto"/>
                                                          </w:divBdr>
                                                          <w:divsChild>
                                                            <w:div w:id="2096130174">
                                                              <w:marLeft w:val="0"/>
                                                              <w:marRight w:val="0"/>
                                                              <w:marTop w:val="0"/>
                                                              <w:marBottom w:val="0"/>
                                                              <w:divBdr>
                                                                <w:top w:val="none" w:sz="0" w:space="0" w:color="auto"/>
                                                                <w:left w:val="none" w:sz="0" w:space="0" w:color="auto"/>
                                                                <w:bottom w:val="none" w:sz="0" w:space="0" w:color="auto"/>
                                                                <w:right w:val="none" w:sz="0" w:space="0" w:color="auto"/>
                                                              </w:divBdr>
                                                              <w:divsChild>
                                                                <w:div w:id="2096130202">
                                                                  <w:marLeft w:val="0"/>
                                                                  <w:marRight w:val="0"/>
                                                                  <w:marTop w:val="0"/>
                                                                  <w:marBottom w:val="0"/>
                                                                  <w:divBdr>
                                                                    <w:top w:val="none" w:sz="0" w:space="0" w:color="auto"/>
                                                                    <w:left w:val="none" w:sz="0" w:space="0" w:color="auto"/>
                                                                    <w:bottom w:val="none" w:sz="0" w:space="0" w:color="auto"/>
                                                                    <w:right w:val="none" w:sz="0" w:space="0" w:color="auto"/>
                                                                  </w:divBdr>
                                                                  <w:divsChild>
                                                                    <w:div w:id="20961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trin@lse.ac.uk"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u.ac.at/fileadmin/wu/d/i/iqv/Gugler/irle_gmps_201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pelletier@lse.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lausmeyer.co.uk" TargetMode="External"/><Relationship Id="rId4" Type="http://schemas.openxmlformats.org/officeDocument/2006/relationships/settings" Target="settings.xml"/><Relationship Id="rId9" Type="http://schemas.openxmlformats.org/officeDocument/2006/relationships/hyperlink" Target="mailto:kmeyer@ivey.ca" TargetMode="Externa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geert-hofste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CCCA69B-6F75-4091-8BC8-E1D749B1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56</Pages>
  <Words>15184</Words>
  <Characters>86396</Characters>
  <Application>Microsoft Office Word</Application>
  <DocSecurity>0</DocSecurity>
  <Lines>719</Lines>
  <Paragraphs>202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Are Emerging Economy MNEs really different</vt:lpstr>
      <vt:lpstr>Are Emerging Economy MNEs really different</vt:lpstr>
    </vt:vector>
  </TitlesOfParts>
  <Company>LSE</Company>
  <LinksUpToDate>false</LinksUpToDate>
  <CharactersWithSpaces>101378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Emerging Economy MNEs really different</dc:title>
  <dc:creator>IT Services</dc:creator>
  <cp:lastModifiedBy>Meyer, Klaus</cp:lastModifiedBy>
  <cp:revision>5</cp:revision>
  <cp:lastPrinted>2018-02-28T16:32:00Z</cp:lastPrinted>
  <dcterms:created xsi:type="dcterms:W3CDTF">2018-02-18T11:43:00Z</dcterms:created>
  <dcterms:modified xsi:type="dcterms:W3CDTF">2018-04-10T15:04:00Z</dcterms:modified>
</cp:coreProperties>
</file>