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0DF33" w14:textId="67845F63" w:rsidR="004D665F" w:rsidRDefault="004D665F" w:rsidP="004D665F">
      <w:pPr>
        <w:pStyle w:val="Articletitle"/>
        <w:ind w:firstLine="0"/>
      </w:pPr>
      <w:r>
        <w:t>BOOK REVIEW</w:t>
      </w:r>
    </w:p>
    <w:p w14:paraId="68C326DD" w14:textId="77777777" w:rsidR="004D665F" w:rsidRDefault="004D665F" w:rsidP="004D665F">
      <w:pPr>
        <w:pStyle w:val="Articletitle"/>
        <w:spacing w:after="0" w:line="240" w:lineRule="auto"/>
        <w:ind w:firstLine="0"/>
      </w:pPr>
    </w:p>
    <w:p w14:paraId="6DB5F312" w14:textId="0D06FC0A" w:rsidR="00343135" w:rsidRPr="004D665F" w:rsidRDefault="002E2049" w:rsidP="004D665F">
      <w:pPr>
        <w:pStyle w:val="Articletitle"/>
        <w:spacing w:after="0" w:line="240" w:lineRule="auto"/>
        <w:ind w:firstLine="0"/>
        <w:rPr>
          <w:rFonts w:eastAsiaTheme="minorEastAsia"/>
          <w:b w:val="0"/>
          <w:color w:val="262626"/>
          <w:sz w:val="24"/>
        </w:rPr>
      </w:pPr>
      <w:r w:rsidRPr="004D665F">
        <w:rPr>
          <w:sz w:val="24"/>
        </w:rPr>
        <w:t xml:space="preserve">Modernising School Governance: Corporate planning and expert handling, by Andrew Wilkins, </w:t>
      </w:r>
      <w:r w:rsidRPr="004D665F">
        <w:rPr>
          <w:b w:val="0"/>
          <w:sz w:val="24"/>
        </w:rPr>
        <w:t>London, Routledge, 2016, 188 pp., £36.99 (paperback), ISBN</w:t>
      </w:r>
      <w:r w:rsidRPr="004D665F">
        <w:rPr>
          <w:rFonts w:eastAsiaTheme="minorEastAsia"/>
          <w:b w:val="0"/>
          <w:bCs/>
          <w:color w:val="262626"/>
          <w:sz w:val="24"/>
        </w:rPr>
        <w:t xml:space="preserve"> </w:t>
      </w:r>
      <w:r w:rsidRPr="004D665F">
        <w:rPr>
          <w:rFonts w:eastAsiaTheme="minorEastAsia"/>
          <w:b w:val="0"/>
          <w:color w:val="262626"/>
          <w:sz w:val="24"/>
        </w:rPr>
        <w:t>978-0815360674</w:t>
      </w:r>
    </w:p>
    <w:p w14:paraId="797B94DF" w14:textId="77777777" w:rsidR="004D665F" w:rsidRDefault="004D665F" w:rsidP="004D665F">
      <w:pPr>
        <w:ind w:firstLine="0"/>
        <w:rPr>
          <w:rFonts w:cs="Arial"/>
          <w:b/>
          <w:bCs/>
          <w:kern w:val="32"/>
          <w:szCs w:val="32"/>
        </w:rPr>
      </w:pPr>
    </w:p>
    <w:p w14:paraId="150B2CD2" w14:textId="77777777" w:rsidR="004D665F" w:rsidRDefault="004D665F" w:rsidP="004D665F">
      <w:pPr>
        <w:ind w:firstLine="0"/>
        <w:rPr>
          <w:rFonts w:cs="Arial"/>
          <w:b/>
          <w:bCs/>
          <w:kern w:val="32"/>
          <w:szCs w:val="32"/>
        </w:rPr>
      </w:pPr>
    </w:p>
    <w:p w14:paraId="40CBB884" w14:textId="3050AC81" w:rsidR="002E2049" w:rsidRDefault="002E2049" w:rsidP="004D665F">
      <w:pPr>
        <w:ind w:firstLine="0"/>
      </w:pPr>
      <w:r w:rsidRPr="006D47E3">
        <w:t>With a view across the shifting field of education policy in Britain it appeared that the pace of privatisation in school governance had outrun attempts to address issues of accountability. Andrew Wilkins has stepped in to present the issues emerging from an altered land</w:t>
      </w:r>
      <w:r w:rsidR="004D665F">
        <w:t>scape of governance in the post–</w:t>
      </w:r>
      <w:r w:rsidRPr="006D47E3">
        <w:t xml:space="preserve">2010 era. </w:t>
      </w:r>
      <w:r w:rsidRPr="006D47E3">
        <w:rPr>
          <w:i/>
        </w:rPr>
        <w:t>Modernising School Governance</w:t>
      </w:r>
      <w:r w:rsidRPr="006D47E3">
        <w:t xml:space="preserve"> tracks the effects of recent policy changes in their historical context. Local authority governance has become a truth construct of the past as academies and free schools are now building what Wilkins terms </w:t>
      </w:r>
      <w:proofErr w:type="gramStart"/>
      <w:r w:rsidRPr="006D47E3">
        <w:t>an ‘oligopoly’</w:t>
      </w:r>
      <w:proofErr w:type="gramEnd"/>
      <w:r w:rsidRPr="006D47E3">
        <w:t xml:space="preserve"> (p. 123) of umbrella structures to demonstrate management capability. So what does this mean for the forms of governance in operation in schools? </w:t>
      </w:r>
      <w:proofErr w:type="gramStart"/>
      <w:r w:rsidRPr="006D47E3">
        <w:t>Or for the types of interaction between governors and school communities?</w:t>
      </w:r>
      <w:proofErr w:type="gramEnd"/>
      <w:r w:rsidRPr="006D47E3">
        <w:t xml:space="preserve"> This book presents an eloquent investigation of such questions</w:t>
      </w:r>
      <w:r>
        <w:t xml:space="preserve"> with </w:t>
      </w:r>
      <w:r w:rsidRPr="006D47E3">
        <w:t>a Foucauldian analysis that provides visibility through the two-way mirrors of current models of governmentality.</w:t>
      </w:r>
    </w:p>
    <w:p w14:paraId="3932B8F4" w14:textId="77777777" w:rsidR="004D665F" w:rsidRDefault="002E2049" w:rsidP="004D665F">
      <w:pPr>
        <w:pStyle w:val="Newparagraph"/>
        <w:ind w:firstLine="357"/>
      </w:pPr>
      <w:r w:rsidRPr="006D47E3">
        <w:t xml:space="preserve">The task of addressing what appears to be the guarded supervision of tight clusters of schools is ambitious in scale. Wilkins’ relation to literature in the field of governance demonstrates a rigorous critical </w:t>
      </w:r>
      <w:r w:rsidR="001C7434" w:rsidRPr="006D47E3">
        <w:t>approach, which</w:t>
      </w:r>
      <w:r w:rsidRPr="006D47E3">
        <w:t xml:space="preserve"> locates this study within a significant band of research, connecting particularly with Ball on performativity and Springer and on neo-liberalism. This research also retains the interpretive integrity of a qualitative approach, therefore countering the depersonalisation of neo-liberal forms of governance. The empirical basis is drawn from an 18 months study in nine state schools between 2013</w:t>
      </w:r>
      <w:r w:rsidR="004D665F">
        <w:t>–</w:t>
      </w:r>
      <w:r w:rsidRPr="006D47E3">
        <w:t xml:space="preserve">14, in which </w:t>
      </w:r>
      <w:proofErr w:type="gramStart"/>
      <w:r w:rsidRPr="006D47E3">
        <w:t xml:space="preserve">Wilkins was assisted by Anna </w:t>
      </w:r>
      <w:proofErr w:type="spellStart"/>
      <w:r w:rsidRPr="006D47E3">
        <w:t>Mazenod</w:t>
      </w:r>
      <w:proofErr w:type="spellEnd"/>
      <w:proofErr w:type="gramEnd"/>
      <w:r w:rsidRPr="006D47E3">
        <w:t>. Wilkins has achieved a great advance for the field in gaining access to academies as discrete systems of governance and in tracking the intricacies of forms of discourse in use.</w:t>
      </w:r>
      <w:r w:rsidRPr="00706ACC">
        <w:t xml:space="preserve"> </w:t>
      </w:r>
    </w:p>
    <w:p w14:paraId="6272760B" w14:textId="5BB03BA7" w:rsidR="002E2049" w:rsidRPr="006D47E3" w:rsidRDefault="002E2049" w:rsidP="004D665F">
      <w:pPr>
        <w:pStyle w:val="Newparagraph"/>
        <w:ind w:firstLine="357"/>
      </w:pPr>
      <w:r>
        <w:t>R</w:t>
      </w:r>
      <w:r w:rsidRPr="006D47E3">
        <w:t xml:space="preserve">eaders with all levels of experience in the field </w:t>
      </w:r>
      <w:r>
        <w:t>will benefit from the author’s clear writing style and the well</w:t>
      </w:r>
      <w:r w:rsidR="004D665F">
        <w:t>-</w:t>
      </w:r>
      <w:r>
        <w:t>signposted structure</w:t>
      </w:r>
      <w:r w:rsidRPr="006D47E3">
        <w:t>. Chapters 1 and 2 situate this study of governmentality in its</w:t>
      </w:r>
      <w:r>
        <w:t xml:space="preserve"> historical importance for education policy,</w:t>
      </w:r>
      <w:r w:rsidRPr="006D47E3">
        <w:t xml:space="preserve"> presenting a ‘genealogy’ of layers of reform</w:t>
      </w:r>
      <w:r>
        <w:t xml:space="preserve">. </w:t>
      </w:r>
      <w:r w:rsidRPr="006D47E3">
        <w:rPr>
          <w:color w:val="000000"/>
        </w:rPr>
        <w:t xml:space="preserve">Through the data </w:t>
      </w:r>
      <w:r>
        <w:rPr>
          <w:color w:val="000000"/>
        </w:rPr>
        <w:t>analysis chapters 4, 5</w:t>
      </w:r>
      <w:r w:rsidR="004D665F">
        <w:rPr>
          <w:color w:val="000000"/>
        </w:rPr>
        <w:t>,</w:t>
      </w:r>
      <w:r>
        <w:rPr>
          <w:color w:val="000000"/>
        </w:rPr>
        <w:t xml:space="preserve"> and 6</w:t>
      </w:r>
      <w:r w:rsidR="00BA16C5">
        <w:rPr>
          <w:color w:val="000000"/>
        </w:rPr>
        <w:t>,</w:t>
      </w:r>
      <w:r>
        <w:rPr>
          <w:color w:val="000000"/>
        </w:rPr>
        <w:t xml:space="preserve"> key</w:t>
      </w:r>
      <w:r w:rsidRPr="006D47E3">
        <w:rPr>
          <w:color w:val="000000"/>
        </w:rPr>
        <w:t xml:space="preserve"> observations are exemplifie</w:t>
      </w:r>
      <w:r>
        <w:rPr>
          <w:color w:val="000000"/>
        </w:rPr>
        <w:t xml:space="preserve">d through </w:t>
      </w:r>
      <w:r w:rsidRPr="006D47E3">
        <w:rPr>
          <w:color w:val="000000"/>
        </w:rPr>
        <w:t xml:space="preserve">qualitative data. Voices are included </w:t>
      </w:r>
      <w:r w:rsidRPr="006D47E3">
        <w:t>from respondents with different levels of authority within hierarchies of school governance.</w:t>
      </w:r>
    </w:p>
    <w:p w14:paraId="5C2778E2" w14:textId="12ED5C3F" w:rsidR="002E2049" w:rsidRPr="006D47E3" w:rsidRDefault="002E2049" w:rsidP="002E2049">
      <w:r w:rsidRPr="006D47E3">
        <w:t xml:space="preserve">A central issue at stake is the investigation of how the education sector is responding to ‘the hollowing out of the state’ (p. 5) by recent policy changes in Britain since 2010, which have encouraged the move towards self-governing ‘academies’.  </w:t>
      </w:r>
      <w:r>
        <w:t xml:space="preserve">Among the </w:t>
      </w:r>
      <w:r w:rsidRPr="006D47E3">
        <w:t>observations</w:t>
      </w:r>
      <w:r>
        <w:t xml:space="preserve"> of importance</w:t>
      </w:r>
      <w:r w:rsidRPr="006D47E3">
        <w:t xml:space="preserve"> for the field, Wilkins notes that we are currently faced with the need for ‘improved democratic accountability’ (p. 2</w:t>
      </w:r>
      <w:proofErr w:type="gramStart"/>
      <w:r w:rsidRPr="006D47E3">
        <w:t>)</w:t>
      </w:r>
      <w:proofErr w:type="gramEnd"/>
      <w:r w:rsidRPr="006D47E3">
        <w:t xml:space="preserve"> as this is not provided in the state’s withdrawal to the position of a distant lever of power.  He provides an informative critique of the removal of democratic processes in school governance, documenting the scoops and hauls of privatisation. This book raises questions about how we could best address t</w:t>
      </w:r>
      <w:r>
        <w:t>he situation in which</w:t>
      </w:r>
      <w:r w:rsidRPr="006D47E3">
        <w:t xml:space="preserve"> parental involvement</w:t>
      </w:r>
      <w:r>
        <w:t xml:space="preserve"> and</w:t>
      </w:r>
      <w:r w:rsidRPr="006D47E3">
        <w:t xml:space="preserve"> stakeholder governance is being devalued by a new breed of ‘expert’ strategists. </w:t>
      </w:r>
    </w:p>
    <w:p w14:paraId="71555DBA" w14:textId="6893B2A3" w:rsidR="002E2049" w:rsidRPr="006D47E3" w:rsidRDefault="002E2049" w:rsidP="002E2049">
      <w:r w:rsidRPr="006D47E3">
        <w:t>Wilkins’ refreshing application of concepts of genealogy and observations of the socially regulated ‘regime of truth’ (Foucault</w:t>
      </w:r>
      <w:r>
        <w:t>,</w:t>
      </w:r>
      <w:r w:rsidRPr="006D47E3">
        <w:t xml:space="preserve"> 1980, p.131)</w:t>
      </w:r>
      <w:r w:rsidR="00C70CE7">
        <w:t>,</w:t>
      </w:r>
      <w:r>
        <w:t xml:space="preserve"> that</w:t>
      </w:r>
      <w:r w:rsidRPr="006D47E3">
        <w:t xml:space="preserve"> Foucault terms </w:t>
      </w:r>
      <w:r w:rsidR="000A429B">
        <w:t>a ‘truth game</w:t>
      </w:r>
      <w:r w:rsidRPr="006D47E3">
        <w:t>’ (2007, p.164)</w:t>
      </w:r>
      <w:r w:rsidR="00C70CE7">
        <w:t>,</w:t>
      </w:r>
      <w:r w:rsidRPr="006D47E3">
        <w:t xml:space="preserve"> add</w:t>
      </w:r>
      <w:r w:rsidR="004B5144">
        <w:t>s</w:t>
      </w:r>
      <w:r w:rsidRPr="006D47E3">
        <w:t xml:space="preserve"> to underst</w:t>
      </w:r>
      <w:r>
        <w:t xml:space="preserve">andings of how systems of </w:t>
      </w:r>
      <w:r w:rsidRPr="006D47E3">
        <w:t xml:space="preserve">governance </w:t>
      </w:r>
      <w:r w:rsidRPr="006D47E3">
        <w:lastRenderedPageBreak/>
        <w:t xml:space="preserve">previously seen as ‘requisite features of a democratically robust education system’ (p. 10) have now been relegated.  </w:t>
      </w:r>
      <w:r w:rsidRPr="006D47E3">
        <w:rPr>
          <w:i/>
        </w:rPr>
        <w:t xml:space="preserve">Modernising School Governance </w:t>
      </w:r>
      <w:r w:rsidRPr="006D47E3">
        <w:t>offers insight into the methods for subversion of democratic processes that private sponsors of academies are now free to exert</w:t>
      </w:r>
      <w:r>
        <w:t>.</w:t>
      </w:r>
      <w:r w:rsidRPr="006D47E3">
        <w:t xml:space="preserve"> </w:t>
      </w:r>
    </w:p>
    <w:p w14:paraId="72F98A6D" w14:textId="46AD6092" w:rsidR="002E2049" w:rsidRPr="006D47E3" w:rsidRDefault="002E2049" w:rsidP="002E2049">
      <w:pPr>
        <w:jc w:val="center"/>
      </w:pPr>
    </w:p>
    <w:p w14:paraId="045E9CFB" w14:textId="77777777" w:rsidR="00AE793A" w:rsidRDefault="00AE793A" w:rsidP="00AE793A">
      <w:pPr>
        <w:ind w:firstLine="0"/>
        <w:rPr>
          <w:i/>
        </w:rPr>
      </w:pPr>
    </w:p>
    <w:p w14:paraId="7AF2F7D9" w14:textId="4303AD33" w:rsidR="00AE793A" w:rsidRPr="00AE793A" w:rsidRDefault="00AE793A" w:rsidP="00AE793A">
      <w:pPr>
        <w:ind w:firstLine="0"/>
        <w:rPr>
          <w:b/>
        </w:rPr>
      </w:pPr>
      <w:r>
        <w:rPr>
          <w:b/>
        </w:rPr>
        <w:t xml:space="preserve">Developing </w:t>
      </w:r>
      <w:r w:rsidRPr="00AE793A">
        <w:rPr>
          <w:b/>
        </w:rPr>
        <w:t>context</w:t>
      </w:r>
      <w:r w:rsidR="002826F8">
        <w:rPr>
          <w:b/>
        </w:rPr>
        <w:t>s</w:t>
      </w:r>
      <w:r w:rsidR="006B3F52">
        <w:rPr>
          <w:b/>
        </w:rPr>
        <w:t xml:space="preserve"> </w:t>
      </w:r>
    </w:p>
    <w:p w14:paraId="561B2BBA" w14:textId="77777777" w:rsidR="00AE793A" w:rsidRDefault="00AE793A" w:rsidP="00AE793A">
      <w:pPr>
        <w:ind w:firstLine="0"/>
      </w:pPr>
    </w:p>
    <w:p w14:paraId="6A405A20" w14:textId="083BD8A5" w:rsidR="002E2049" w:rsidRPr="006D47E3" w:rsidRDefault="002E2049" w:rsidP="00AE793A">
      <w:pPr>
        <w:ind w:firstLine="0"/>
      </w:pPr>
      <w:r>
        <w:t xml:space="preserve">Wilkins presents the historical context to contemporary forms of governance in Britain. </w:t>
      </w:r>
      <w:r w:rsidRPr="006D47E3">
        <w:t>There is an interesting account of changes in the processes of government from the Clarendon Commission in 1861</w:t>
      </w:r>
      <w:r>
        <w:t xml:space="preserve"> and</w:t>
      </w:r>
      <w:r w:rsidRPr="006D47E3">
        <w:t xml:space="preserve"> the 1868 Public Schools Act</w:t>
      </w:r>
      <w:r>
        <w:t>,</w:t>
      </w:r>
      <w:r w:rsidRPr="006D47E3">
        <w:t xml:space="preserve"> </w:t>
      </w:r>
      <w:r>
        <w:t xml:space="preserve">to </w:t>
      </w:r>
      <w:r w:rsidRPr="006D47E3">
        <w:t>the 1944 Education Act and its concretisation of social inequality through the tripartite system that was administered by local authorities. This genealogical approach counters the s</w:t>
      </w:r>
      <w:r>
        <w:t>ense of policy intangibility with</w:t>
      </w:r>
      <w:r w:rsidRPr="006D47E3">
        <w:t xml:space="preserve"> an in-depth and multi-faceted perspective that enables readers to get a purchase on the central contemporary issues.</w:t>
      </w:r>
    </w:p>
    <w:p w14:paraId="41CE786F" w14:textId="0AAA204C" w:rsidR="002E2049" w:rsidRDefault="002E2049" w:rsidP="002E2049">
      <w:r w:rsidRPr="006D47E3">
        <w:t>In Chapter 1</w:t>
      </w:r>
      <w:r w:rsidR="00AE793A">
        <w:t>,</w:t>
      </w:r>
      <w:r w:rsidRPr="006D47E3">
        <w:t xml:space="preserve"> Wilkins’ draws attention to the regional experimentation in social governance in Sheffield in the 1970s ‘with greater numbers of parent, community and student voices introduced to the governing body’ (p. 20). This observation form</w:t>
      </w:r>
      <w:r>
        <w:t>s a focal</w:t>
      </w:r>
      <w:r w:rsidRPr="006D47E3">
        <w:t xml:space="preserve"> point of difference with the current lack of representative participation in school governance. Such collective forms of participation, along with the original ‘free schools’ of the 1970s, were the experimental foundations for what have now become the firmly tailored academies</w:t>
      </w:r>
      <w:r>
        <w:t xml:space="preserve"> run by ‘experts’</w:t>
      </w:r>
      <w:r w:rsidRPr="006D47E3">
        <w:t xml:space="preserve"> and ‘free schools’ of the </w:t>
      </w:r>
      <w:r w:rsidR="00AE793A">
        <w:t xml:space="preserve">twenty-first </w:t>
      </w:r>
      <w:r w:rsidRPr="006D47E3">
        <w:t xml:space="preserve">century. </w:t>
      </w:r>
    </w:p>
    <w:p w14:paraId="28EF0900" w14:textId="6C25B84A" w:rsidR="002E2049" w:rsidRDefault="002E2049" w:rsidP="002E2049">
      <w:r>
        <w:t>Developing Ball’s concept of performativity, Wilkins focuses</w:t>
      </w:r>
      <w:r w:rsidRPr="006D47E3">
        <w:t xml:space="preserve"> on what is meant by expertise in this </w:t>
      </w:r>
      <w:r>
        <w:t xml:space="preserve">contemporary </w:t>
      </w:r>
      <w:r w:rsidRPr="006D47E3">
        <w:t>c</w:t>
      </w:r>
      <w:r>
        <w:t>ontext.</w:t>
      </w:r>
      <w:r w:rsidRPr="006D47E3">
        <w:t xml:space="preserve"> Chapter 2</w:t>
      </w:r>
      <w:r w:rsidR="00AE793A">
        <w:t>,</w:t>
      </w:r>
      <w:r w:rsidRPr="006D47E3">
        <w:t xml:space="preserve"> titled ‘Rituals in truth making’</w:t>
      </w:r>
      <w:r w:rsidR="00AE793A">
        <w:t>,</w:t>
      </w:r>
      <w:r w:rsidRPr="006D47E3">
        <w:t xml:space="preserve"> defines ‘expert handling’ in relation to the performance mechanisms for ushering in or ousting managers of particular strategies for school governance. This is a kind </w:t>
      </w:r>
      <w:r>
        <w:t>of stylised policy trend</w:t>
      </w:r>
      <w:r w:rsidRPr="006D47E3">
        <w:t xml:space="preserve"> that one might term ‘boutique management’</w:t>
      </w:r>
      <w:r>
        <w:t>:</w:t>
      </w:r>
      <w:r w:rsidRPr="006D47E3">
        <w:t xml:space="preserve"> as Wilkins states it is not formed in a ‘culture that is casual, informal and shaped by lay administration’ which is the image of the stakeholder model (p. 31)</w:t>
      </w:r>
      <w:r w:rsidR="00AE793A">
        <w:t>.</w:t>
      </w:r>
      <w:r w:rsidRPr="006D47E3">
        <w:t xml:space="preserve"> Instead</w:t>
      </w:r>
      <w:r w:rsidR="00AE793A">
        <w:t>,</w:t>
      </w:r>
      <w:r w:rsidRPr="006D47E3">
        <w:t xml:space="preserve"> we have a ‘new form of control</w:t>
      </w:r>
      <w:r>
        <w:t>’ (</w:t>
      </w:r>
      <w:r w:rsidRPr="006D47E3">
        <w:t>Ball</w:t>
      </w:r>
      <w:r>
        <w:t>,</w:t>
      </w:r>
      <w:r w:rsidRPr="006D47E3">
        <w:t xml:space="preserve"> 2003,</w:t>
      </w:r>
      <w:r>
        <w:t xml:space="preserve"> cited</w:t>
      </w:r>
      <w:r w:rsidRPr="006D47E3">
        <w:t xml:space="preserve"> p.</w:t>
      </w:r>
      <w:r w:rsidR="006B3F52">
        <w:t xml:space="preserve"> </w:t>
      </w:r>
      <w:r w:rsidRPr="006D47E3">
        <w:t>34</w:t>
      </w:r>
      <w:proofErr w:type="gramStart"/>
      <w:r w:rsidR="00663C11">
        <w:t>)</w:t>
      </w:r>
      <w:r w:rsidRPr="006D47E3">
        <w:t xml:space="preserve"> which</w:t>
      </w:r>
      <w:proofErr w:type="gramEnd"/>
      <w:r w:rsidRPr="006D47E3">
        <w:t xml:space="preserve"> demands that school governors have a track record of skills in manipulation of resources, both human and economic.  </w:t>
      </w:r>
      <w:r>
        <w:t>Governors now respond mainly to o</w:t>
      </w:r>
      <w:r w:rsidRPr="006D47E3">
        <w:t>rganisations such as Ofsted</w:t>
      </w:r>
      <w:r>
        <w:t>, which</w:t>
      </w:r>
      <w:r w:rsidRPr="006D47E3">
        <w:t xml:space="preserve"> distribute constructions </w:t>
      </w:r>
      <w:r>
        <w:t xml:space="preserve">of effective governance </w:t>
      </w:r>
      <w:r w:rsidRPr="006D47E3">
        <w:t>as rituals of truth</w:t>
      </w:r>
      <w:proofErr w:type="gramStart"/>
      <w:r>
        <w:t>, that</w:t>
      </w:r>
      <w:r w:rsidRPr="006D47E3">
        <w:t xml:space="preserve"> are evocatively described as shaping the ‘souls’ of governors</w:t>
      </w:r>
      <w:proofErr w:type="gramEnd"/>
      <w:r w:rsidRPr="006D47E3">
        <w:t xml:space="preserve"> (p. 33).</w:t>
      </w:r>
      <w:r>
        <w:t xml:space="preserve"> Wilkins explains</w:t>
      </w:r>
      <w:r w:rsidRPr="006D47E3">
        <w:t xml:space="preserve"> how the activities generated by impending Ofsted inspections, represent the adoption of guidelines for accountability as ‘pedagogies for surveillance’ that demand compliance (p. 82</w:t>
      </w:r>
      <w:r>
        <w:t>).</w:t>
      </w:r>
    </w:p>
    <w:p w14:paraId="75391432" w14:textId="05F8B9C4" w:rsidR="002E2049" w:rsidRDefault="002E2049" w:rsidP="002E2049">
      <w:r w:rsidRPr="006D47E3">
        <w:t xml:space="preserve">This adaptation </w:t>
      </w:r>
      <w:r>
        <w:t xml:space="preserve">of the concept of performativity in relation to governance </w:t>
      </w:r>
      <w:r w:rsidRPr="006D47E3">
        <w:t xml:space="preserve">is pursued through discourse analysis of the terms currently used in </w:t>
      </w:r>
      <w:r>
        <w:t>schools. These terms</w:t>
      </w:r>
      <w:r w:rsidRPr="006D47E3">
        <w:t xml:space="preserve"> divide potentially subversive groups of governors through binary signifiers of success and failure such as ‘weak/strong’ or ‘amateurish/professional’ (p. 34). Wilkins’ analysis of the business structures conditioning governance identifies the ‘</w:t>
      </w:r>
      <w:proofErr w:type="spellStart"/>
      <w:r w:rsidRPr="006D47E3">
        <w:t>reculturing</w:t>
      </w:r>
      <w:proofErr w:type="spellEnd"/>
      <w:r w:rsidRPr="006D47E3">
        <w:t>’ of governors t</w:t>
      </w:r>
      <w:r>
        <w:t>o implement reforms according</w:t>
      </w:r>
      <w:r w:rsidR="006E40CB">
        <w:t xml:space="preserve"> to</w:t>
      </w:r>
      <w:r>
        <w:t xml:space="preserve"> such</w:t>
      </w:r>
      <w:r w:rsidRPr="006D47E3">
        <w:t xml:space="preserve"> dichotomous </w:t>
      </w:r>
      <w:r>
        <w:t xml:space="preserve">formations of being in role (p. 96). </w:t>
      </w:r>
      <w:r w:rsidRPr="006D47E3">
        <w:t xml:space="preserve">Throughout this work, and </w:t>
      </w:r>
      <w:r>
        <w:t>developed particularly well in C</w:t>
      </w:r>
      <w:r w:rsidRPr="006D47E3">
        <w:t>hapter 2, there is a communication of the different cultural ‘texts’ in operation in school governance in their historically and socially ‘situated usage’ (Foucault</w:t>
      </w:r>
      <w:r>
        <w:t>,</w:t>
      </w:r>
      <w:r w:rsidRPr="006D47E3">
        <w:t xml:space="preserve"> 1970, cited p. 39</w:t>
      </w:r>
      <w:r w:rsidR="00663C11">
        <w:t xml:space="preserve">). </w:t>
      </w:r>
      <w:r w:rsidRPr="006D47E3">
        <w:t>The difficulties that governors face in fitting into these narrow and demanding definitions are given timely and appropriate consideration.</w:t>
      </w:r>
      <w:r w:rsidRPr="00987DFD">
        <w:t xml:space="preserve"> </w:t>
      </w:r>
    </w:p>
    <w:p w14:paraId="29C8C225" w14:textId="2414BC3A" w:rsidR="002E2049" w:rsidRPr="006D47E3" w:rsidRDefault="002E2049" w:rsidP="002E2049">
      <w:r>
        <w:t>Alongside this Foucauldian relation to discourses of governmentality and performativity, Wilkins enters into</w:t>
      </w:r>
      <w:r w:rsidRPr="006D47E3">
        <w:t xml:space="preserve"> a post-Foucauldian dialogue that critiques the </w:t>
      </w:r>
      <w:r w:rsidRPr="006D47E3">
        <w:lastRenderedPageBreak/>
        <w:t>concept of ‘neo-liberalism’ as it can be related to current practices of governance. For those of us who have ever wondered what ‘neo-liberalism’ actually is</w:t>
      </w:r>
      <w:r w:rsidR="007F2FDB">
        <w:t>,</w:t>
      </w:r>
      <w:r w:rsidRPr="006D47E3">
        <w:t xml:space="preserve"> the author provides a well researched critique of the term, which is used extensively for what can seem to be an indeterminate range of purposes. </w:t>
      </w:r>
    </w:p>
    <w:p w14:paraId="15CCC236" w14:textId="4EA486DE" w:rsidR="002E2049" w:rsidRDefault="002E2049" w:rsidP="002E2049">
      <w:r w:rsidRPr="006D47E3">
        <w:t>In his treatment of the term and its usages, Wilkins presents insightful methods of interpretation which focus particularly on an explanation and exemplification of Springer’s four identified perspectives of neo-liberalism which are: ‘Neo-liberalism as an i</w:t>
      </w:r>
      <w:r>
        <w:t xml:space="preserve">deological hegemonic project’, </w:t>
      </w:r>
      <w:r w:rsidRPr="006D47E3">
        <w:t>‘neo-liberalism as policy and program’, ‘neo-liberalism as state form’</w:t>
      </w:r>
      <w:r w:rsidR="006B3F52">
        <w:t>,</w:t>
      </w:r>
      <w:r w:rsidRPr="006D47E3">
        <w:t xml:space="preserve"> and ‘neo-liberalism as governmentality’</w:t>
      </w:r>
      <w:r w:rsidR="00B80DAA">
        <w:t xml:space="preserve"> </w:t>
      </w:r>
      <w:r w:rsidR="00B80DAA" w:rsidRPr="00382595">
        <w:t>(2012, pp. 136-137)</w:t>
      </w:r>
      <w:r w:rsidR="006B3F52" w:rsidRPr="00382595">
        <w:t>.</w:t>
      </w:r>
      <w:r w:rsidRPr="00382595">
        <w:t xml:space="preserve"> As a further c</w:t>
      </w:r>
      <w:r w:rsidR="007F2FDB" w:rsidRPr="00382595">
        <w:t xml:space="preserve">ontribution to the hermeneutics, </w:t>
      </w:r>
      <w:r w:rsidRPr="00382595">
        <w:t>Wilkins identifies these appro</w:t>
      </w:r>
      <w:r w:rsidRPr="006D47E3">
        <w:t>aches as having now become ‘porous’ and inte</w:t>
      </w:r>
      <w:r>
        <w:t>rconnecting through researchers</w:t>
      </w:r>
      <w:r w:rsidRPr="006D47E3">
        <w:t xml:space="preserve"> combining different theoretical influences to analyse the soci</w:t>
      </w:r>
      <w:r>
        <w:t>al conditions.</w:t>
      </w:r>
    </w:p>
    <w:p w14:paraId="6B435101" w14:textId="172FF23F" w:rsidR="002E2049" w:rsidRDefault="002E2049" w:rsidP="002E2049">
      <w:r w:rsidRPr="006D47E3">
        <w:t>Wilkins observantly connects Springer’s first three forms of neo-liberalism as they may engage with Marxist approaches, and in doing so furthers his exploration of neo-liberalism in the ‘state form’ as it relates to the government’s transference of direct responsibility to ‘quasi-autonomous’ organisations (p. 53). For example</w:t>
      </w:r>
      <w:r w:rsidR="006B3F52">
        <w:t>,</w:t>
      </w:r>
      <w:r w:rsidRPr="006D47E3">
        <w:t xml:space="preserve"> the state is currently distancing itself from social welfar</w:t>
      </w:r>
      <w:r>
        <w:t>e and the management of schools, preferring to enable forms of independent governance that address the agenda of the standards based national curriculum (DfE, 2014).</w:t>
      </w:r>
      <w:r w:rsidRPr="006D47E3">
        <w:t xml:space="preserve"> Explaining the fourth perspective ‘neo-liberalism as governmentality’</w:t>
      </w:r>
      <w:r w:rsidR="00663C11">
        <w:t>,</w:t>
      </w:r>
      <w:r w:rsidRPr="006D47E3">
        <w:t xml:space="preserve"> Wilkins identifies this as a Foucauldian reading:</w:t>
      </w:r>
    </w:p>
    <w:p w14:paraId="7AF76C88" w14:textId="77777777" w:rsidR="00663C11" w:rsidRPr="006D47E3" w:rsidRDefault="00663C11" w:rsidP="002E2049"/>
    <w:p w14:paraId="108786D5" w14:textId="77777777" w:rsidR="002E2049" w:rsidRDefault="002E2049" w:rsidP="00663C11">
      <w:pPr>
        <w:pStyle w:val="Quote"/>
      </w:pPr>
      <w:r w:rsidRPr="006D47E3">
        <w:t>Here neo-liberalism is conceptualised as mobile assemblages of technologies and strategies utilised for the purposes of managing populations and political structures so that in the absence of direct government control, individuals and organisations may become self-correcting and self-regulating. (p. 54)</w:t>
      </w:r>
    </w:p>
    <w:p w14:paraId="35487FD1" w14:textId="77777777" w:rsidR="00663C11" w:rsidRDefault="00663C11" w:rsidP="00663C11">
      <w:pPr>
        <w:ind w:firstLine="0"/>
      </w:pPr>
    </w:p>
    <w:p w14:paraId="3A4C4969" w14:textId="3AF05B94" w:rsidR="002E2049" w:rsidRPr="003C1926" w:rsidRDefault="002E2049" w:rsidP="00663C11">
      <w:pPr>
        <w:ind w:firstLine="0"/>
        <w:rPr>
          <w:color w:val="000000"/>
        </w:rPr>
      </w:pPr>
      <w:r w:rsidRPr="006D47E3">
        <w:t xml:space="preserve">This definition provides a clarification of the concept of neo-liberalism so that its usage regains active substance and also explains ‘governmentality’ as it interacts with contemporary discourses. </w:t>
      </w:r>
      <w:r>
        <w:rPr>
          <w:color w:val="000000"/>
        </w:rPr>
        <w:t xml:space="preserve">Moving out of Springer’s definitions, Wilkins acknowledges that neo-liberalism will transform again, </w:t>
      </w:r>
      <w:r w:rsidRPr="009F1E0A">
        <w:rPr>
          <w:color w:val="000000"/>
        </w:rPr>
        <w:t xml:space="preserve">‘as an adaptive, </w:t>
      </w:r>
      <w:r w:rsidR="00663C11">
        <w:rPr>
          <w:color w:val="000000"/>
        </w:rPr>
        <w:t>mutating force that constructs ‘</w:t>
      </w:r>
      <w:r w:rsidRPr="009F1E0A">
        <w:rPr>
          <w:color w:val="000000"/>
        </w:rPr>
        <w:t>processes and</w:t>
      </w:r>
      <w:r>
        <w:rPr>
          <w:color w:val="000000"/>
        </w:rPr>
        <w:t xml:space="preserve"> practices of insertion</w:t>
      </w:r>
      <w:r w:rsidR="00663C11">
        <w:rPr>
          <w:color w:val="000000"/>
        </w:rPr>
        <w:t>’</w:t>
      </w:r>
      <w:r>
        <w:rPr>
          <w:color w:val="000000"/>
        </w:rPr>
        <w:t xml:space="preserve"> </w:t>
      </w:r>
      <w:r w:rsidR="001C7434">
        <w:rPr>
          <w:color w:val="000000"/>
        </w:rPr>
        <w:t>(</w:t>
      </w:r>
      <w:r w:rsidR="001C7434" w:rsidRPr="009F1E0A">
        <w:rPr>
          <w:color w:val="000000"/>
        </w:rPr>
        <w:t>Clarke</w:t>
      </w:r>
      <w:r>
        <w:rPr>
          <w:color w:val="000000"/>
        </w:rPr>
        <w:t xml:space="preserve">, </w:t>
      </w:r>
      <w:r w:rsidRPr="009F1E0A">
        <w:rPr>
          <w:color w:val="000000"/>
        </w:rPr>
        <w:t xml:space="preserve">2008, </w:t>
      </w:r>
      <w:r>
        <w:rPr>
          <w:color w:val="000000"/>
        </w:rPr>
        <w:t xml:space="preserve">cited </w:t>
      </w:r>
      <w:r w:rsidRPr="009F1E0A">
        <w:rPr>
          <w:color w:val="000000"/>
        </w:rPr>
        <w:t>p.</w:t>
      </w:r>
      <w:r w:rsidR="00663C11">
        <w:rPr>
          <w:color w:val="000000"/>
        </w:rPr>
        <w:t xml:space="preserve"> </w:t>
      </w:r>
      <w:r w:rsidRPr="009F1E0A">
        <w:rPr>
          <w:color w:val="000000"/>
        </w:rPr>
        <w:t>62).</w:t>
      </w:r>
      <w:r>
        <w:rPr>
          <w:color w:val="000000"/>
        </w:rPr>
        <w:t xml:space="preserve"> This statement relates to the Foucauldian sense</w:t>
      </w:r>
      <w:r w:rsidRPr="006D47E3">
        <w:rPr>
          <w:color w:val="000000"/>
        </w:rPr>
        <w:t xml:space="preserve"> that as the subject</w:t>
      </w:r>
      <w:r>
        <w:rPr>
          <w:color w:val="000000"/>
        </w:rPr>
        <w:t xml:space="preserve"> of governance </w:t>
      </w:r>
      <w:r w:rsidRPr="006D47E3">
        <w:rPr>
          <w:color w:val="000000"/>
        </w:rPr>
        <w:t>begins to reflect on their ‘points of insertion’</w:t>
      </w:r>
      <w:r w:rsidRPr="009F1E0A">
        <w:rPr>
          <w:color w:val="000000"/>
        </w:rPr>
        <w:t xml:space="preserve"> </w:t>
      </w:r>
      <w:r w:rsidRPr="006D47E3">
        <w:rPr>
          <w:color w:val="000000"/>
        </w:rPr>
        <w:t>within institutions</w:t>
      </w:r>
      <w:r>
        <w:rPr>
          <w:color w:val="000000"/>
        </w:rPr>
        <w:t>,</w:t>
      </w:r>
      <w:r w:rsidRPr="006D47E3">
        <w:rPr>
          <w:color w:val="000000"/>
        </w:rPr>
        <w:t xml:space="preserve"> greater agency and mobility become possible </w:t>
      </w:r>
      <w:r w:rsidRPr="006D47E3">
        <w:t>(Foucault</w:t>
      </w:r>
      <w:r>
        <w:t>,</w:t>
      </w:r>
      <w:r w:rsidRPr="006D47E3">
        <w:t xml:space="preserve"> 1969</w:t>
      </w:r>
      <w:r w:rsidR="00663C11" w:rsidRPr="00663C11">
        <w:t>)</w:t>
      </w:r>
      <w:r w:rsidRPr="00663C11">
        <w:rPr>
          <w:color w:val="000000"/>
        </w:rPr>
        <w:t>.</w:t>
      </w:r>
      <w:r w:rsidRPr="006D47E3">
        <w:rPr>
          <w:color w:val="000000"/>
        </w:rPr>
        <w:t xml:space="preserve">  I would argue that through this research Wilkins encourages such emancipating critical reflection.</w:t>
      </w:r>
      <w:r w:rsidRPr="006D47E3">
        <w:t xml:space="preserve">  </w:t>
      </w:r>
    </w:p>
    <w:p w14:paraId="1BA9052F" w14:textId="3816F6DF" w:rsidR="002E2049" w:rsidRPr="006D47E3" w:rsidRDefault="00663C11" w:rsidP="002E2049">
      <w:r>
        <w:t xml:space="preserve"> </w:t>
      </w:r>
      <w:r w:rsidR="002E2049">
        <w:t xml:space="preserve">In defining the recent development of </w:t>
      </w:r>
      <w:r w:rsidR="002E2049" w:rsidRPr="006D47E3">
        <w:t>‘Expert publics’</w:t>
      </w:r>
      <w:r w:rsidR="002E2049">
        <w:t xml:space="preserve"> </w:t>
      </w:r>
      <w:r>
        <w:t xml:space="preserve">in </w:t>
      </w:r>
      <w:r w:rsidR="002E2049">
        <w:t>Chapter 4,</w:t>
      </w:r>
      <w:r w:rsidR="002E2049" w:rsidRPr="006D47E3">
        <w:t xml:space="preserve"> Wilkins exp</w:t>
      </w:r>
      <w:r w:rsidR="002E2049">
        <w:t>lains how the</w:t>
      </w:r>
      <w:r w:rsidR="002E2049" w:rsidRPr="006D47E3">
        <w:t xml:space="preserve"> private/public division of</w:t>
      </w:r>
      <w:r w:rsidR="002E2049">
        <w:t xml:space="preserve"> classic</w:t>
      </w:r>
      <w:r w:rsidR="002E2049" w:rsidRPr="006D47E3">
        <w:t xml:space="preserve"> liberalism has moved towards a more pervasive form of governance as ‘formally autonomous entities or ‘private’ zones, be it people, spaces or institutions, are construed as both subjects of government and objects to be governed’ (p. </w:t>
      </w:r>
      <w:r w:rsidR="002E2049">
        <w:t>70)</w:t>
      </w:r>
      <w:r>
        <w:t xml:space="preserve">. </w:t>
      </w:r>
      <w:r w:rsidR="002E2049">
        <w:t xml:space="preserve"> He considers how this sense of governmentality is</w:t>
      </w:r>
      <w:r w:rsidR="002E2049" w:rsidRPr="006D47E3">
        <w:t xml:space="preserve"> rendered viable through its mobilisation of agency: </w:t>
      </w:r>
      <w:r w:rsidR="002E2049">
        <w:t>there need</w:t>
      </w:r>
      <w:r w:rsidR="002E2049" w:rsidRPr="006D47E3">
        <w:t xml:space="preserve"> to be aspects of choice in order for terms such as ‘freedom’ and ‘autonomy’ to be brought into an equation that still enables ‘capacity to act’</w:t>
      </w:r>
      <w:r w:rsidR="00104360">
        <w:t xml:space="preserve"> (p. 71). It would seem however</w:t>
      </w:r>
      <w:r w:rsidR="002E2049" w:rsidRPr="006D47E3">
        <w:t xml:space="preserve"> from the data referred to, that certain aspe</w:t>
      </w:r>
      <w:r w:rsidR="00104360">
        <w:t xml:space="preserve">cts of the </w:t>
      </w:r>
      <w:proofErr w:type="gramStart"/>
      <w:r w:rsidR="00104360">
        <w:t>self are</w:t>
      </w:r>
      <w:proofErr w:type="gramEnd"/>
      <w:r w:rsidR="00104360">
        <w:t xml:space="preserve"> permissible</w:t>
      </w:r>
      <w:r w:rsidR="002E2049" w:rsidRPr="006D47E3">
        <w:t xml:space="preserve"> and others are moulded or trimmed. Through the conditioning presence of organisations such as Ofsted, ‘the proper conduct of governors’ (p. 76) is deliberated and outlying characteristics are kept in check.</w:t>
      </w:r>
    </w:p>
    <w:p w14:paraId="36A929FD" w14:textId="64099417" w:rsidR="00104360" w:rsidRDefault="002E2049" w:rsidP="002E2049">
      <w:r w:rsidRPr="006D47E3">
        <w:t xml:space="preserve">Analysing this conditioning of subjectivity, Wilkins explores how ‘pedagogies of surveillance’ can be observed through ‘new policy technologies’ such as competition, audit culture and performance. These drivers are explained as being communicated by ‘new knowledge workers’ (p. 77) who enact the ‘expert handling’ of the state, such as </w:t>
      </w:r>
      <w:r w:rsidRPr="006D47E3">
        <w:lastRenderedPageBreak/>
        <w:t xml:space="preserve">the administrators of school inspection. Ofsted strikes fear into the inner workings of schools, so much so that governors and senior management rehearse their nightmare through mock inspections, using test materials supplied by ‘experts’ to form their own counter-expertise. </w:t>
      </w:r>
    </w:p>
    <w:p w14:paraId="3E388CDA" w14:textId="30B346F3" w:rsidR="002E2049" w:rsidRDefault="002E2049" w:rsidP="002E2049">
      <w:r w:rsidRPr="006D47E3">
        <w:t>There is an emphasis on demoting choice for governors, as they are allocated certain roles ‘based on their skillset and experience’ (p. 115). Wilkins notes that governors do not have creative freedom to expand the meaning of their roles</w:t>
      </w:r>
      <w:r w:rsidR="00663C11">
        <w:t>,</w:t>
      </w:r>
      <w:r w:rsidRPr="006D47E3">
        <w:t xml:space="preserve"> but are expected to act according to their ritualised function.</w:t>
      </w:r>
      <w:r w:rsidR="00E33884">
        <w:t xml:space="preserve"> At this stage we could consider </w:t>
      </w:r>
      <w:r w:rsidRPr="006D47E3">
        <w:t xml:space="preserve">whether the ‘capacity to act’ is being trimmed to such an extent that the governing experience is </w:t>
      </w:r>
      <w:r>
        <w:t xml:space="preserve">that of being expected to respond with an automatic reflex. </w:t>
      </w:r>
      <w:r w:rsidRPr="006D47E3">
        <w:t>Wilkins</w:t>
      </w:r>
      <w:r>
        <w:t xml:space="preserve"> </w:t>
      </w:r>
      <w:r w:rsidRPr="006D47E3">
        <w:t xml:space="preserve">evidences the erasure of differences among governors who are urged to act as one when under pressure. </w:t>
      </w:r>
      <w:r>
        <w:t>Corresponding</w:t>
      </w:r>
      <w:r w:rsidRPr="006D47E3">
        <w:t xml:space="preserve"> with recent </w:t>
      </w:r>
      <w:r w:rsidRPr="00382595">
        <w:t>studi</w:t>
      </w:r>
      <w:r w:rsidR="00B80DAA" w:rsidRPr="00382595">
        <w:t>es (Young, 2014)</w:t>
      </w:r>
      <w:r w:rsidR="00663C11" w:rsidRPr="00382595">
        <w:t>,</w:t>
      </w:r>
      <w:r>
        <w:t xml:space="preserve"> he reveals </w:t>
      </w:r>
      <w:r w:rsidRPr="006D47E3">
        <w:t>the almost nominal role in decision-making th</w:t>
      </w:r>
      <w:r>
        <w:t>at individual governors have</w:t>
      </w:r>
      <w:r w:rsidR="00104360">
        <w:t>,</w:t>
      </w:r>
      <w:r>
        <w:t xml:space="preserve"> in</w:t>
      </w:r>
      <w:r w:rsidRPr="006D47E3">
        <w:t xml:space="preserve"> </w:t>
      </w:r>
      <w:proofErr w:type="gramStart"/>
      <w:r w:rsidRPr="006D47E3">
        <w:t>meetings</w:t>
      </w:r>
      <w:r>
        <w:t xml:space="preserve"> which</w:t>
      </w:r>
      <w:proofErr w:type="gramEnd"/>
      <w:r w:rsidRPr="006D47E3">
        <w:t xml:space="preserve"> are procedural re-enactments. Extracts from the data bring to life the frustrations that </w:t>
      </w:r>
      <w:proofErr w:type="gramStart"/>
      <w:r w:rsidRPr="006D47E3">
        <w:t>governors</w:t>
      </w:r>
      <w:proofErr w:type="gramEnd"/>
      <w:r w:rsidRPr="006D47E3">
        <w:t xml:space="preserve"> feel, being effectively encapsulated in foregone decisions as ‘compliance officers’ (p. 118)</w:t>
      </w:r>
      <w:r>
        <w:t xml:space="preserve">. </w:t>
      </w:r>
    </w:p>
    <w:p w14:paraId="1A806A8E" w14:textId="76AC5EED" w:rsidR="002E2049" w:rsidRPr="006A1AE2" w:rsidRDefault="002E2049" w:rsidP="002E2049">
      <w:pPr>
        <w:rPr>
          <w:color w:val="000000"/>
        </w:rPr>
      </w:pPr>
      <w:r w:rsidRPr="006D47E3">
        <w:rPr>
          <w:color w:val="000000"/>
        </w:rPr>
        <w:t>Wilkin</w:t>
      </w:r>
      <w:r>
        <w:rPr>
          <w:color w:val="000000"/>
        </w:rPr>
        <w:t>s develops our understanding of what I think is a significant</w:t>
      </w:r>
      <w:r w:rsidRPr="006D47E3">
        <w:rPr>
          <w:color w:val="000000"/>
        </w:rPr>
        <w:t xml:space="preserve"> point in contemporary policy making and implementation, which is that contemporary systems of governance s</w:t>
      </w:r>
      <w:r>
        <w:rPr>
          <w:color w:val="000000"/>
        </w:rPr>
        <w:t>eek to operate by neutralising</w:t>
      </w:r>
      <w:r w:rsidRPr="006D47E3">
        <w:rPr>
          <w:color w:val="000000"/>
        </w:rPr>
        <w:t xml:space="preserve"> factions of disagreement. There is as he says</w:t>
      </w:r>
      <w:r w:rsidR="00B80DAA">
        <w:rPr>
          <w:color w:val="000000"/>
        </w:rPr>
        <w:t xml:space="preserve"> with reference to </w:t>
      </w:r>
      <w:r w:rsidR="00B80DAA" w:rsidRPr="006D47E3">
        <w:rPr>
          <w:color w:val="000000"/>
        </w:rPr>
        <w:t>Rancière</w:t>
      </w:r>
      <w:r w:rsidR="00B80DAA">
        <w:rPr>
          <w:color w:val="000000"/>
        </w:rPr>
        <w:t xml:space="preserve"> </w:t>
      </w:r>
      <w:r w:rsidR="00F03574" w:rsidRPr="00382595">
        <w:rPr>
          <w:color w:val="000000"/>
        </w:rPr>
        <w:t>(2010</w:t>
      </w:r>
      <w:r w:rsidR="00B80DAA" w:rsidRPr="00382595">
        <w:rPr>
          <w:color w:val="000000"/>
        </w:rPr>
        <w:t>)</w:t>
      </w:r>
      <w:r w:rsidR="00C70CE7" w:rsidRPr="00382595">
        <w:rPr>
          <w:color w:val="000000"/>
        </w:rPr>
        <w:t>,</w:t>
      </w:r>
      <w:r w:rsidR="00CE543D">
        <w:rPr>
          <w:color w:val="000000"/>
        </w:rPr>
        <w:t xml:space="preserve"> </w:t>
      </w:r>
      <w:proofErr w:type="gramStart"/>
      <w:r w:rsidR="00B80DAA">
        <w:rPr>
          <w:color w:val="000000"/>
        </w:rPr>
        <w:t xml:space="preserve">an </w:t>
      </w:r>
      <w:r w:rsidRPr="006D47E3">
        <w:rPr>
          <w:color w:val="000000"/>
        </w:rPr>
        <w:t>‘overreli</w:t>
      </w:r>
      <w:r w:rsidR="00B80DAA">
        <w:rPr>
          <w:color w:val="000000"/>
        </w:rPr>
        <w:t>ance</w:t>
      </w:r>
      <w:proofErr w:type="gramEnd"/>
      <w:r w:rsidR="00B80DAA">
        <w:rPr>
          <w:color w:val="000000"/>
        </w:rPr>
        <w:t xml:space="preserve"> on consensus’</w:t>
      </w:r>
      <w:r w:rsidRPr="006D47E3">
        <w:rPr>
          <w:color w:val="000000"/>
        </w:rPr>
        <w:t xml:space="preserve"> which ‘reproduces its own politics of inclusion and exclusion’ (p. 68)</w:t>
      </w:r>
      <w:r w:rsidR="00CE543D">
        <w:rPr>
          <w:color w:val="000000"/>
        </w:rPr>
        <w:t>.</w:t>
      </w:r>
      <w:r w:rsidRPr="006D47E3">
        <w:rPr>
          <w:color w:val="000000"/>
        </w:rPr>
        <w:t xml:space="preserve"> Whe</w:t>
      </w:r>
      <w:r>
        <w:rPr>
          <w:color w:val="000000"/>
        </w:rPr>
        <w:t>n analysing the discourses of governmentality</w:t>
      </w:r>
      <w:r w:rsidRPr="006D47E3">
        <w:rPr>
          <w:color w:val="000000"/>
        </w:rPr>
        <w:t>,</w:t>
      </w:r>
      <w:r w:rsidRPr="006D47E3">
        <w:t xml:space="preserve"> it would appear that</w:t>
      </w:r>
      <w:r w:rsidRPr="006D47E3">
        <w:rPr>
          <w:color w:val="000000"/>
        </w:rPr>
        <w:t xml:space="preserve"> the denial </w:t>
      </w:r>
      <w:r>
        <w:rPr>
          <w:color w:val="000000"/>
        </w:rPr>
        <w:t>of conflict forms the basis for appearances</w:t>
      </w:r>
      <w:r w:rsidRPr="006D47E3">
        <w:rPr>
          <w:color w:val="000000"/>
        </w:rPr>
        <w:t xml:space="preserve"> of </w:t>
      </w:r>
      <w:r>
        <w:rPr>
          <w:color w:val="000000"/>
        </w:rPr>
        <w:t xml:space="preserve">due </w:t>
      </w:r>
      <w:r w:rsidRPr="006D47E3">
        <w:rPr>
          <w:color w:val="000000"/>
        </w:rPr>
        <w:t>d</w:t>
      </w:r>
      <w:r>
        <w:rPr>
          <w:color w:val="000000"/>
        </w:rPr>
        <w:t>emocratic process</w:t>
      </w:r>
      <w:r w:rsidRPr="006D47E3">
        <w:rPr>
          <w:color w:val="000000"/>
        </w:rPr>
        <w:t>.</w:t>
      </w:r>
      <w:r>
        <w:rPr>
          <w:color w:val="000000"/>
        </w:rPr>
        <w:t xml:space="preserve"> </w:t>
      </w:r>
      <w:r w:rsidRPr="006D47E3">
        <w:t>Participants can be seen as enacting</w:t>
      </w:r>
      <w:r>
        <w:t xml:space="preserve"> normative forms of conduct </w:t>
      </w:r>
      <w:r w:rsidRPr="006D47E3">
        <w:t xml:space="preserve">based on competitive institutional agendas that rule out the human affective factor. </w:t>
      </w:r>
      <w:r>
        <w:t>T</w:t>
      </w:r>
      <w:r w:rsidRPr="006D47E3">
        <w:t>hese findi</w:t>
      </w:r>
      <w:r>
        <w:t xml:space="preserve">ngs are of crucial importance as they provide convincing evidence of shifting </w:t>
      </w:r>
      <w:r w:rsidRPr="006D47E3">
        <w:t>accountability structures and the evasion of critical voices.</w:t>
      </w:r>
    </w:p>
    <w:p w14:paraId="6388D918" w14:textId="77777777" w:rsidR="00CE543D" w:rsidRDefault="002E2049" w:rsidP="002E2049">
      <w:r w:rsidRPr="006D47E3">
        <w:t>The author builds a picture of the subt</w:t>
      </w:r>
      <w:r>
        <w:t xml:space="preserve">leties of dissent </w:t>
      </w:r>
      <w:r w:rsidRPr="006D47E3">
        <w:t>as governing forces vie for contested values in a spatialisation of power through school networks. This is an essential aspect of Foucauldian theory, as evidenced in Wilkins’ description of policy discourse as</w:t>
      </w:r>
      <w:r w:rsidR="00CE543D">
        <w:t xml:space="preserve"> – </w:t>
      </w:r>
    </w:p>
    <w:p w14:paraId="78D1320C" w14:textId="77777777" w:rsidR="00CE543D" w:rsidRDefault="00CE543D" w:rsidP="002E2049"/>
    <w:p w14:paraId="0C79E661" w14:textId="13861D95" w:rsidR="00CE543D" w:rsidRPr="00CE543D" w:rsidRDefault="002E2049" w:rsidP="00CE543D">
      <w:pPr>
        <w:ind w:left="357" w:right="357" w:firstLine="0"/>
        <w:rPr>
          <w:sz w:val="20"/>
          <w:szCs w:val="20"/>
        </w:rPr>
      </w:pPr>
      <w:proofErr w:type="gramStart"/>
      <w:r w:rsidRPr="00CE543D">
        <w:rPr>
          <w:sz w:val="20"/>
          <w:szCs w:val="20"/>
        </w:rPr>
        <w:t>a</w:t>
      </w:r>
      <w:proofErr w:type="gramEnd"/>
      <w:r w:rsidRPr="00CE543D">
        <w:rPr>
          <w:sz w:val="20"/>
          <w:szCs w:val="20"/>
        </w:rPr>
        <w:t xml:space="preserve"> dynamic, productive space in which different governmental regimes intervene through the use of strictures, boundaries, limits and injunctions to help shape and guide the formation of subjects as citizens. (p. 36) </w:t>
      </w:r>
    </w:p>
    <w:p w14:paraId="66A8FB6C" w14:textId="77777777" w:rsidR="00CE543D" w:rsidRDefault="00CE543D" w:rsidP="002E2049"/>
    <w:p w14:paraId="4B847784" w14:textId="3B87DFFF" w:rsidR="002E2049" w:rsidRDefault="002E2049" w:rsidP="00CE543D">
      <w:pPr>
        <w:ind w:firstLine="0"/>
      </w:pPr>
      <w:r w:rsidRPr="006D47E3">
        <w:t xml:space="preserve">Such articulations breathe through this work with an energy that assists expansive connections </w:t>
      </w:r>
      <w:r w:rsidR="00296D1A">
        <w:t>with other situations in policy-</w:t>
      </w:r>
      <w:r w:rsidRPr="006D47E3">
        <w:t>making</w:t>
      </w:r>
      <w:r w:rsidR="00296D1A">
        <w:t>;</w:t>
      </w:r>
      <w:r>
        <w:t xml:space="preserve"> </w:t>
      </w:r>
      <w:r w:rsidR="00E33884">
        <w:t xml:space="preserve">this </w:t>
      </w:r>
      <w:r w:rsidRPr="006D47E3">
        <w:t xml:space="preserve">enhances the transferrable potential of the work. </w:t>
      </w:r>
    </w:p>
    <w:p w14:paraId="33E9EA0E" w14:textId="25BCDA8D" w:rsidR="002E2049" w:rsidRDefault="002E2049" w:rsidP="002E2049">
      <w:r w:rsidRPr="006D47E3">
        <w:t xml:space="preserve">Wilkins documents how parent governors who are elected by other parents and not by the governing body are ‘sometimes singled out as “problematic” or “difficult” (p. 91). The guiding motivation follows the approach of </w:t>
      </w:r>
      <w:r>
        <w:t>utilitarianism</w:t>
      </w:r>
      <w:r w:rsidR="00CE543D">
        <w:t>,</w:t>
      </w:r>
      <w:r>
        <w:t xml:space="preserve"> and </w:t>
      </w:r>
      <w:r w:rsidRPr="008A0FF0">
        <w:t>Wilkins convincingly argues</w:t>
      </w:r>
      <w:r>
        <w:t xml:space="preserve"> </w:t>
      </w:r>
      <w:r w:rsidRPr="006D47E3">
        <w:t>that this neutralisation prevents the healthy questioning that is part of creative planning. To illustrate this effect Wilkins provocatively ends Chapter 4 with an extract of data in which a Head Teacher says he finds himself setting up the governors to challenge him, to stir up any form of differing contribution.</w:t>
      </w:r>
      <w:r>
        <w:t xml:space="preserve"> </w:t>
      </w:r>
    </w:p>
    <w:p w14:paraId="2FC4F287" w14:textId="33BEF91F" w:rsidR="002E2049" w:rsidRPr="008A0FF0" w:rsidRDefault="002E2049" w:rsidP="002E2049">
      <w:pPr>
        <w:rPr>
          <w:color w:val="000000"/>
        </w:rPr>
      </w:pPr>
      <w:r w:rsidRPr="006D47E3">
        <w:t>The steering of subjectivities in governance towards intended objectives is further illuminated in Chapter 5</w:t>
      </w:r>
      <w:r w:rsidR="00CE543D">
        <w:t>,</w:t>
      </w:r>
      <w:r w:rsidRPr="006D47E3">
        <w:t xml:space="preserve"> ‘Business Ontology’</w:t>
      </w:r>
      <w:r w:rsidR="00104360">
        <w:t xml:space="preserve">, in which </w:t>
      </w:r>
      <w:r w:rsidRPr="006D47E3">
        <w:t xml:space="preserve">conditions of existence in roles organised by discourses of ‘professional conduct’ are </w:t>
      </w:r>
      <w:r w:rsidR="00104360">
        <w:t>examined through the data. ‘M</w:t>
      </w:r>
      <w:r w:rsidRPr="006D47E3">
        <w:t>oderni</w:t>
      </w:r>
      <w:r w:rsidR="004663B5">
        <w:t xml:space="preserve">sed’ </w:t>
      </w:r>
      <w:r w:rsidRPr="006D47E3">
        <w:t>school governance</w:t>
      </w:r>
      <w:r w:rsidR="00104360">
        <w:t xml:space="preserve"> is seen as moving away from a</w:t>
      </w:r>
      <w:r w:rsidRPr="006D47E3">
        <w:t xml:space="preserve"> ‘bums on seats’ communitarian approach to</w:t>
      </w:r>
      <w:r w:rsidR="004663B5">
        <w:t xml:space="preserve"> appointing governors </w:t>
      </w:r>
      <w:r w:rsidRPr="006D47E3">
        <w:t>for</w:t>
      </w:r>
      <w:r w:rsidR="004663B5">
        <w:t xml:space="preserve"> their</w:t>
      </w:r>
      <w:r w:rsidRPr="006D47E3">
        <w:t xml:space="preserve"> relevant skills.</w:t>
      </w:r>
      <w:r>
        <w:t xml:space="preserve"> </w:t>
      </w:r>
      <w:r w:rsidRPr="006D47E3">
        <w:t xml:space="preserve">This would </w:t>
      </w:r>
      <w:r w:rsidRPr="006D47E3">
        <w:lastRenderedPageBreak/>
        <w:t xml:space="preserve">also appear to be a </w:t>
      </w:r>
      <w:r w:rsidRPr="006D47E3">
        <w:rPr>
          <w:i/>
        </w:rPr>
        <w:t xml:space="preserve">modernist </w:t>
      </w:r>
      <w:r w:rsidRPr="006D47E3">
        <w:t>streamlining of ‘form follows function’ (</w:t>
      </w:r>
      <w:proofErr w:type="spellStart"/>
      <w:r w:rsidRPr="006D47E3">
        <w:t>Yanow</w:t>
      </w:r>
      <w:proofErr w:type="spellEnd"/>
      <w:r>
        <w:t>,</w:t>
      </w:r>
      <w:r w:rsidRPr="006D47E3">
        <w:t xml:space="preserve"> 2010). Wilkins invi</w:t>
      </w:r>
      <w:r w:rsidR="00C132EA">
        <w:t>tes us to weigh</w:t>
      </w:r>
      <w:r w:rsidRPr="006D47E3">
        <w:t xml:space="preserve"> </w:t>
      </w:r>
      <w:r w:rsidR="00C132EA">
        <w:t xml:space="preserve">the </w:t>
      </w:r>
      <w:r w:rsidRPr="006D47E3">
        <w:t>apparent benefits of increased school self-governance, against the paradox of additional forms of accountability</w:t>
      </w:r>
      <w:r w:rsidR="00C132EA">
        <w:t>, which are accompanied by</w:t>
      </w:r>
      <w:r>
        <w:t xml:space="preserve"> </w:t>
      </w:r>
      <w:r w:rsidRPr="006D47E3">
        <w:t>loopho</w:t>
      </w:r>
      <w:r w:rsidR="00C132EA">
        <w:t>les that escape observation</w:t>
      </w:r>
      <w:r w:rsidRPr="006D47E3">
        <w:t xml:space="preserve"> through the removal of critical voic</w:t>
      </w:r>
      <w:r w:rsidR="00C132EA">
        <w:t>es. Extracts from the data register</w:t>
      </w:r>
      <w:r w:rsidRPr="006D47E3">
        <w:t xml:space="preserve"> this shift towards professionalisation, or dehu</w:t>
      </w:r>
      <w:r w:rsidR="00C132EA">
        <w:t>manisation as o</w:t>
      </w:r>
      <w:r w:rsidR="00DE452A">
        <w:t xml:space="preserve">ne may see </w:t>
      </w:r>
      <w:proofErr w:type="gramStart"/>
      <w:r w:rsidR="00DE452A">
        <w:t>it, that</w:t>
      </w:r>
      <w:proofErr w:type="gramEnd"/>
      <w:r w:rsidR="00DE452A">
        <w:t xml:space="preserve"> facilitates schools’ actions to</w:t>
      </w:r>
      <w:r w:rsidRPr="006D47E3">
        <w:t xml:space="preserve"> ‘weed out the weak’ as one LEA Governor puts it (p. 107). </w:t>
      </w:r>
    </w:p>
    <w:p w14:paraId="3198FDE9" w14:textId="77777777" w:rsidR="002E2049" w:rsidRDefault="002E2049" w:rsidP="002E2049">
      <w:r w:rsidRPr="006D47E3">
        <w:tab/>
        <w:t xml:space="preserve">Wilkins’ writing adds pin sharp </w:t>
      </w:r>
      <w:proofErr w:type="gramStart"/>
      <w:r w:rsidRPr="006D47E3">
        <w:t>observations which</w:t>
      </w:r>
      <w:proofErr w:type="gramEnd"/>
      <w:r w:rsidRPr="006D47E3">
        <w:t xml:space="preserve"> analyse the sociological motivations for new forms of governance. He states that:</w:t>
      </w:r>
    </w:p>
    <w:p w14:paraId="0371A5D8" w14:textId="77777777" w:rsidR="00D208F8" w:rsidRPr="006D47E3" w:rsidRDefault="00D208F8" w:rsidP="002E2049"/>
    <w:p w14:paraId="55519774" w14:textId="77777777" w:rsidR="002E2049" w:rsidRDefault="002E2049" w:rsidP="00D208F8">
      <w:pPr>
        <w:pStyle w:val="Quote"/>
      </w:pPr>
      <w:r w:rsidRPr="006D47E3">
        <w:t>Short termism or myopic thinking constitutes an impediment to strong governance. Instead governors are guided towards embracing the sovereign character of the resilient, agile, flexible, entrepreneurial self, in order that they may absorb disturbances, mitigate risks and overcome precarity. (p. 110)</w:t>
      </w:r>
    </w:p>
    <w:p w14:paraId="5F3645B3" w14:textId="77777777" w:rsidR="00D208F8" w:rsidRDefault="00D208F8" w:rsidP="00D208F8">
      <w:pPr>
        <w:ind w:firstLine="0"/>
      </w:pPr>
    </w:p>
    <w:p w14:paraId="362C25BE" w14:textId="77777777" w:rsidR="002E2049" w:rsidRDefault="002E2049" w:rsidP="00D208F8">
      <w:pPr>
        <w:ind w:firstLine="0"/>
      </w:pPr>
      <w:r w:rsidRPr="006D47E3">
        <w:t xml:space="preserve">Of course here the parent-governor would become associated with short-termism, in the duration of their children’s school experience. On the other hand the parental voice raises the authenticity of experience, and reprising the sense of the ‘truth game’ in operation Wilkins analyses the production of replacement ‘auditable truths’ through the data. Respondents document the importance of ‘transparency’ in auditing processes (p. 111) exacted through the micro-division of governors’ roles towards their areas of expertise. </w:t>
      </w:r>
    </w:p>
    <w:p w14:paraId="56B0B361" w14:textId="401CCB94" w:rsidR="002E2049" w:rsidRDefault="002E2049" w:rsidP="002E2049">
      <w:r>
        <w:t>Corresponding with the concept of ‘points of inserti</w:t>
      </w:r>
      <w:r w:rsidR="00DE452A">
        <w:t>on’ for strategic changes in</w:t>
      </w:r>
      <w:r>
        <w:t xml:space="preserve"> truth discourses and the r</w:t>
      </w:r>
      <w:r w:rsidR="00DE452A">
        <w:t xml:space="preserve">elocation of </w:t>
      </w:r>
      <w:r>
        <w:t xml:space="preserve">resources, Wilkins identifies that the removal of local authorities has resulted in a ‘missing middle’ tier of governance (p. 27). </w:t>
      </w:r>
      <w:r w:rsidRPr="006D47E3">
        <w:t>Detailing the exten</w:t>
      </w:r>
      <w:r>
        <w:t xml:space="preserve">t of cuts in </w:t>
      </w:r>
      <w:r w:rsidRPr="006D47E3">
        <w:t>funding which have siphoned away the functions of regional provision,</w:t>
      </w:r>
      <w:r>
        <w:t xml:space="preserve"> he identifies the </w:t>
      </w:r>
      <w:r w:rsidRPr="006D47E3">
        <w:t>void in the distribution o</w:t>
      </w:r>
      <w:r w:rsidR="001C2A18">
        <w:t>f cultural discourses of policy-</w:t>
      </w:r>
      <w:r w:rsidRPr="006D47E3">
        <w:t>maki</w:t>
      </w:r>
      <w:r>
        <w:t>ng</w:t>
      </w:r>
      <w:r w:rsidRPr="006D47E3">
        <w:t>. The production of the regional vacuum and attempts to replace this middle layer through alternative systems of governance form a central theme</w:t>
      </w:r>
      <w:r>
        <w:t xml:space="preserve"> in </w:t>
      </w:r>
      <w:r>
        <w:rPr>
          <w:i/>
        </w:rPr>
        <w:t>Modernising School Governance</w:t>
      </w:r>
      <w:r w:rsidRPr="006D47E3">
        <w:t xml:space="preserve">. </w:t>
      </w:r>
    </w:p>
    <w:p w14:paraId="15987E73" w14:textId="1302522E" w:rsidR="002E2049" w:rsidRPr="006D47E3" w:rsidRDefault="002E2049" w:rsidP="002E2049">
      <w:r w:rsidRPr="006D47E3">
        <w:t>Wilkins seeks to explain</w:t>
      </w:r>
      <w:r>
        <w:t xml:space="preserve"> what has happened</w:t>
      </w:r>
      <w:r w:rsidRPr="006D47E3">
        <w:t xml:space="preserve"> in the absence of the middle layer of</w:t>
      </w:r>
      <w:r>
        <w:t xml:space="preserve"> local education authorities, and</w:t>
      </w:r>
      <w:r w:rsidRPr="006D47E3">
        <w:t xml:space="preserve"> finds there is a movement towards ‘repopulating the mid</w:t>
      </w:r>
      <w:r>
        <w:t xml:space="preserve">dle’ with alternative provisions </w:t>
      </w:r>
      <w:r w:rsidR="00D208F8">
        <w:t>–</w:t>
      </w:r>
      <w:r>
        <w:t xml:space="preserve"> as detailed in Chapter 6</w:t>
      </w:r>
      <w:r w:rsidRPr="006D47E3">
        <w:t xml:space="preserve">. </w:t>
      </w:r>
      <w:r>
        <w:t xml:space="preserve">Of particular note is his </w:t>
      </w:r>
      <w:r w:rsidRPr="006D47E3">
        <w:t xml:space="preserve">observation that these alternative structures are in some ways replicating the purposes, and the faults, of </w:t>
      </w:r>
      <w:r>
        <w:t xml:space="preserve">local authorities. Wilkins </w:t>
      </w:r>
      <w:r w:rsidRPr="006D47E3">
        <w:t>weighs in with an original consideration of schools’ act</w:t>
      </w:r>
      <w:r>
        <w:t xml:space="preserve">ions to combine and survive in multi-academy or ‘umbrella’ trusts. </w:t>
      </w:r>
      <w:r w:rsidRPr="006D47E3">
        <w:t>In forming alliances</w:t>
      </w:r>
      <w:r w:rsidR="00D208F8">
        <w:t>,</w:t>
      </w:r>
      <w:r w:rsidRPr="006D47E3">
        <w:t xml:space="preserve"> schools can pool resources, increase cost-effectiveness through economies of scale</w:t>
      </w:r>
      <w:r w:rsidR="00D208F8">
        <w:t>,</w:t>
      </w:r>
      <w:r w:rsidRPr="006D47E3">
        <w:t xml:space="preserve"> and maximise a sense of security. However Wilkins finds that in this choice there a</w:t>
      </w:r>
      <w:r>
        <w:t xml:space="preserve">re still exertions of interest among senior management: </w:t>
      </w:r>
      <w:r w:rsidRPr="006D47E3">
        <w:t xml:space="preserve">few schools want to be out on a limb shoring up high risks on low budgets, without the safety net that was previously afforded to them via the authorities.  </w:t>
      </w:r>
      <w:r w:rsidR="003F6898">
        <w:t>L</w:t>
      </w:r>
      <w:r w:rsidR="005F61DF">
        <w:t>arge-</w:t>
      </w:r>
      <w:r>
        <w:t xml:space="preserve">scale confederations </w:t>
      </w:r>
      <w:r w:rsidRPr="006D47E3">
        <w:t>are increasing in popularity among schools, without recourse to democratic elective processes. This is indicative of what Wilkins in r</w:t>
      </w:r>
      <w:r w:rsidR="00B80DAA">
        <w:t xml:space="preserve">elation </w:t>
      </w:r>
      <w:r w:rsidR="00B80DAA" w:rsidRPr="00382595">
        <w:t>to Clayton (2012)</w:t>
      </w:r>
      <w:r w:rsidRPr="00382595">
        <w:t xml:space="preserve"> terms the ‘democratic deficit’ of such neo-liberal competitive clusters</w:t>
      </w:r>
      <w:r w:rsidR="00F03574" w:rsidRPr="00382595">
        <w:t xml:space="preserve"> (p. 124)</w:t>
      </w:r>
      <w:r w:rsidRPr="00382595">
        <w:t>.</w:t>
      </w:r>
      <w:r w:rsidRPr="006D47E3">
        <w:t xml:space="preserve"> The ‘experts’ in governance are instead ‘free’ to practi</w:t>
      </w:r>
      <w:r w:rsidR="00D208F8">
        <w:t>s</w:t>
      </w:r>
      <w:r w:rsidRPr="006D47E3">
        <w:t>e strategic incisions in the forms of collective authority that used to be included in the governor’s role</w:t>
      </w:r>
      <w:r w:rsidR="00D208F8">
        <w:t>.</w:t>
      </w:r>
    </w:p>
    <w:p w14:paraId="1637CA50" w14:textId="6FB14B31" w:rsidR="002E2049" w:rsidRPr="006D47E3" w:rsidRDefault="002E2049" w:rsidP="002E2049">
      <w:r w:rsidRPr="006D47E3">
        <w:t>In concluding this far-reaching and very well evidenced articulation of the ‘complexity of accountability’ (p. 9)</w:t>
      </w:r>
      <w:r w:rsidR="00D208F8">
        <w:t>,</w:t>
      </w:r>
      <w:r w:rsidRPr="006D47E3">
        <w:t xml:space="preserve"> Wilkins explains his intentions in directing attention away from criteria for performativity in governance towards considering how we define the factors that combine to produce effective governance. He stresses the need to move away from the depersonalisation of governors as ‘compliant </w:t>
      </w:r>
      <w:r w:rsidRPr="006D47E3">
        <w:lastRenderedPageBreak/>
        <w:t xml:space="preserve">operatives’ (p. 135) of disembodied knowledge. Concluding statements are a space for authorial arguments to strike key notes and Wilkins does this particularly well as he draws together the factors which impact the shift away from people-centred approaches to governmentality through actors as units of expertise </w:t>
      </w:r>
    </w:p>
    <w:p w14:paraId="75590BF1" w14:textId="02E2990B" w:rsidR="002E2049" w:rsidRPr="006D47E3" w:rsidRDefault="002E2049" w:rsidP="002E2049">
      <w:r w:rsidRPr="006D47E3">
        <w:rPr>
          <w:i/>
        </w:rPr>
        <w:t xml:space="preserve">Modernising School Governance </w:t>
      </w:r>
      <w:r w:rsidR="001C2A18">
        <w:t>has a</w:t>
      </w:r>
      <w:r w:rsidRPr="006D47E3">
        <w:t xml:space="preserve"> powerful presence</w:t>
      </w:r>
      <w:r w:rsidR="00E244B6">
        <w:t>,</w:t>
      </w:r>
      <w:r w:rsidRPr="006D47E3">
        <w:t xml:space="preserve"> as a communica</w:t>
      </w:r>
      <w:r>
        <w:t>tive and interpretive text that</w:t>
      </w:r>
      <w:r w:rsidRPr="006D47E3">
        <w:t xml:space="preserve"> </w:t>
      </w:r>
      <w:r w:rsidR="00E244B6">
        <w:t xml:space="preserve">raises our awareness of the screened </w:t>
      </w:r>
      <w:proofErr w:type="gramStart"/>
      <w:r w:rsidR="00E244B6">
        <w:t>activities which</w:t>
      </w:r>
      <w:proofErr w:type="gramEnd"/>
      <w:r w:rsidR="001C2A18">
        <w:t xml:space="preserve"> </w:t>
      </w:r>
      <w:r w:rsidRPr="006D47E3">
        <w:t>remove democratic processes and s</w:t>
      </w:r>
      <w:r>
        <w:t>ilence critical voices</w:t>
      </w:r>
      <w:r w:rsidRPr="006D47E3">
        <w:t>. Wilkins demonstrates the currency of Foucauldian theory, extending our understandings of performativity as it operates throughout the hierarchy of school governance.  The combination of historical accuracy and empirical analysis is particularly robust and the candid expressions of participants in the research remind us of the human impact of rec</w:t>
      </w:r>
      <w:r w:rsidR="00956BEE">
        <w:t xml:space="preserve">ent changes. Wilkins documents </w:t>
      </w:r>
      <w:r w:rsidRPr="006D47E3">
        <w:t xml:space="preserve">the rapid normalisation </w:t>
      </w:r>
      <w:r>
        <w:t>of idiosyncratic approaches</w:t>
      </w:r>
      <w:r w:rsidR="002536E8">
        <w:t xml:space="preserve"> </w:t>
      </w:r>
      <w:r w:rsidR="002536E8" w:rsidRPr="006D47E3">
        <w:t>as ‘truth constructs’</w:t>
      </w:r>
      <w:r>
        <w:t xml:space="preserve"> in multi-a</w:t>
      </w:r>
      <w:r w:rsidRPr="006D47E3">
        <w:t>cade</w:t>
      </w:r>
      <w:r>
        <w:t>my trusts and free s</w:t>
      </w:r>
      <w:r w:rsidRPr="006D47E3">
        <w:t>chools</w:t>
      </w:r>
      <w:r w:rsidR="00956BEE">
        <w:t>; this</w:t>
      </w:r>
      <w:r w:rsidRPr="006D47E3">
        <w:t xml:space="preserve"> </w:t>
      </w:r>
      <w:r w:rsidR="002536E8">
        <w:t>is</w:t>
      </w:r>
      <w:r w:rsidR="00956BEE">
        <w:t xml:space="preserve"> arguably </w:t>
      </w:r>
      <w:r w:rsidRPr="006D47E3">
        <w:t xml:space="preserve">an important area for further research. </w:t>
      </w:r>
    </w:p>
    <w:p w14:paraId="742C152F" w14:textId="75D11CF8" w:rsidR="002E2049" w:rsidRPr="006D47E3" w:rsidRDefault="002E2049" w:rsidP="002E2049">
      <w:r w:rsidRPr="006D47E3">
        <w:rPr>
          <w:i/>
        </w:rPr>
        <w:t xml:space="preserve">Modernising School Governance </w:t>
      </w:r>
      <w:r w:rsidRPr="006D47E3">
        <w:t>sets out initial intentions of forming ‘spaces for critiquing and problematising’ (p. 8) the meaning of school governance</w:t>
      </w:r>
      <w:r>
        <w:t>;</w:t>
      </w:r>
      <w:r w:rsidRPr="006D47E3">
        <w:t xml:space="preserve"> these intentions are main</w:t>
      </w:r>
      <w:r>
        <w:t>tained consistently throughout</w:t>
      </w:r>
      <w:r w:rsidRPr="006D47E3">
        <w:t xml:space="preserve">. In portraying the shift towards ‘expert handling’ of schools </w:t>
      </w:r>
      <w:r>
        <w:t xml:space="preserve">Wilkins does not </w:t>
      </w:r>
      <w:r w:rsidRPr="006D47E3">
        <w:t>invite reminiscence about conditions under previous governments. We are encouraged to face the complexities of the audit culture that is replacing the stakeholder model, and in doing so to really analyse the processes involved. Wilkins recommends that this pervasive ‘</w:t>
      </w:r>
      <w:proofErr w:type="spellStart"/>
      <w:r w:rsidRPr="006D47E3">
        <w:t>reculturing</w:t>
      </w:r>
      <w:proofErr w:type="spellEnd"/>
      <w:r w:rsidRPr="006D47E3">
        <w:t>’ of accountability could be redressed towards agential and dialogical actions of governance, moving the role of overseeing accountability to ‘a small band of paid experts’ in ‘regional teams’ (pp. 149</w:t>
      </w:r>
      <w:r w:rsidR="009D0150">
        <w:t>–</w:t>
      </w:r>
      <w:r w:rsidRPr="006D47E3">
        <w:t xml:space="preserve">150). I wonder how we would convince the swathes of umbrella trust experts to relinquish their auditing and give space to the more humanising aspects of governance? Perhaps as Wilkins suggests, this could be achieved in reconfiguring what we mean by ‘effectiveness’ and allowing these different less dichotomous definitions to reach school cultures. </w:t>
      </w:r>
    </w:p>
    <w:p w14:paraId="5A3596FF" w14:textId="77777777" w:rsidR="002E2049" w:rsidRPr="006D47E3" w:rsidRDefault="002E2049" w:rsidP="009D0150">
      <w:pPr>
        <w:pStyle w:val="Heading1"/>
        <w:ind w:firstLine="0"/>
      </w:pPr>
      <w:r w:rsidRPr="006D47E3">
        <w:t>References</w:t>
      </w:r>
    </w:p>
    <w:p w14:paraId="084379AC" w14:textId="4405047A" w:rsidR="009D0150" w:rsidRPr="004E20A7" w:rsidRDefault="009D0150" w:rsidP="009D0150">
      <w:pPr>
        <w:pStyle w:val="References"/>
        <w:spacing w:before="0" w:line="300" w:lineRule="exact"/>
        <w:ind w:left="357" w:hanging="357"/>
        <w:rPr>
          <w:sz w:val="20"/>
          <w:szCs w:val="20"/>
        </w:rPr>
      </w:pPr>
      <w:r w:rsidRPr="00382595">
        <w:rPr>
          <w:sz w:val="20"/>
          <w:szCs w:val="20"/>
        </w:rPr>
        <w:t>Clayton</w:t>
      </w:r>
      <w:r w:rsidR="00F03574" w:rsidRPr="00382595">
        <w:rPr>
          <w:sz w:val="20"/>
          <w:szCs w:val="20"/>
        </w:rPr>
        <w:t>, G.</w:t>
      </w:r>
      <w:r w:rsidRPr="00382595">
        <w:rPr>
          <w:sz w:val="20"/>
          <w:szCs w:val="20"/>
        </w:rPr>
        <w:t xml:space="preserve"> (2012)</w:t>
      </w:r>
      <w:r w:rsidR="00F03574" w:rsidRPr="00382595">
        <w:rPr>
          <w:sz w:val="20"/>
          <w:szCs w:val="20"/>
        </w:rPr>
        <w:t xml:space="preserve"> </w:t>
      </w:r>
      <w:r w:rsidR="00F03574" w:rsidRPr="004E20A7">
        <w:rPr>
          <w:sz w:val="20"/>
          <w:szCs w:val="20"/>
        </w:rPr>
        <w:t xml:space="preserve">The alarming democratic void at the heart of our school </w:t>
      </w:r>
      <w:r w:rsidR="004E20A7" w:rsidRPr="004E20A7">
        <w:rPr>
          <w:sz w:val="20"/>
          <w:szCs w:val="20"/>
        </w:rPr>
        <w:t xml:space="preserve">system. </w:t>
      </w:r>
      <w:r w:rsidR="004E20A7" w:rsidRPr="004E20A7">
        <w:rPr>
          <w:i/>
          <w:sz w:val="20"/>
          <w:szCs w:val="20"/>
        </w:rPr>
        <w:t xml:space="preserve">The Guardian, </w:t>
      </w:r>
      <w:r w:rsidR="004E20A7" w:rsidRPr="004E20A7">
        <w:rPr>
          <w:sz w:val="20"/>
          <w:szCs w:val="20"/>
        </w:rPr>
        <w:t>26 April. Retrieved from http</w:t>
      </w:r>
      <w:r w:rsidR="004E20A7">
        <w:rPr>
          <w:sz w:val="20"/>
          <w:szCs w:val="20"/>
        </w:rPr>
        <w:t>://www.theguardian.com/commentisfree/2012/apr/26/democratic-void-school-system.</w:t>
      </w:r>
    </w:p>
    <w:p w14:paraId="1F9F7E8C" w14:textId="44843812" w:rsidR="009D0150" w:rsidRPr="009D0150" w:rsidRDefault="009D0150" w:rsidP="009D0150">
      <w:pPr>
        <w:pStyle w:val="References"/>
        <w:spacing w:before="0" w:line="300" w:lineRule="exact"/>
        <w:ind w:left="357" w:hanging="357"/>
        <w:rPr>
          <w:sz w:val="20"/>
          <w:szCs w:val="20"/>
        </w:rPr>
      </w:pPr>
      <w:proofErr w:type="gramStart"/>
      <w:r w:rsidRPr="009D0150">
        <w:rPr>
          <w:sz w:val="20"/>
          <w:szCs w:val="20"/>
        </w:rPr>
        <w:t>Department for Education (DfE).</w:t>
      </w:r>
      <w:proofErr w:type="gramEnd"/>
      <w:r w:rsidRPr="009D0150">
        <w:rPr>
          <w:sz w:val="20"/>
          <w:szCs w:val="20"/>
        </w:rPr>
        <w:t xml:space="preserve"> (2014)</w:t>
      </w:r>
      <w:proofErr w:type="gramStart"/>
      <w:r w:rsidRPr="009D0150">
        <w:rPr>
          <w:sz w:val="20"/>
          <w:szCs w:val="20"/>
        </w:rPr>
        <w:t xml:space="preserve">. </w:t>
      </w:r>
      <w:r w:rsidRPr="009D0150">
        <w:rPr>
          <w:i/>
          <w:sz w:val="20"/>
          <w:szCs w:val="20"/>
        </w:rPr>
        <w:t>The National Curriculum in England.</w:t>
      </w:r>
      <w:proofErr w:type="gramEnd"/>
      <w:r w:rsidRPr="009D0150">
        <w:rPr>
          <w:i/>
          <w:sz w:val="20"/>
          <w:szCs w:val="20"/>
        </w:rPr>
        <w:t xml:space="preserve"> </w:t>
      </w:r>
      <w:r w:rsidRPr="009D0150">
        <w:rPr>
          <w:sz w:val="20"/>
          <w:szCs w:val="20"/>
        </w:rPr>
        <w:t xml:space="preserve">Retrieved from </w:t>
      </w:r>
      <w:hyperlink r:id="rId9" w:history="1">
        <w:r w:rsidRPr="009D0150">
          <w:rPr>
            <w:rStyle w:val="Hyperlink"/>
            <w:sz w:val="20"/>
            <w:szCs w:val="20"/>
          </w:rPr>
          <w:t>https://www.gov.uk/government/uploads/system/uploads/attachment_</w:t>
        </w:r>
      </w:hyperlink>
      <w:r w:rsidRPr="009D0150">
        <w:rPr>
          <w:sz w:val="20"/>
          <w:szCs w:val="20"/>
        </w:rPr>
        <w:t>data/file/381754/SECONDARY_national_curriculum.pdf</w:t>
      </w:r>
    </w:p>
    <w:p w14:paraId="44C68A24" w14:textId="77777777" w:rsidR="009D0150" w:rsidRPr="009D0150" w:rsidRDefault="009D0150" w:rsidP="009D0150">
      <w:pPr>
        <w:pStyle w:val="References"/>
        <w:spacing w:before="0" w:line="300" w:lineRule="exact"/>
        <w:ind w:left="357" w:hanging="357"/>
        <w:rPr>
          <w:sz w:val="20"/>
          <w:szCs w:val="20"/>
        </w:rPr>
      </w:pPr>
      <w:r w:rsidRPr="009D0150">
        <w:rPr>
          <w:sz w:val="20"/>
          <w:szCs w:val="20"/>
        </w:rPr>
        <w:t xml:space="preserve">Foucault, M. (1969). What is an author? In P. Rabinow (Ed.), </w:t>
      </w:r>
      <w:r w:rsidRPr="009D0150">
        <w:rPr>
          <w:i/>
          <w:sz w:val="20"/>
          <w:szCs w:val="20"/>
        </w:rPr>
        <w:t>The Foucault Reader</w:t>
      </w:r>
      <w:r w:rsidRPr="009D0150">
        <w:rPr>
          <w:sz w:val="20"/>
          <w:szCs w:val="20"/>
        </w:rPr>
        <w:t xml:space="preserve"> (pp. 101–120). London: Penguin. </w:t>
      </w:r>
    </w:p>
    <w:p w14:paraId="0FAE5349" w14:textId="77777777" w:rsidR="009D0150" w:rsidRPr="009D0150" w:rsidRDefault="009D0150" w:rsidP="009D0150">
      <w:pPr>
        <w:pStyle w:val="References"/>
        <w:spacing w:before="0" w:line="300" w:lineRule="exact"/>
        <w:ind w:left="357" w:hanging="357"/>
        <w:rPr>
          <w:sz w:val="20"/>
          <w:szCs w:val="20"/>
        </w:rPr>
      </w:pPr>
      <w:r w:rsidRPr="009D0150">
        <w:rPr>
          <w:sz w:val="20"/>
          <w:szCs w:val="20"/>
        </w:rPr>
        <w:t xml:space="preserve">Foucault, M. (1980). </w:t>
      </w:r>
      <w:r w:rsidRPr="009D0150">
        <w:rPr>
          <w:i/>
          <w:sz w:val="20"/>
          <w:szCs w:val="20"/>
        </w:rPr>
        <w:t xml:space="preserve">Power/Knowledge. </w:t>
      </w:r>
      <w:r w:rsidRPr="009D0150">
        <w:rPr>
          <w:sz w:val="20"/>
          <w:szCs w:val="20"/>
        </w:rPr>
        <w:t>Harlow: Pearson Education.</w:t>
      </w:r>
    </w:p>
    <w:p w14:paraId="2DBDC095" w14:textId="4BE2752D" w:rsidR="009D0150" w:rsidRPr="00AC4C49" w:rsidRDefault="009D0150" w:rsidP="009D0150">
      <w:pPr>
        <w:pStyle w:val="References"/>
        <w:spacing w:before="0" w:line="300" w:lineRule="exact"/>
        <w:ind w:left="357" w:hanging="357"/>
        <w:rPr>
          <w:sz w:val="20"/>
          <w:szCs w:val="20"/>
        </w:rPr>
      </w:pPr>
      <w:r w:rsidRPr="009D0150">
        <w:rPr>
          <w:sz w:val="20"/>
          <w:szCs w:val="20"/>
        </w:rPr>
        <w:t>Foucault, M. (</w:t>
      </w:r>
      <w:r w:rsidRPr="00AC4C49">
        <w:rPr>
          <w:sz w:val="20"/>
          <w:szCs w:val="20"/>
        </w:rPr>
        <w:t>2007</w:t>
      </w:r>
      <w:r w:rsidRPr="00382595">
        <w:rPr>
          <w:sz w:val="20"/>
          <w:szCs w:val="20"/>
        </w:rPr>
        <w:t xml:space="preserve">). </w:t>
      </w:r>
      <w:proofErr w:type="gramStart"/>
      <w:r w:rsidR="000A429B" w:rsidRPr="00382595">
        <w:rPr>
          <w:sz w:val="20"/>
          <w:szCs w:val="20"/>
        </w:rPr>
        <w:t>Subjectivity and truth.</w:t>
      </w:r>
      <w:proofErr w:type="gramEnd"/>
      <w:r>
        <w:rPr>
          <w:sz w:val="20"/>
          <w:szCs w:val="20"/>
        </w:rPr>
        <w:t xml:space="preserve"> </w:t>
      </w:r>
      <w:r w:rsidRPr="00AC4C49">
        <w:rPr>
          <w:sz w:val="20"/>
          <w:szCs w:val="20"/>
        </w:rPr>
        <w:t xml:space="preserve">In S. </w:t>
      </w:r>
      <w:proofErr w:type="spellStart"/>
      <w:r w:rsidRPr="00AC4C49">
        <w:rPr>
          <w:sz w:val="20"/>
          <w:szCs w:val="20"/>
        </w:rPr>
        <w:t>Lotringer</w:t>
      </w:r>
      <w:proofErr w:type="spellEnd"/>
      <w:r w:rsidRPr="00AC4C49">
        <w:rPr>
          <w:sz w:val="20"/>
          <w:szCs w:val="20"/>
        </w:rPr>
        <w:t xml:space="preserve"> (Ed.)</w:t>
      </w:r>
      <w:r>
        <w:rPr>
          <w:sz w:val="20"/>
          <w:szCs w:val="20"/>
        </w:rPr>
        <w:t>,</w:t>
      </w:r>
      <w:r w:rsidRPr="00AC4C49">
        <w:rPr>
          <w:sz w:val="20"/>
          <w:szCs w:val="20"/>
        </w:rPr>
        <w:t xml:space="preserve"> </w:t>
      </w:r>
      <w:r w:rsidRPr="00AC4C49">
        <w:rPr>
          <w:i/>
          <w:sz w:val="20"/>
          <w:szCs w:val="20"/>
        </w:rPr>
        <w:t xml:space="preserve">The </w:t>
      </w:r>
      <w:r>
        <w:rPr>
          <w:i/>
          <w:sz w:val="20"/>
          <w:szCs w:val="20"/>
        </w:rPr>
        <w:t>politics of t</w:t>
      </w:r>
      <w:r w:rsidRPr="00AC4C49">
        <w:rPr>
          <w:i/>
          <w:sz w:val="20"/>
          <w:szCs w:val="20"/>
        </w:rPr>
        <w:t>ruth</w:t>
      </w:r>
      <w:r w:rsidRPr="00AC4C49">
        <w:rPr>
          <w:sz w:val="20"/>
          <w:szCs w:val="20"/>
        </w:rPr>
        <w:t xml:space="preserve"> </w:t>
      </w:r>
      <w:r w:rsidR="000A429B" w:rsidRPr="00382595">
        <w:rPr>
          <w:sz w:val="20"/>
          <w:szCs w:val="20"/>
        </w:rPr>
        <w:t>(pp. 147-167</w:t>
      </w:r>
      <w:r w:rsidRPr="00382595">
        <w:rPr>
          <w:sz w:val="20"/>
          <w:szCs w:val="20"/>
        </w:rPr>
        <w:t>).</w:t>
      </w:r>
      <w:r>
        <w:rPr>
          <w:sz w:val="20"/>
          <w:szCs w:val="20"/>
        </w:rPr>
        <w:t xml:space="preserve"> </w:t>
      </w:r>
      <w:r w:rsidRPr="00AC4C49">
        <w:rPr>
          <w:sz w:val="20"/>
          <w:szCs w:val="20"/>
        </w:rPr>
        <w:t xml:space="preserve">Los Angeles: </w:t>
      </w:r>
      <w:proofErr w:type="spellStart"/>
      <w:r w:rsidRPr="00AC4C49">
        <w:rPr>
          <w:sz w:val="20"/>
          <w:szCs w:val="20"/>
        </w:rPr>
        <w:t>Semiotexte</w:t>
      </w:r>
      <w:proofErr w:type="spellEnd"/>
      <w:r>
        <w:rPr>
          <w:sz w:val="20"/>
          <w:szCs w:val="20"/>
        </w:rPr>
        <w:t>.</w:t>
      </w:r>
    </w:p>
    <w:p w14:paraId="6391DC48" w14:textId="34B3E8C5" w:rsidR="009D0150" w:rsidRPr="00382595" w:rsidRDefault="004E20A7" w:rsidP="009D0150">
      <w:pPr>
        <w:pStyle w:val="References"/>
        <w:spacing w:before="0" w:line="300" w:lineRule="exact"/>
        <w:ind w:left="357" w:hanging="357"/>
        <w:rPr>
          <w:sz w:val="20"/>
          <w:szCs w:val="20"/>
        </w:rPr>
      </w:pPr>
      <w:r w:rsidRPr="00382595">
        <w:rPr>
          <w:sz w:val="20"/>
          <w:szCs w:val="20"/>
        </w:rPr>
        <w:t>Ranci</w:t>
      </w:r>
      <w:r w:rsidRPr="00382595">
        <w:rPr>
          <w:color w:val="000000"/>
          <w:sz w:val="20"/>
          <w:szCs w:val="20"/>
        </w:rPr>
        <w:t>èr</w:t>
      </w:r>
      <w:r w:rsidR="009D0150" w:rsidRPr="00382595">
        <w:rPr>
          <w:sz w:val="20"/>
          <w:szCs w:val="20"/>
        </w:rPr>
        <w:t>e</w:t>
      </w:r>
      <w:r w:rsidRPr="00382595">
        <w:rPr>
          <w:sz w:val="20"/>
          <w:szCs w:val="20"/>
        </w:rPr>
        <w:t>, J.</w:t>
      </w:r>
      <w:r w:rsidR="009D0150" w:rsidRPr="00382595">
        <w:rPr>
          <w:sz w:val="20"/>
          <w:szCs w:val="20"/>
        </w:rPr>
        <w:t xml:space="preserve"> (2010)</w:t>
      </w:r>
      <w:r w:rsidRPr="00382595">
        <w:rPr>
          <w:sz w:val="20"/>
          <w:szCs w:val="20"/>
        </w:rPr>
        <w:t xml:space="preserve">. </w:t>
      </w:r>
      <w:proofErr w:type="spellStart"/>
      <w:r w:rsidRPr="00382595">
        <w:rPr>
          <w:i/>
          <w:sz w:val="20"/>
          <w:szCs w:val="20"/>
        </w:rPr>
        <w:t>Dissensus</w:t>
      </w:r>
      <w:proofErr w:type="spellEnd"/>
      <w:r w:rsidRPr="00382595">
        <w:rPr>
          <w:i/>
          <w:sz w:val="20"/>
          <w:szCs w:val="20"/>
        </w:rPr>
        <w:t xml:space="preserve">: On Politics and Aesthetics. </w:t>
      </w:r>
      <w:r w:rsidRPr="00382595">
        <w:rPr>
          <w:sz w:val="20"/>
          <w:szCs w:val="20"/>
        </w:rPr>
        <w:t>London and New York: Bloomsbury.</w:t>
      </w:r>
    </w:p>
    <w:p w14:paraId="6DBCB349" w14:textId="6A16766D" w:rsidR="009D0150" w:rsidRPr="00F22293" w:rsidRDefault="009D0150" w:rsidP="009D0150">
      <w:pPr>
        <w:pStyle w:val="References"/>
        <w:spacing w:before="0" w:line="300" w:lineRule="exact"/>
        <w:ind w:left="357" w:hanging="357"/>
        <w:rPr>
          <w:sz w:val="20"/>
          <w:szCs w:val="20"/>
        </w:rPr>
      </w:pPr>
      <w:proofErr w:type="gramStart"/>
      <w:r w:rsidRPr="00382595">
        <w:rPr>
          <w:sz w:val="20"/>
          <w:szCs w:val="20"/>
        </w:rPr>
        <w:t>Springer</w:t>
      </w:r>
      <w:r w:rsidR="004E20A7" w:rsidRPr="00382595">
        <w:rPr>
          <w:sz w:val="20"/>
          <w:szCs w:val="20"/>
        </w:rPr>
        <w:t>, S.</w:t>
      </w:r>
      <w:r w:rsidRPr="00382595">
        <w:rPr>
          <w:sz w:val="20"/>
          <w:szCs w:val="20"/>
        </w:rPr>
        <w:t xml:space="preserve"> (2012)</w:t>
      </w:r>
      <w:r w:rsidR="004E20A7" w:rsidRPr="00382595">
        <w:rPr>
          <w:sz w:val="20"/>
          <w:szCs w:val="20"/>
        </w:rPr>
        <w:t>.</w:t>
      </w:r>
      <w:proofErr w:type="gramEnd"/>
      <w:r w:rsidR="004E20A7">
        <w:rPr>
          <w:sz w:val="20"/>
          <w:szCs w:val="20"/>
        </w:rPr>
        <w:t xml:space="preserve"> Neoliberalism as discourse: between Foucauldian political economy and Marxian </w:t>
      </w:r>
      <w:proofErr w:type="spellStart"/>
      <w:r w:rsidR="004E20A7">
        <w:rPr>
          <w:sz w:val="20"/>
          <w:szCs w:val="20"/>
        </w:rPr>
        <w:t>poststructuralism</w:t>
      </w:r>
      <w:proofErr w:type="spellEnd"/>
      <w:r w:rsidR="004E20A7">
        <w:rPr>
          <w:sz w:val="20"/>
          <w:szCs w:val="20"/>
        </w:rPr>
        <w:t xml:space="preserve">. </w:t>
      </w:r>
      <w:proofErr w:type="gramStart"/>
      <w:r w:rsidR="004E20A7">
        <w:rPr>
          <w:i/>
          <w:sz w:val="20"/>
          <w:szCs w:val="20"/>
        </w:rPr>
        <w:t>Critical Discourse Studies</w:t>
      </w:r>
      <w:r w:rsidR="00F22293">
        <w:rPr>
          <w:i/>
          <w:sz w:val="20"/>
          <w:szCs w:val="20"/>
        </w:rPr>
        <w:t xml:space="preserve">, </w:t>
      </w:r>
      <w:r w:rsidR="000A429B" w:rsidRPr="000A429B">
        <w:rPr>
          <w:i/>
          <w:sz w:val="20"/>
          <w:szCs w:val="20"/>
        </w:rPr>
        <w:t>9</w:t>
      </w:r>
      <w:r w:rsidR="00F22293">
        <w:rPr>
          <w:sz w:val="20"/>
          <w:szCs w:val="20"/>
        </w:rPr>
        <w:t>(2), 133-147.</w:t>
      </w:r>
      <w:proofErr w:type="gramEnd"/>
    </w:p>
    <w:p w14:paraId="7B36DE65" w14:textId="662770C8" w:rsidR="009D0150" w:rsidRPr="00AC4C49" w:rsidRDefault="009D0150" w:rsidP="009D0150">
      <w:pPr>
        <w:pStyle w:val="References"/>
        <w:spacing w:before="0" w:line="300" w:lineRule="exact"/>
        <w:ind w:left="357" w:hanging="357"/>
        <w:rPr>
          <w:sz w:val="20"/>
          <w:szCs w:val="20"/>
        </w:rPr>
      </w:pPr>
      <w:proofErr w:type="spellStart"/>
      <w:r w:rsidRPr="009D0150">
        <w:rPr>
          <w:sz w:val="20"/>
          <w:szCs w:val="20"/>
        </w:rPr>
        <w:t>Yanow</w:t>
      </w:r>
      <w:proofErr w:type="spellEnd"/>
      <w:r w:rsidRPr="009D0150">
        <w:rPr>
          <w:sz w:val="20"/>
          <w:szCs w:val="20"/>
        </w:rPr>
        <w:t>, D. (2010).</w:t>
      </w:r>
      <w:r>
        <w:rPr>
          <w:sz w:val="20"/>
          <w:szCs w:val="20"/>
        </w:rPr>
        <w:t xml:space="preserve"> </w:t>
      </w:r>
      <w:r w:rsidRPr="00AC4C49">
        <w:rPr>
          <w:sz w:val="20"/>
          <w:szCs w:val="20"/>
        </w:rPr>
        <w:t xml:space="preserve">Form follows function? </w:t>
      </w:r>
      <w:proofErr w:type="gramStart"/>
      <w:r w:rsidRPr="00AC4C49">
        <w:rPr>
          <w:i/>
          <w:sz w:val="20"/>
          <w:szCs w:val="20"/>
        </w:rPr>
        <w:t>Public Administration Review</w:t>
      </w:r>
      <w:r w:rsidRPr="005A1EE6">
        <w:rPr>
          <w:i/>
          <w:sz w:val="20"/>
          <w:szCs w:val="20"/>
        </w:rPr>
        <w:t>, 70</w:t>
      </w:r>
      <w:r w:rsidR="00416A00" w:rsidRPr="00416A00">
        <w:rPr>
          <w:sz w:val="20"/>
          <w:szCs w:val="20"/>
        </w:rPr>
        <w:t>(</w:t>
      </w:r>
      <w:r w:rsidR="00416A00">
        <w:rPr>
          <w:sz w:val="20"/>
          <w:szCs w:val="20"/>
        </w:rPr>
        <w:t>Suppl.)</w:t>
      </w:r>
      <w:r w:rsidRPr="00AC4C49">
        <w:rPr>
          <w:sz w:val="20"/>
          <w:szCs w:val="20"/>
        </w:rPr>
        <w:t xml:space="preserve"> </w:t>
      </w:r>
      <w:r w:rsidR="00416A00">
        <w:rPr>
          <w:sz w:val="20"/>
          <w:szCs w:val="20"/>
        </w:rPr>
        <w:t>S</w:t>
      </w:r>
      <w:r w:rsidRPr="00AC4C49">
        <w:rPr>
          <w:sz w:val="20"/>
          <w:szCs w:val="20"/>
        </w:rPr>
        <w:t>156</w:t>
      </w:r>
      <w:r>
        <w:rPr>
          <w:sz w:val="20"/>
          <w:szCs w:val="20"/>
        </w:rPr>
        <w:t>–</w:t>
      </w:r>
      <w:r w:rsidR="00416A00">
        <w:rPr>
          <w:sz w:val="20"/>
          <w:szCs w:val="20"/>
        </w:rPr>
        <w:t>S</w:t>
      </w:r>
      <w:r w:rsidRPr="00AC4C49">
        <w:rPr>
          <w:sz w:val="20"/>
          <w:szCs w:val="20"/>
        </w:rPr>
        <w:t>158</w:t>
      </w:r>
      <w:r>
        <w:rPr>
          <w:sz w:val="20"/>
          <w:szCs w:val="20"/>
        </w:rPr>
        <w:t>.</w:t>
      </w:r>
      <w:proofErr w:type="gramEnd"/>
    </w:p>
    <w:p w14:paraId="02FEB1AC" w14:textId="7E925B56" w:rsidR="009D0150" w:rsidRPr="00F22293" w:rsidRDefault="009D0150" w:rsidP="009D0150">
      <w:pPr>
        <w:spacing w:line="300" w:lineRule="exact"/>
        <w:ind w:firstLine="0"/>
        <w:rPr>
          <w:sz w:val="20"/>
          <w:szCs w:val="20"/>
        </w:rPr>
      </w:pPr>
      <w:r w:rsidRPr="00382595">
        <w:rPr>
          <w:sz w:val="20"/>
          <w:szCs w:val="20"/>
        </w:rPr>
        <w:t>Young</w:t>
      </w:r>
      <w:r w:rsidR="00F22293" w:rsidRPr="00382595">
        <w:rPr>
          <w:sz w:val="20"/>
          <w:szCs w:val="20"/>
        </w:rPr>
        <w:t>, H.</w:t>
      </w:r>
      <w:r w:rsidRPr="00382595">
        <w:rPr>
          <w:sz w:val="20"/>
          <w:szCs w:val="20"/>
        </w:rPr>
        <w:t xml:space="preserve"> (2014)</w:t>
      </w:r>
      <w:r w:rsidR="00F22293" w:rsidRPr="00382595">
        <w:rPr>
          <w:sz w:val="20"/>
          <w:szCs w:val="20"/>
        </w:rPr>
        <w:t>.</w:t>
      </w:r>
      <w:bookmarkStart w:id="0" w:name="_GoBack"/>
      <w:bookmarkEnd w:id="0"/>
      <w:r w:rsidR="00F22293">
        <w:rPr>
          <w:sz w:val="20"/>
          <w:szCs w:val="20"/>
        </w:rPr>
        <w:t xml:space="preserve"> </w:t>
      </w:r>
      <w:r w:rsidR="00F22293">
        <w:rPr>
          <w:i/>
          <w:sz w:val="20"/>
          <w:szCs w:val="20"/>
        </w:rPr>
        <w:t>Ambiguous Citizenship: Democratic</w:t>
      </w:r>
      <w:r w:rsidR="00416A00">
        <w:rPr>
          <w:i/>
          <w:sz w:val="20"/>
          <w:szCs w:val="20"/>
        </w:rPr>
        <w:t xml:space="preserve"> Practices and School Governing </w:t>
      </w:r>
      <w:r w:rsidR="00F22293">
        <w:rPr>
          <w:i/>
          <w:sz w:val="20"/>
          <w:szCs w:val="20"/>
        </w:rPr>
        <w:t>Bodies.</w:t>
      </w:r>
      <w:r w:rsidR="00416A00">
        <w:rPr>
          <w:i/>
          <w:sz w:val="20"/>
          <w:szCs w:val="20"/>
        </w:rPr>
        <w:t xml:space="preserve">        </w:t>
      </w:r>
      <w:r w:rsidR="00416A00">
        <w:rPr>
          <w:i/>
          <w:sz w:val="20"/>
          <w:szCs w:val="20"/>
        </w:rPr>
        <w:tab/>
      </w:r>
      <w:r w:rsidR="00416A00">
        <w:rPr>
          <w:sz w:val="20"/>
          <w:szCs w:val="20"/>
        </w:rPr>
        <w:t>(Unpublished doctoral dissertation)</w:t>
      </w:r>
      <w:r w:rsidR="00F22293">
        <w:rPr>
          <w:sz w:val="20"/>
          <w:szCs w:val="20"/>
        </w:rPr>
        <w:t xml:space="preserve">. </w:t>
      </w:r>
      <w:proofErr w:type="gramStart"/>
      <w:r w:rsidR="00F22293">
        <w:rPr>
          <w:sz w:val="20"/>
          <w:szCs w:val="20"/>
        </w:rPr>
        <w:t>UCL Institute of Education</w:t>
      </w:r>
      <w:r w:rsidR="00416A00">
        <w:rPr>
          <w:sz w:val="20"/>
          <w:szCs w:val="20"/>
        </w:rPr>
        <w:t>, London.</w:t>
      </w:r>
      <w:proofErr w:type="gramEnd"/>
    </w:p>
    <w:p w14:paraId="1B41208D" w14:textId="77777777" w:rsidR="0008179A" w:rsidRDefault="0008179A" w:rsidP="004F6AA3">
      <w:pPr>
        <w:pStyle w:val="References"/>
      </w:pPr>
    </w:p>
    <w:p w14:paraId="349A55E8" w14:textId="77777777" w:rsidR="00BE07E4" w:rsidRPr="009D0150" w:rsidRDefault="00BE07E4" w:rsidP="009D0150">
      <w:pPr>
        <w:pStyle w:val="Authornames"/>
        <w:spacing w:before="0" w:line="240" w:lineRule="auto"/>
        <w:ind w:firstLine="0"/>
        <w:jc w:val="right"/>
        <w:rPr>
          <w:b/>
          <w:sz w:val="24"/>
        </w:rPr>
      </w:pPr>
      <w:r w:rsidRPr="009D0150">
        <w:rPr>
          <w:b/>
          <w:sz w:val="24"/>
        </w:rPr>
        <w:t>Miranda Matthews</w:t>
      </w:r>
    </w:p>
    <w:p w14:paraId="1FDE7203" w14:textId="77777777" w:rsidR="00BE07E4" w:rsidRPr="009D0150" w:rsidRDefault="00BE07E4" w:rsidP="009D0150">
      <w:pPr>
        <w:pStyle w:val="Affiliation"/>
        <w:spacing w:before="0" w:line="240" w:lineRule="auto"/>
        <w:ind w:firstLine="0"/>
        <w:jc w:val="right"/>
      </w:pPr>
      <w:r w:rsidRPr="009D0150">
        <w:t>Educational Studies, Goldsmiths, University of London, United Kingdom</w:t>
      </w:r>
    </w:p>
    <w:p w14:paraId="779094C0" w14:textId="54525D72" w:rsidR="002E2049" w:rsidRPr="002E2049" w:rsidRDefault="00382595" w:rsidP="009D0150">
      <w:pPr>
        <w:pStyle w:val="Correspondencedetails"/>
        <w:spacing w:before="0" w:line="240" w:lineRule="auto"/>
        <w:ind w:firstLine="0"/>
        <w:jc w:val="right"/>
      </w:pPr>
      <w:hyperlink r:id="rId10" w:history="1">
        <w:r w:rsidR="00BE07E4" w:rsidRPr="009D0150">
          <w:rPr>
            <w:rStyle w:val="Hyperlink"/>
          </w:rPr>
          <w:t>m.matthews@gold.ac.uk</w:t>
        </w:r>
      </w:hyperlink>
    </w:p>
    <w:sectPr w:rsidR="002E2049" w:rsidRPr="002E2049" w:rsidSect="004D665F">
      <w:headerReference w:type="even" r:id="rId11"/>
      <w:headerReference w:type="default" r:id="rId12"/>
      <w:footerReference w:type="even" r:id="rId13"/>
      <w:footerReference w:type="default" r:id="rId14"/>
      <w:pgSz w:w="11901" w:h="16840" w:code="9"/>
      <w:pgMar w:top="1418" w:right="1797" w:bottom="1418"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6D19F" w14:textId="77777777" w:rsidR="00C70CE7" w:rsidRDefault="00C70CE7" w:rsidP="00AF2C92">
      <w:r>
        <w:separator/>
      </w:r>
    </w:p>
  </w:endnote>
  <w:endnote w:type="continuationSeparator" w:id="0">
    <w:p w14:paraId="603D9F85" w14:textId="77777777" w:rsidR="00C70CE7" w:rsidRDefault="00C70CE7"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F0B8B" w14:textId="77777777" w:rsidR="00C70CE7" w:rsidRDefault="00C70CE7" w:rsidP="004D6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8C95" w14:textId="77777777" w:rsidR="00C70CE7" w:rsidRDefault="00C70CE7" w:rsidP="004D665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CC1B4" w14:textId="77777777" w:rsidR="00C70CE7" w:rsidRDefault="00C70CE7" w:rsidP="004D6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2595">
      <w:rPr>
        <w:rStyle w:val="PageNumber"/>
        <w:noProof/>
      </w:rPr>
      <w:t>7</w:t>
    </w:r>
    <w:r>
      <w:rPr>
        <w:rStyle w:val="PageNumber"/>
      </w:rPr>
      <w:fldChar w:fldCharType="end"/>
    </w:r>
  </w:p>
  <w:p w14:paraId="6B8E284B" w14:textId="77777777" w:rsidR="00C70CE7" w:rsidRDefault="00C70CE7" w:rsidP="004D665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77101" w14:textId="77777777" w:rsidR="00C70CE7" w:rsidRDefault="00C70CE7" w:rsidP="00AF2C92">
      <w:r>
        <w:separator/>
      </w:r>
    </w:p>
  </w:footnote>
  <w:footnote w:type="continuationSeparator" w:id="0">
    <w:p w14:paraId="49B3039A" w14:textId="77777777" w:rsidR="00C70CE7" w:rsidRDefault="00C70CE7" w:rsidP="00AF2C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3739C" w14:textId="77777777" w:rsidR="00C70CE7" w:rsidRDefault="00C70CE7" w:rsidP="003431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F1E10D" w14:textId="77777777" w:rsidR="00C70CE7" w:rsidRDefault="00C70CE7" w:rsidP="003849B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3ACF9" w14:textId="77777777" w:rsidR="00C70CE7" w:rsidRDefault="00C70CE7" w:rsidP="003849B6">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4AB6CC"/>
    <w:lvl w:ilvl="0">
      <w:start w:val="1"/>
      <w:numFmt w:val="decimal"/>
      <w:lvlText w:val="%1."/>
      <w:lvlJc w:val="left"/>
      <w:pPr>
        <w:tabs>
          <w:tab w:val="num" w:pos="1492"/>
        </w:tabs>
        <w:ind w:left="1492" w:hanging="360"/>
      </w:pPr>
    </w:lvl>
  </w:abstractNum>
  <w:abstractNum w:abstractNumId="2">
    <w:nsid w:val="FFFFFF7D"/>
    <w:multiLevelType w:val="singleLevel"/>
    <w:tmpl w:val="DD022EAE"/>
    <w:lvl w:ilvl="0">
      <w:start w:val="1"/>
      <w:numFmt w:val="decimal"/>
      <w:lvlText w:val="%1."/>
      <w:lvlJc w:val="left"/>
      <w:pPr>
        <w:tabs>
          <w:tab w:val="num" w:pos="1209"/>
        </w:tabs>
        <w:ind w:left="1209" w:hanging="360"/>
      </w:pPr>
    </w:lvl>
  </w:abstractNum>
  <w:abstractNum w:abstractNumId="3">
    <w:nsid w:val="FFFFFF7E"/>
    <w:multiLevelType w:val="singleLevel"/>
    <w:tmpl w:val="2E3626A4"/>
    <w:lvl w:ilvl="0">
      <w:start w:val="1"/>
      <w:numFmt w:val="decimal"/>
      <w:lvlText w:val="%1."/>
      <w:lvlJc w:val="left"/>
      <w:pPr>
        <w:tabs>
          <w:tab w:val="num" w:pos="926"/>
        </w:tabs>
        <w:ind w:left="926" w:hanging="360"/>
      </w:pPr>
    </w:lvl>
  </w:abstractNum>
  <w:abstractNum w:abstractNumId="4">
    <w:nsid w:val="FFFFFF7F"/>
    <w:multiLevelType w:val="singleLevel"/>
    <w:tmpl w:val="ECD2D830"/>
    <w:lvl w:ilvl="0">
      <w:start w:val="1"/>
      <w:numFmt w:val="decimal"/>
      <w:lvlText w:val="%1."/>
      <w:lvlJc w:val="left"/>
      <w:pPr>
        <w:tabs>
          <w:tab w:val="num" w:pos="643"/>
        </w:tabs>
        <w:ind w:left="643" w:hanging="360"/>
      </w:pPr>
    </w:lvl>
  </w:abstractNum>
  <w:abstractNum w:abstractNumId="5">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77869E6"/>
    <w:lvl w:ilvl="0">
      <w:start w:val="1"/>
      <w:numFmt w:val="decimal"/>
      <w:lvlText w:val="%1."/>
      <w:lvlJc w:val="left"/>
      <w:pPr>
        <w:tabs>
          <w:tab w:val="num" w:pos="360"/>
        </w:tabs>
        <w:ind w:left="360" w:hanging="360"/>
      </w:pPr>
    </w:lvl>
  </w:abstractNum>
  <w:abstractNum w:abstractNumId="1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9A"/>
    <w:rsid w:val="00001899"/>
    <w:rsid w:val="000041D6"/>
    <w:rsid w:val="000049AD"/>
    <w:rsid w:val="000133C0"/>
    <w:rsid w:val="00014C4E"/>
    <w:rsid w:val="00017107"/>
    <w:rsid w:val="000202E2"/>
    <w:rsid w:val="00022441"/>
    <w:rsid w:val="0002261E"/>
    <w:rsid w:val="00024839"/>
    <w:rsid w:val="00026871"/>
    <w:rsid w:val="00032653"/>
    <w:rsid w:val="00037A98"/>
    <w:rsid w:val="000427FB"/>
    <w:rsid w:val="0004455E"/>
    <w:rsid w:val="00047CB5"/>
    <w:rsid w:val="00051FAA"/>
    <w:rsid w:val="00055CB3"/>
    <w:rsid w:val="000572A9"/>
    <w:rsid w:val="00061325"/>
    <w:rsid w:val="000733AC"/>
    <w:rsid w:val="00074D22"/>
    <w:rsid w:val="00075081"/>
    <w:rsid w:val="0007528A"/>
    <w:rsid w:val="000811AB"/>
    <w:rsid w:val="0008179A"/>
    <w:rsid w:val="00083C5F"/>
    <w:rsid w:val="0009172C"/>
    <w:rsid w:val="000930EC"/>
    <w:rsid w:val="00095E61"/>
    <w:rsid w:val="000966C1"/>
    <w:rsid w:val="000970AC"/>
    <w:rsid w:val="000A1167"/>
    <w:rsid w:val="000A429B"/>
    <w:rsid w:val="000A4428"/>
    <w:rsid w:val="000A6D40"/>
    <w:rsid w:val="000A7BC3"/>
    <w:rsid w:val="000B1661"/>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4360"/>
    <w:rsid w:val="001050F1"/>
    <w:rsid w:val="00105AEA"/>
    <w:rsid w:val="00106DAF"/>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731E"/>
    <w:rsid w:val="001A09FE"/>
    <w:rsid w:val="001A47E1"/>
    <w:rsid w:val="001A67C9"/>
    <w:rsid w:val="001A69DE"/>
    <w:rsid w:val="001B1C7C"/>
    <w:rsid w:val="001B398F"/>
    <w:rsid w:val="001B46C6"/>
    <w:rsid w:val="001B4B48"/>
    <w:rsid w:val="001B4D1F"/>
    <w:rsid w:val="001B7681"/>
    <w:rsid w:val="001B7CAE"/>
    <w:rsid w:val="001C0772"/>
    <w:rsid w:val="001C0D4F"/>
    <w:rsid w:val="001C1DEC"/>
    <w:rsid w:val="001C2A18"/>
    <w:rsid w:val="001C5736"/>
    <w:rsid w:val="001C7434"/>
    <w:rsid w:val="001D4A49"/>
    <w:rsid w:val="001E0572"/>
    <w:rsid w:val="001E0A67"/>
    <w:rsid w:val="001E1028"/>
    <w:rsid w:val="001E14E2"/>
    <w:rsid w:val="001E6302"/>
    <w:rsid w:val="001E7DCB"/>
    <w:rsid w:val="001F3411"/>
    <w:rsid w:val="001F4287"/>
    <w:rsid w:val="001F4DBA"/>
    <w:rsid w:val="0020415E"/>
    <w:rsid w:val="002049AE"/>
    <w:rsid w:val="00204FF4"/>
    <w:rsid w:val="0021056E"/>
    <w:rsid w:val="0021075D"/>
    <w:rsid w:val="0021165A"/>
    <w:rsid w:val="00211BC9"/>
    <w:rsid w:val="0021620C"/>
    <w:rsid w:val="00216E78"/>
    <w:rsid w:val="00217275"/>
    <w:rsid w:val="00231BB0"/>
    <w:rsid w:val="00236F4B"/>
    <w:rsid w:val="00242B0D"/>
    <w:rsid w:val="002467C6"/>
    <w:rsid w:val="0024692A"/>
    <w:rsid w:val="00252BBA"/>
    <w:rsid w:val="00253123"/>
    <w:rsid w:val="002536E8"/>
    <w:rsid w:val="00264001"/>
    <w:rsid w:val="00266354"/>
    <w:rsid w:val="00267A18"/>
    <w:rsid w:val="00273462"/>
    <w:rsid w:val="0027395B"/>
    <w:rsid w:val="00275854"/>
    <w:rsid w:val="002826F8"/>
    <w:rsid w:val="00283B41"/>
    <w:rsid w:val="00285F28"/>
    <w:rsid w:val="00286398"/>
    <w:rsid w:val="00296D1A"/>
    <w:rsid w:val="002A3C42"/>
    <w:rsid w:val="002A5D75"/>
    <w:rsid w:val="002B1B1A"/>
    <w:rsid w:val="002B7228"/>
    <w:rsid w:val="002C53EE"/>
    <w:rsid w:val="002D24F7"/>
    <w:rsid w:val="002D2799"/>
    <w:rsid w:val="002D2CD7"/>
    <w:rsid w:val="002D4DDC"/>
    <w:rsid w:val="002D4F75"/>
    <w:rsid w:val="002D6493"/>
    <w:rsid w:val="002D7AB6"/>
    <w:rsid w:val="002E06D0"/>
    <w:rsid w:val="002E2049"/>
    <w:rsid w:val="002E3C27"/>
    <w:rsid w:val="002E403A"/>
    <w:rsid w:val="002E7F3A"/>
    <w:rsid w:val="002F4EDB"/>
    <w:rsid w:val="002F6054"/>
    <w:rsid w:val="003037E9"/>
    <w:rsid w:val="00315713"/>
    <w:rsid w:val="0031686C"/>
    <w:rsid w:val="00316FE0"/>
    <w:rsid w:val="003204D2"/>
    <w:rsid w:val="0032605E"/>
    <w:rsid w:val="003275D1"/>
    <w:rsid w:val="00330B2A"/>
    <w:rsid w:val="00331E17"/>
    <w:rsid w:val="00333063"/>
    <w:rsid w:val="003408E3"/>
    <w:rsid w:val="00343135"/>
    <w:rsid w:val="00343480"/>
    <w:rsid w:val="00345E89"/>
    <w:rsid w:val="003522A1"/>
    <w:rsid w:val="0035254B"/>
    <w:rsid w:val="00353555"/>
    <w:rsid w:val="003565D4"/>
    <w:rsid w:val="003607FB"/>
    <w:rsid w:val="00360FD5"/>
    <w:rsid w:val="003634A5"/>
    <w:rsid w:val="00366868"/>
    <w:rsid w:val="00367506"/>
    <w:rsid w:val="00370085"/>
    <w:rsid w:val="003744A7"/>
    <w:rsid w:val="00376235"/>
    <w:rsid w:val="00381FB6"/>
    <w:rsid w:val="00382595"/>
    <w:rsid w:val="003836D3"/>
    <w:rsid w:val="00383A52"/>
    <w:rsid w:val="003849B6"/>
    <w:rsid w:val="00391652"/>
    <w:rsid w:val="0039507F"/>
    <w:rsid w:val="003A1260"/>
    <w:rsid w:val="003A295F"/>
    <w:rsid w:val="003A41DD"/>
    <w:rsid w:val="003A7033"/>
    <w:rsid w:val="003B47FE"/>
    <w:rsid w:val="003B5673"/>
    <w:rsid w:val="003B62C9"/>
    <w:rsid w:val="003C7176"/>
    <w:rsid w:val="003D0929"/>
    <w:rsid w:val="003D4729"/>
    <w:rsid w:val="003D7DD6"/>
    <w:rsid w:val="003E5AAF"/>
    <w:rsid w:val="003E600D"/>
    <w:rsid w:val="003E64DF"/>
    <w:rsid w:val="003E6A5D"/>
    <w:rsid w:val="003F193A"/>
    <w:rsid w:val="003F4207"/>
    <w:rsid w:val="003F5C46"/>
    <w:rsid w:val="003F6898"/>
    <w:rsid w:val="003F7CBB"/>
    <w:rsid w:val="003F7D34"/>
    <w:rsid w:val="00412C8E"/>
    <w:rsid w:val="0041518D"/>
    <w:rsid w:val="00416A00"/>
    <w:rsid w:val="0042221D"/>
    <w:rsid w:val="00422E6A"/>
    <w:rsid w:val="00423583"/>
    <w:rsid w:val="00424DD3"/>
    <w:rsid w:val="004269C5"/>
    <w:rsid w:val="00435939"/>
    <w:rsid w:val="00437CC7"/>
    <w:rsid w:val="00440C66"/>
    <w:rsid w:val="00442B9C"/>
    <w:rsid w:val="0044738A"/>
    <w:rsid w:val="004473D3"/>
    <w:rsid w:val="00452231"/>
    <w:rsid w:val="00460C13"/>
    <w:rsid w:val="00463228"/>
    <w:rsid w:val="00463782"/>
    <w:rsid w:val="004663B5"/>
    <w:rsid w:val="004667E0"/>
    <w:rsid w:val="0046760E"/>
    <w:rsid w:val="00470E10"/>
    <w:rsid w:val="00473368"/>
    <w:rsid w:val="00477A97"/>
    <w:rsid w:val="00481343"/>
    <w:rsid w:val="00483796"/>
    <w:rsid w:val="0048549E"/>
    <w:rsid w:val="00487052"/>
    <w:rsid w:val="00493347"/>
    <w:rsid w:val="00496092"/>
    <w:rsid w:val="004A08DB"/>
    <w:rsid w:val="004A25D0"/>
    <w:rsid w:val="004A37E8"/>
    <w:rsid w:val="004A7549"/>
    <w:rsid w:val="004B09D4"/>
    <w:rsid w:val="004B2BDB"/>
    <w:rsid w:val="004B330A"/>
    <w:rsid w:val="004B5144"/>
    <w:rsid w:val="004B7C8E"/>
    <w:rsid w:val="004D0EDC"/>
    <w:rsid w:val="004D1220"/>
    <w:rsid w:val="004D14B3"/>
    <w:rsid w:val="004D1529"/>
    <w:rsid w:val="004D2253"/>
    <w:rsid w:val="004D5514"/>
    <w:rsid w:val="004D56C3"/>
    <w:rsid w:val="004D665F"/>
    <w:rsid w:val="004E0338"/>
    <w:rsid w:val="004E20A7"/>
    <w:rsid w:val="004E4FF3"/>
    <w:rsid w:val="004E56A8"/>
    <w:rsid w:val="004F3B55"/>
    <w:rsid w:val="004F4E46"/>
    <w:rsid w:val="004F6AA3"/>
    <w:rsid w:val="004F6B7D"/>
    <w:rsid w:val="005015F6"/>
    <w:rsid w:val="005030C4"/>
    <w:rsid w:val="005031C5"/>
    <w:rsid w:val="00504FDC"/>
    <w:rsid w:val="005120CC"/>
    <w:rsid w:val="00512B7B"/>
    <w:rsid w:val="00514EA1"/>
    <w:rsid w:val="00516AAB"/>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A35"/>
    <w:rsid w:val="00563C54"/>
    <w:rsid w:val="00566596"/>
    <w:rsid w:val="005741E9"/>
    <w:rsid w:val="005748CF"/>
    <w:rsid w:val="00584270"/>
    <w:rsid w:val="00584738"/>
    <w:rsid w:val="005920B0"/>
    <w:rsid w:val="0059380D"/>
    <w:rsid w:val="00595A8F"/>
    <w:rsid w:val="00597BF2"/>
    <w:rsid w:val="005A1EE6"/>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E4A"/>
    <w:rsid w:val="005E693D"/>
    <w:rsid w:val="005E75BF"/>
    <w:rsid w:val="005F57BA"/>
    <w:rsid w:val="005F61DF"/>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5293D"/>
    <w:rsid w:val="00653EFC"/>
    <w:rsid w:val="00654021"/>
    <w:rsid w:val="00661045"/>
    <w:rsid w:val="00663C11"/>
    <w:rsid w:val="00666DA8"/>
    <w:rsid w:val="00671057"/>
    <w:rsid w:val="00675AAF"/>
    <w:rsid w:val="0068031A"/>
    <w:rsid w:val="00681B2F"/>
    <w:rsid w:val="0068335F"/>
    <w:rsid w:val="00693302"/>
    <w:rsid w:val="0069640B"/>
    <w:rsid w:val="006A1B83"/>
    <w:rsid w:val="006A21CD"/>
    <w:rsid w:val="006A5918"/>
    <w:rsid w:val="006B21B2"/>
    <w:rsid w:val="006B3F5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40CB"/>
    <w:rsid w:val="006E6C02"/>
    <w:rsid w:val="006F231A"/>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3D59"/>
    <w:rsid w:val="00781003"/>
    <w:rsid w:val="007839F5"/>
    <w:rsid w:val="00790B81"/>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2FDB"/>
    <w:rsid w:val="007F737D"/>
    <w:rsid w:val="0080308E"/>
    <w:rsid w:val="00806705"/>
    <w:rsid w:val="00806738"/>
    <w:rsid w:val="008216D5"/>
    <w:rsid w:val="008249CE"/>
    <w:rsid w:val="00831A50"/>
    <w:rsid w:val="00831B3C"/>
    <w:rsid w:val="00831C89"/>
    <w:rsid w:val="00832114"/>
    <w:rsid w:val="00834C46"/>
    <w:rsid w:val="0084093E"/>
    <w:rsid w:val="00841CE1"/>
    <w:rsid w:val="008452FC"/>
    <w:rsid w:val="008473D8"/>
    <w:rsid w:val="008528DC"/>
    <w:rsid w:val="00852B8C"/>
    <w:rsid w:val="00854981"/>
    <w:rsid w:val="00864B2E"/>
    <w:rsid w:val="00865963"/>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5AFB"/>
    <w:rsid w:val="008D07FB"/>
    <w:rsid w:val="008D0C02"/>
    <w:rsid w:val="008D357D"/>
    <w:rsid w:val="008E387B"/>
    <w:rsid w:val="008E6087"/>
    <w:rsid w:val="008E758D"/>
    <w:rsid w:val="008F10A7"/>
    <w:rsid w:val="008F755D"/>
    <w:rsid w:val="008F7A39"/>
    <w:rsid w:val="009021E8"/>
    <w:rsid w:val="00911440"/>
    <w:rsid w:val="00911712"/>
    <w:rsid w:val="00911B27"/>
    <w:rsid w:val="009170BE"/>
    <w:rsid w:val="00920B55"/>
    <w:rsid w:val="009262C9"/>
    <w:rsid w:val="00930EB9"/>
    <w:rsid w:val="00933DC7"/>
    <w:rsid w:val="009418F4"/>
    <w:rsid w:val="00942BBC"/>
    <w:rsid w:val="00944180"/>
    <w:rsid w:val="00944AA0"/>
    <w:rsid w:val="0094561F"/>
    <w:rsid w:val="00947DA2"/>
    <w:rsid w:val="00951177"/>
    <w:rsid w:val="00956BEE"/>
    <w:rsid w:val="009673E8"/>
    <w:rsid w:val="00974DB8"/>
    <w:rsid w:val="00980661"/>
    <w:rsid w:val="0098093B"/>
    <w:rsid w:val="009876D4"/>
    <w:rsid w:val="009914A5"/>
    <w:rsid w:val="0099548E"/>
    <w:rsid w:val="00996456"/>
    <w:rsid w:val="00996A12"/>
    <w:rsid w:val="00997B0F"/>
    <w:rsid w:val="009A1CAD"/>
    <w:rsid w:val="009A3440"/>
    <w:rsid w:val="009A5832"/>
    <w:rsid w:val="009A6838"/>
    <w:rsid w:val="009B24B5"/>
    <w:rsid w:val="009B4EBC"/>
    <w:rsid w:val="009B5ABB"/>
    <w:rsid w:val="009B73CE"/>
    <w:rsid w:val="009C2461"/>
    <w:rsid w:val="009C6FE2"/>
    <w:rsid w:val="009C7674"/>
    <w:rsid w:val="009D004A"/>
    <w:rsid w:val="009D0150"/>
    <w:rsid w:val="009D5880"/>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81FF2"/>
    <w:rsid w:val="00A83904"/>
    <w:rsid w:val="00A90A79"/>
    <w:rsid w:val="00A93440"/>
    <w:rsid w:val="00A96B30"/>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E793A"/>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5BD5"/>
    <w:rsid w:val="00B34079"/>
    <w:rsid w:val="00B3793A"/>
    <w:rsid w:val="00B401BA"/>
    <w:rsid w:val="00B407E4"/>
    <w:rsid w:val="00B425B6"/>
    <w:rsid w:val="00B42A72"/>
    <w:rsid w:val="00B441AE"/>
    <w:rsid w:val="00B45F33"/>
    <w:rsid w:val="00B46D50"/>
    <w:rsid w:val="00B53170"/>
    <w:rsid w:val="00B62999"/>
    <w:rsid w:val="00B63BE3"/>
    <w:rsid w:val="00B64885"/>
    <w:rsid w:val="00B66810"/>
    <w:rsid w:val="00B72BE3"/>
    <w:rsid w:val="00B73B80"/>
    <w:rsid w:val="00B770C7"/>
    <w:rsid w:val="00B80DAA"/>
    <w:rsid w:val="00B80F26"/>
    <w:rsid w:val="00B822BD"/>
    <w:rsid w:val="00B842F4"/>
    <w:rsid w:val="00B91A7B"/>
    <w:rsid w:val="00B929DD"/>
    <w:rsid w:val="00B95405"/>
    <w:rsid w:val="00B963F1"/>
    <w:rsid w:val="00BA020A"/>
    <w:rsid w:val="00BA16C5"/>
    <w:rsid w:val="00BB02A4"/>
    <w:rsid w:val="00BB1270"/>
    <w:rsid w:val="00BB1E44"/>
    <w:rsid w:val="00BB5267"/>
    <w:rsid w:val="00BB52B8"/>
    <w:rsid w:val="00BB59D8"/>
    <w:rsid w:val="00BB7E69"/>
    <w:rsid w:val="00BC3C1F"/>
    <w:rsid w:val="00BC7CE7"/>
    <w:rsid w:val="00BD295E"/>
    <w:rsid w:val="00BD4664"/>
    <w:rsid w:val="00BE07E4"/>
    <w:rsid w:val="00BE1193"/>
    <w:rsid w:val="00BF4849"/>
    <w:rsid w:val="00BF4EA7"/>
    <w:rsid w:val="00C00EDB"/>
    <w:rsid w:val="00C02863"/>
    <w:rsid w:val="00C0383A"/>
    <w:rsid w:val="00C067FF"/>
    <w:rsid w:val="00C12862"/>
    <w:rsid w:val="00C132EA"/>
    <w:rsid w:val="00C13C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794E"/>
    <w:rsid w:val="00C60968"/>
    <w:rsid w:val="00C63D39"/>
    <w:rsid w:val="00C63EDD"/>
    <w:rsid w:val="00C65B36"/>
    <w:rsid w:val="00C70CE7"/>
    <w:rsid w:val="00C7292E"/>
    <w:rsid w:val="00C74E88"/>
    <w:rsid w:val="00C80924"/>
    <w:rsid w:val="00C8286B"/>
    <w:rsid w:val="00C947F8"/>
    <w:rsid w:val="00C9515F"/>
    <w:rsid w:val="00C963C5"/>
    <w:rsid w:val="00CA030C"/>
    <w:rsid w:val="00CA1F41"/>
    <w:rsid w:val="00CA32EE"/>
    <w:rsid w:val="00CA6A1A"/>
    <w:rsid w:val="00CC1E75"/>
    <w:rsid w:val="00CC2E0E"/>
    <w:rsid w:val="00CC361C"/>
    <w:rsid w:val="00CC474B"/>
    <w:rsid w:val="00CC658C"/>
    <w:rsid w:val="00CC67BF"/>
    <w:rsid w:val="00CD0843"/>
    <w:rsid w:val="00CD5A78"/>
    <w:rsid w:val="00CD7345"/>
    <w:rsid w:val="00CE372E"/>
    <w:rsid w:val="00CE543D"/>
    <w:rsid w:val="00CF0A1B"/>
    <w:rsid w:val="00CF19F6"/>
    <w:rsid w:val="00CF1DAD"/>
    <w:rsid w:val="00CF2F4F"/>
    <w:rsid w:val="00CF536D"/>
    <w:rsid w:val="00D10CB8"/>
    <w:rsid w:val="00D12806"/>
    <w:rsid w:val="00D12D44"/>
    <w:rsid w:val="00D15018"/>
    <w:rsid w:val="00D158AC"/>
    <w:rsid w:val="00D1694C"/>
    <w:rsid w:val="00D2075F"/>
    <w:rsid w:val="00D208F8"/>
    <w:rsid w:val="00D20F5E"/>
    <w:rsid w:val="00D23B76"/>
    <w:rsid w:val="00D379A3"/>
    <w:rsid w:val="00D43272"/>
    <w:rsid w:val="00D45FF3"/>
    <w:rsid w:val="00D512CF"/>
    <w:rsid w:val="00D528B9"/>
    <w:rsid w:val="00D53186"/>
    <w:rsid w:val="00D5487D"/>
    <w:rsid w:val="00D60140"/>
    <w:rsid w:val="00D6024A"/>
    <w:rsid w:val="00D608B5"/>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C3203"/>
    <w:rsid w:val="00DC3C99"/>
    <w:rsid w:val="00DC52F5"/>
    <w:rsid w:val="00DC5B61"/>
    <w:rsid w:val="00DC5FD0"/>
    <w:rsid w:val="00DD0354"/>
    <w:rsid w:val="00DD27D7"/>
    <w:rsid w:val="00DD458C"/>
    <w:rsid w:val="00DD72E9"/>
    <w:rsid w:val="00DD7605"/>
    <w:rsid w:val="00DE2020"/>
    <w:rsid w:val="00DE3476"/>
    <w:rsid w:val="00DE452A"/>
    <w:rsid w:val="00DF5B84"/>
    <w:rsid w:val="00DF6D5B"/>
    <w:rsid w:val="00DF771B"/>
    <w:rsid w:val="00DF7EE2"/>
    <w:rsid w:val="00E01BAA"/>
    <w:rsid w:val="00E0282A"/>
    <w:rsid w:val="00E07E14"/>
    <w:rsid w:val="00E14F94"/>
    <w:rsid w:val="00E17336"/>
    <w:rsid w:val="00E17D15"/>
    <w:rsid w:val="00E22B95"/>
    <w:rsid w:val="00E244B6"/>
    <w:rsid w:val="00E30331"/>
    <w:rsid w:val="00E30BB8"/>
    <w:rsid w:val="00E31F9C"/>
    <w:rsid w:val="00E33884"/>
    <w:rsid w:val="00E40488"/>
    <w:rsid w:val="00E50367"/>
    <w:rsid w:val="00E51ABA"/>
    <w:rsid w:val="00E524CB"/>
    <w:rsid w:val="00E65456"/>
    <w:rsid w:val="00E65A91"/>
    <w:rsid w:val="00E66188"/>
    <w:rsid w:val="00E664FB"/>
    <w:rsid w:val="00E70373"/>
    <w:rsid w:val="00E72E40"/>
    <w:rsid w:val="00E73665"/>
    <w:rsid w:val="00E73999"/>
    <w:rsid w:val="00E73BDC"/>
    <w:rsid w:val="00E73E9E"/>
    <w:rsid w:val="00E7785C"/>
    <w:rsid w:val="00E77DB9"/>
    <w:rsid w:val="00E81660"/>
    <w:rsid w:val="00E854FE"/>
    <w:rsid w:val="00E906CC"/>
    <w:rsid w:val="00E939A0"/>
    <w:rsid w:val="00E97E4E"/>
    <w:rsid w:val="00EA1CC2"/>
    <w:rsid w:val="00EA209A"/>
    <w:rsid w:val="00EA2D76"/>
    <w:rsid w:val="00EA4644"/>
    <w:rsid w:val="00EA758A"/>
    <w:rsid w:val="00EB199F"/>
    <w:rsid w:val="00EB27C4"/>
    <w:rsid w:val="00EB5387"/>
    <w:rsid w:val="00EB5C10"/>
    <w:rsid w:val="00EB7322"/>
    <w:rsid w:val="00EC0FE9"/>
    <w:rsid w:val="00EC426D"/>
    <w:rsid w:val="00EC571B"/>
    <w:rsid w:val="00EC57D7"/>
    <w:rsid w:val="00EC6385"/>
    <w:rsid w:val="00ED1DE9"/>
    <w:rsid w:val="00ED23D4"/>
    <w:rsid w:val="00ED5E0B"/>
    <w:rsid w:val="00EE37B6"/>
    <w:rsid w:val="00EF0F45"/>
    <w:rsid w:val="00EF7463"/>
    <w:rsid w:val="00F002EF"/>
    <w:rsid w:val="00F01EE9"/>
    <w:rsid w:val="00F02F94"/>
    <w:rsid w:val="00F03574"/>
    <w:rsid w:val="00F04900"/>
    <w:rsid w:val="00F065A4"/>
    <w:rsid w:val="00F126B9"/>
    <w:rsid w:val="00F12715"/>
    <w:rsid w:val="00F144D5"/>
    <w:rsid w:val="00F146F0"/>
    <w:rsid w:val="00F15039"/>
    <w:rsid w:val="00F20FF3"/>
    <w:rsid w:val="00F2190B"/>
    <w:rsid w:val="00F22293"/>
    <w:rsid w:val="00F228B5"/>
    <w:rsid w:val="00F2389C"/>
    <w:rsid w:val="00F25C67"/>
    <w:rsid w:val="00F30DFF"/>
    <w:rsid w:val="00F32B80"/>
    <w:rsid w:val="00F340EB"/>
    <w:rsid w:val="00F35285"/>
    <w:rsid w:val="00F40ECD"/>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8A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2" w:qFormat="1"/>
    <w:lsdException w:name="Hyperlink" w:uiPriority="99"/>
    <w:lsdException w:name="Quote" w:qFormat="1"/>
  </w:latentStyles>
  <w:style w:type="paragraph" w:default="1" w:styleId="Normal">
    <w:name w:val="Normal"/>
    <w:qFormat/>
    <w:rsid w:val="004D665F"/>
    <w:pPr>
      <w:ind w:firstLine="357"/>
    </w:pPr>
    <w:rPr>
      <w:sz w:val="24"/>
      <w:szCs w:val="24"/>
    </w:rPr>
  </w:style>
  <w:style w:type="paragraph" w:styleId="Heading1">
    <w:name w:val="heading 1"/>
    <w:basedOn w:val="Normal"/>
    <w:next w:val="Paragraph"/>
    <w:link w:val="Heading1Char"/>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rsid w:val="0031686C"/>
    <w:pPr>
      <w:spacing w:before="240" w:line="360" w:lineRule="auto"/>
    </w:pPr>
  </w:style>
  <w:style w:type="paragraph" w:customStyle="1" w:styleId="Figurecaption">
    <w:name w:val="Figure caption"/>
    <w:basedOn w:val="Normal"/>
    <w:next w:val="Normal"/>
    <w:rsid w:val="0031686C"/>
    <w:pPr>
      <w:spacing w:before="240" w:line="360" w:lineRule="auto"/>
    </w:pPr>
  </w:style>
  <w:style w:type="paragraph" w:customStyle="1" w:styleId="Footnotes">
    <w:name w:val="Footnotes"/>
    <w:basedOn w:val="Normal"/>
    <w:rsid w:val="006C6936"/>
    <w:pPr>
      <w:spacing w:before="120" w:line="360" w:lineRule="auto"/>
      <w:ind w:left="482" w:hanging="482"/>
      <w:contextualSpacing/>
    </w:pPr>
    <w:rPr>
      <w:sz w:val="22"/>
    </w:rPr>
  </w:style>
  <w:style w:type="paragraph" w:customStyle="1" w:styleId="Notesoncontributors">
    <w:name w:val="Notes on contributors"/>
    <w:basedOn w:val="Normal"/>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rsid w:val="001B7681"/>
    <w:pPr>
      <w:widowControl w:val="0"/>
      <w:spacing w:before="240"/>
    </w:pPr>
  </w:style>
  <w:style w:type="paragraph" w:customStyle="1" w:styleId="Newparagraph">
    <w:name w:val="New paragraph"/>
    <w:basedOn w:val="Normal"/>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rsid w:val="00AE1ED4"/>
    <w:pPr>
      <w:widowControl/>
      <w:spacing w:before="360"/>
    </w:pPr>
  </w:style>
  <w:style w:type="character" w:styleId="Hyperlink">
    <w:name w:val="Hyperlink"/>
    <w:basedOn w:val="DefaultParagraphFont"/>
    <w:uiPriority w:val="99"/>
    <w:unhideWhenUsed/>
    <w:rsid w:val="002E2049"/>
    <w:rPr>
      <w:color w:val="0000FF" w:themeColor="hyperlink"/>
      <w:u w:val="single"/>
    </w:rPr>
  </w:style>
  <w:style w:type="character" w:styleId="PageNumber">
    <w:name w:val="page number"/>
    <w:basedOn w:val="DefaultParagraphFont"/>
    <w:rsid w:val="003849B6"/>
  </w:style>
  <w:style w:type="paragraph" w:styleId="Quote">
    <w:name w:val="Quote"/>
    <w:basedOn w:val="Normal"/>
    <w:next w:val="Normal"/>
    <w:link w:val="QuoteChar"/>
    <w:qFormat/>
    <w:rsid w:val="00D208F8"/>
    <w:pPr>
      <w:ind w:left="357" w:right="357" w:firstLine="0"/>
    </w:pPr>
    <w:rPr>
      <w:iCs/>
      <w:color w:val="000000" w:themeColor="text1"/>
      <w:sz w:val="20"/>
    </w:rPr>
  </w:style>
  <w:style w:type="character" w:customStyle="1" w:styleId="QuoteChar">
    <w:name w:val="Quote Char"/>
    <w:basedOn w:val="DefaultParagraphFont"/>
    <w:link w:val="Quote"/>
    <w:rsid w:val="00D208F8"/>
    <w:rPr>
      <w:iCs/>
      <w:color w:val="000000" w:themeColor="text1"/>
      <w:szCs w:val="24"/>
    </w:rPr>
  </w:style>
  <w:style w:type="character" w:styleId="FollowedHyperlink">
    <w:name w:val="FollowedHyperlink"/>
    <w:basedOn w:val="DefaultParagraphFont"/>
    <w:rsid w:val="004E20A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2" w:qFormat="1"/>
    <w:lsdException w:name="Hyperlink" w:uiPriority="99"/>
    <w:lsdException w:name="Quote" w:qFormat="1"/>
  </w:latentStyles>
  <w:style w:type="paragraph" w:default="1" w:styleId="Normal">
    <w:name w:val="Normal"/>
    <w:qFormat/>
    <w:rsid w:val="004D665F"/>
    <w:pPr>
      <w:ind w:firstLine="357"/>
    </w:pPr>
    <w:rPr>
      <w:sz w:val="24"/>
      <w:szCs w:val="24"/>
    </w:rPr>
  </w:style>
  <w:style w:type="paragraph" w:styleId="Heading1">
    <w:name w:val="heading 1"/>
    <w:basedOn w:val="Normal"/>
    <w:next w:val="Paragraph"/>
    <w:link w:val="Heading1Char"/>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rsid w:val="0031686C"/>
    <w:pPr>
      <w:spacing w:before="240" w:line="360" w:lineRule="auto"/>
    </w:pPr>
  </w:style>
  <w:style w:type="paragraph" w:customStyle="1" w:styleId="Figurecaption">
    <w:name w:val="Figure caption"/>
    <w:basedOn w:val="Normal"/>
    <w:next w:val="Normal"/>
    <w:rsid w:val="0031686C"/>
    <w:pPr>
      <w:spacing w:before="240" w:line="360" w:lineRule="auto"/>
    </w:pPr>
  </w:style>
  <w:style w:type="paragraph" w:customStyle="1" w:styleId="Footnotes">
    <w:name w:val="Footnotes"/>
    <w:basedOn w:val="Normal"/>
    <w:rsid w:val="006C6936"/>
    <w:pPr>
      <w:spacing w:before="120" w:line="360" w:lineRule="auto"/>
      <w:ind w:left="482" w:hanging="482"/>
      <w:contextualSpacing/>
    </w:pPr>
    <w:rPr>
      <w:sz w:val="22"/>
    </w:rPr>
  </w:style>
  <w:style w:type="paragraph" w:customStyle="1" w:styleId="Notesoncontributors">
    <w:name w:val="Notes on contributors"/>
    <w:basedOn w:val="Normal"/>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rsid w:val="001B7681"/>
    <w:pPr>
      <w:widowControl w:val="0"/>
      <w:spacing w:before="240"/>
    </w:pPr>
  </w:style>
  <w:style w:type="paragraph" w:customStyle="1" w:styleId="Newparagraph">
    <w:name w:val="New paragraph"/>
    <w:basedOn w:val="Normal"/>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rsid w:val="00AE1ED4"/>
    <w:pPr>
      <w:widowControl/>
      <w:spacing w:before="360"/>
    </w:pPr>
  </w:style>
  <w:style w:type="character" w:styleId="Hyperlink">
    <w:name w:val="Hyperlink"/>
    <w:basedOn w:val="DefaultParagraphFont"/>
    <w:uiPriority w:val="99"/>
    <w:unhideWhenUsed/>
    <w:rsid w:val="002E2049"/>
    <w:rPr>
      <w:color w:val="0000FF" w:themeColor="hyperlink"/>
      <w:u w:val="single"/>
    </w:rPr>
  </w:style>
  <w:style w:type="character" w:styleId="PageNumber">
    <w:name w:val="page number"/>
    <w:basedOn w:val="DefaultParagraphFont"/>
    <w:rsid w:val="003849B6"/>
  </w:style>
  <w:style w:type="paragraph" w:styleId="Quote">
    <w:name w:val="Quote"/>
    <w:basedOn w:val="Normal"/>
    <w:next w:val="Normal"/>
    <w:link w:val="QuoteChar"/>
    <w:qFormat/>
    <w:rsid w:val="00D208F8"/>
    <w:pPr>
      <w:ind w:left="357" w:right="357" w:firstLine="0"/>
    </w:pPr>
    <w:rPr>
      <w:iCs/>
      <w:color w:val="000000" w:themeColor="text1"/>
      <w:sz w:val="20"/>
    </w:rPr>
  </w:style>
  <w:style w:type="character" w:customStyle="1" w:styleId="QuoteChar">
    <w:name w:val="Quote Char"/>
    <w:basedOn w:val="DefaultParagraphFont"/>
    <w:link w:val="Quote"/>
    <w:rsid w:val="00D208F8"/>
    <w:rPr>
      <w:iCs/>
      <w:color w:val="000000" w:themeColor="text1"/>
      <w:szCs w:val="24"/>
    </w:rPr>
  </w:style>
  <w:style w:type="character" w:styleId="FollowedHyperlink">
    <w:name w:val="FollowedHyperlink"/>
    <w:basedOn w:val="DefaultParagraphFont"/>
    <w:rsid w:val="004E20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gov.uk/government/uploads/system/uploads/attachment_" TargetMode="External"/><Relationship Id="rId10" Type="http://schemas.openxmlformats.org/officeDocument/2006/relationships/hyperlink" Target="mailto:m.matthews@gold.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randamatthews:Desktop:TF_Template_Word_Mac_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37A0B-5588-F844-B6C0-A9933209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TF_Template_Word_Mac_2011-3.dotx</Template>
  <TotalTime>2</TotalTime>
  <Pages>7</Pages>
  <Words>3362</Words>
  <Characters>19164</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22482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Miranda Matthews</dc:creator>
  <cp:keywords/>
  <dc:description/>
  <cp:lastModifiedBy>Miranda Matthews</cp:lastModifiedBy>
  <cp:revision>2</cp:revision>
  <cp:lastPrinted>2011-07-22T14:54:00Z</cp:lastPrinted>
  <dcterms:created xsi:type="dcterms:W3CDTF">2017-11-21T11:19:00Z</dcterms:created>
  <dcterms:modified xsi:type="dcterms:W3CDTF">2017-11-21T11:19:00Z</dcterms:modified>
  <cp:category/>
</cp:coreProperties>
</file>