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F7F3E"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w:hAnsi="Times" w:cs="Times"/>
          <w:b/>
          <w:bCs/>
          <w:sz w:val="22"/>
          <w:szCs w:val="22"/>
        </w:rPr>
        <w:t>Starting in the Middle: NGOs and Emergent Forms for Cultural Institutions</w:t>
      </w:r>
      <w:r w:rsidRPr="00AC513E">
        <w:rPr>
          <w:rFonts w:ascii="Times New Roman" w:hAnsi="Times New Roman" w:cs="Times New Roman"/>
          <w:position w:val="13"/>
          <w:sz w:val="16"/>
          <w:szCs w:val="16"/>
        </w:rPr>
        <w:t>1</w:t>
      </w:r>
      <w:r w:rsidRPr="00AC513E">
        <w:rPr>
          <w:rFonts w:ascii="Times New Roman" w:hAnsi="Times New Roman" w:cs="Times New Roman"/>
          <w:position w:val="13"/>
          <w:sz w:val="22"/>
          <w:szCs w:val="22"/>
        </w:rPr>
        <w:t xml:space="preserve"> </w:t>
      </w:r>
      <w:r w:rsidRPr="00AC513E">
        <w:rPr>
          <w:rFonts w:ascii="Times" w:hAnsi="Times" w:cs="Times"/>
          <w:b/>
          <w:bCs/>
          <w:sz w:val="22"/>
          <w:szCs w:val="22"/>
        </w:rPr>
        <w:t xml:space="preserve">Irit Rogoff </w:t>
      </w:r>
    </w:p>
    <w:p w14:paraId="15A12D5E"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“Starting in the Middle: NGOs and Emergent Forms for Cultural Institutions” by curator and writer Irit Rogoff was written in 2015 for this volume. </w:t>
      </w:r>
    </w:p>
    <w:p w14:paraId="63561955"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I get up each morning fully recognizing that my task is to confront capitalism and finish each day fully aware that I am unable to do it—what are the gestures available to me to engage indirectly? </w:t>
      </w:r>
    </w:p>
    <w:p w14:paraId="7916B5D5"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—A graduate student lament, 2015 </w:t>
      </w:r>
    </w:p>
    <w:p w14:paraId="774A920E"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I start with a question driven by a recognition that the notion of success, or achievement, or engagement, or significance in the realm of public culture has been hijacked. These are currently conventionally measured by visitor numbers, outreach and inclusionary </w:t>
      </w:r>
      <w:proofErr w:type="spellStart"/>
      <w:r w:rsidRPr="00AC513E">
        <w:rPr>
          <w:rFonts w:ascii="Times New Roman" w:hAnsi="Times New Roman" w:cs="Times New Roman"/>
          <w:sz w:val="22"/>
          <w:szCs w:val="22"/>
        </w:rPr>
        <w:t>rhetorics</w:t>
      </w:r>
      <w:proofErr w:type="spellEnd"/>
      <w:r w:rsidRPr="00AC513E">
        <w:rPr>
          <w:rFonts w:ascii="Times New Roman" w:hAnsi="Times New Roman" w:cs="Times New Roman"/>
          <w:sz w:val="22"/>
          <w:szCs w:val="22"/>
        </w:rPr>
        <w:t xml:space="preserve">, media chatter, market alliances, hyper-signification, and celebrity and celebratory performances. On occasion we find performances of engagement that index the major dramas of the day through forms of representation, easily recognized and equally easily shelved as having delivered a reflection upon our joint conditions and mutual imbrications. </w:t>
      </w:r>
    </w:p>
    <w:p w14:paraId="02D20FA9"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A functioning vocabulary has been integrated into the life of these institutions and structures that allows for the easy flow of critical, political effects and attitudes into forms of enunciating, exhibiting, performing, and recognizing. If we are to go beyond this easy flow that takes the form of representations of the woes of the world seamlessly placed alongside the affirmation of traditional aesthetics, what are the potential forms available to us to establish </w:t>
      </w:r>
    </w:p>
    <w:p w14:paraId="4FAF8183"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another form of operating? Are there structural possibilities to engage with new modes of critical knowledge production within cultural life under present conditions that do not tally with the consensus of what the outward indications of achievement might be? Is there a possibility of developing another language for the potential significance of political aesthetics? If visitors are not simply in search of structures of identification, recognition, and edification, how can their subjectivity come into play within such structures? </w:t>
      </w:r>
    </w:p>
    <w:p w14:paraId="1B08647F"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I claimed I was starting with a question, but it has inevitably devolved into many questions as I face a changing landscape in which the structures we work in are no longer a context for our substantive activities. It is not necessarily that these institutions are more powerful than in the recent past—it is more that the language of Neoliberalism’s formulaic insistence on “provision,” “satisfaction,” and “credit attainment” as forms of supremely sophisticated consumption have left little room for maneuvering. In Hari </w:t>
      </w:r>
      <w:proofErr w:type="spellStart"/>
      <w:r w:rsidRPr="00AC513E">
        <w:rPr>
          <w:rFonts w:ascii="Times New Roman" w:hAnsi="Times New Roman" w:cs="Times New Roman"/>
          <w:sz w:val="22"/>
          <w:szCs w:val="22"/>
        </w:rPr>
        <w:t>Kunzru’s</w:t>
      </w:r>
      <w:proofErr w:type="spellEnd"/>
      <w:r w:rsidRPr="00AC513E">
        <w:rPr>
          <w:rFonts w:ascii="Times New Roman" w:hAnsi="Times New Roman" w:cs="Times New Roman"/>
          <w:sz w:val="22"/>
          <w:szCs w:val="22"/>
        </w:rPr>
        <w:t xml:space="preserve"> story “Raj, Bohemian,” a hip young man-about-town thinks he is following his superior intuitions about what is new and cool and trendsetting: </w:t>
      </w:r>
      <w:r w:rsidRPr="00AC513E">
        <w:rPr>
          <w:rFonts w:ascii="Times" w:hAnsi="Times" w:cs="Times"/>
          <w:i/>
          <w:iCs/>
          <w:sz w:val="22"/>
          <w:szCs w:val="22"/>
        </w:rPr>
        <w:t>“</w:t>
      </w:r>
      <w:r w:rsidRPr="00AC513E">
        <w:rPr>
          <w:rFonts w:ascii="Times New Roman" w:hAnsi="Times New Roman" w:cs="Times New Roman"/>
          <w:sz w:val="22"/>
          <w:szCs w:val="22"/>
        </w:rPr>
        <w:t xml:space="preserve">Wherever we went would be written about in </w:t>
      </w:r>
      <w:r w:rsidRPr="00AC513E">
        <w:rPr>
          <w:rFonts w:ascii="Times New Roman" w:hAnsi="Times New Roman" w:cs="Times New Roman"/>
          <w:sz w:val="22"/>
          <w:szCs w:val="22"/>
        </w:rPr>
        <w:lastRenderedPageBreak/>
        <w:t>magazines three or four months later. A single mention on a blog, and a place that had been spangled with beautiful, interesting faces would be swamped by young bankers in button-down shirts, nervously analyzing the room to see if they were having fun.”</w:t>
      </w:r>
      <w:r w:rsidRPr="00AC513E">
        <w:rPr>
          <w:rFonts w:ascii="Times New Roman" w:hAnsi="Times New Roman" w:cs="Times New Roman"/>
          <w:position w:val="13"/>
          <w:sz w:val="22"/>
          <w:szCs w:val="22"/>
        </w:rPr>
        <w:t xml:space="preserve">2 </w:t>
      </w:r>
      <w:r w:rsidRPr="00AC513E">
        <w:rPr>
          <w:rFonts w:ascii="Times New Roman" w:hAnsi="Times New Roman" w:cs="Times New Roman"/>
          <w:sz w:val="22"/>
          <w:szCs w:val="22"/>
        </w:rPr>
        <w:t xml:space="preserve">But eventually, the protagonist discovers that he is, in fact, an instrumental part of an extensive landscape of subtle product placement and not in which he is </w:t>
      </w:r>
      <w:proofErr w:type="spellStart"/>
      <w:r w:rsidRPr="00AC513E">
        <w:rPr>
          <w:rFonts w:ascii="Times New Roman" w:hAnsi="Times New Roman" w:cs="Times New Roman"/>
          <w:sz w:val="22"/>
          <w:szCs w:val="22"/>
        </w:rPr>
        <w:t>instrumentalized</w:t>
      </w:r>
      <w:proofErr w:type="spellEnd"/>
      <w:r w:rsidRPr="00AC513E">
        <w:rPr>
          <w:rFonts w:ascii="Times New Roman" w:hAnsi="Times New Roman" w:cs="Times New Roman"/>
          <w:sz w:val="22"/>
          <w:szCs w:val="22"/>
        </w:rPr>
        <w:t xml:space="preserve"> rather than following his individual whims. When confronting a girlfriend about this, she says, “Oh, don’t get on your high horse. You don’t work, either. What do you do for cash? If a girl doesn’t want a straight job, she has to monetize her social network.”</w:t>
      </w:r>
      <w:r w:rsidRPr="00AC513E">
        <w:rPr>
          <w:rFonts w:ascii="Times New Roman" w:hAnsi="Times New Roman" w:cs="Times New Roman"/>
          <w:position w:val="13"/>
          <w:sz w:val="22"/>
          <w:szCs w:val="22"/>
        </w:rPr>
        <w:t xml:space="preserve">3 </w:t>
      </w:r>
    </w:p>
    <w:p w14:paraId="2C0427D1"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Within the condition of rampant neoliberalism that is shaping every aspect of our lives and rewriting the very understanding of education, research, and cultural life—not to mention of pleasure and edification—it is a complex undertaking to see through the enmeshment of bureaucratic and managerial protocols and upbeat </w:t>
      </w:r>
      <w:proofErr w:type="spellStart"/>
      <w:r w:rsidRPr="00AC513E">
        <w:rPr>
          <w:rFonts w:ascii="Times New Roman" w:hAnsi="Times New Roman" w:cs="Times New Roman"/>
          <w:sz w:val="22"/>
          <w:szCs w:val="22"/>
        </w:rPr>
        <w:t>rhetorics</w:t>
      </w:r>
      <w:proofErr w:type="spellEnd"/>
      <w:r w:rsidRPr="00AC513E">
        <w:rPr>
          <w:rFonts w:ascii="Times New Roman" w:hAnsi="Times New Roman" w:cs="Times New Roman"/>
          <w:sz w:val="22"/>
          <w:szCs w:val="22"/>
        </w:rPr>
        <w:t xml:space="preserve"> of achievement and commodified experience, to a set of potential forms that may allow the alliance of investigation, criticality, and curiosity with a set of unexpected encounters in public culture. </w:t>
      </w:r>
    </w:p>
    <w:p w14:paraId="367841F0"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It is these pervasive conditions, this linguistic enmeshment, that have led me to think about structures rather than exclusively about cultural products or cultural processes. It is not only shades of older arguments stemming from “institutional critique” that argued that objects are rewritten and revalued by the environments and conditions of possibility that frame them—it is the very effect that neoliberal conditions have had on my understanding of the constitutive inseparability of processes, structures, and </w:t>
      </w:r>
      <w:proofErr w:type="spellStart"/>
      <w:r w:rsidRPr="00AC513E">
        <w:rPr>
          <w:rFonts w:ascii="Times New Roman" w:hAnsi="Times New Roman" w:cs="Times New Roman"/>
          <w:sz w:val="22"/>
          <w:szCs w:val="22"/>
        </w:rPr>
        <w:t>rhetorics</w:t>
      </w:r>
      <w:proofErr w:type="spellEnd"/>
      <w:r w:rsidRPr="00AC513E">
        <w:rPr>
          <w:rFonts w:ascii="Times New Roman" w:hAnsi="Times New Roman" w:cs="Times New Roman"/>
          <w:sz w:val="22"/>
          <w:szCs w:val="22"/>
        </w:rPr>
        <w:t xml:space="preserve">. </w:t>
      </w:r>
    </w:p>
    <w:p w14:paraId="3E8652D4"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In this effort to move away from “the context of our activities,” I find myself trying to think of how nongovernmental organizations (NGOs) might be a model for emergent cultural institutions. This is a concept I find both attractive as a way of changing the rhetoric put out by such institutions, and interesting as one that potentially offers a new understanding of how to occupy the political without resorting to politics. If we think of the means by which work is done without establishing an institution—educating in refugee camps, as “</w:t>
      </w:r>
      <w:proofErr w:type="spellStart"/>
      <w:r w:rsidRPr="00AC513E">
        <w:rPr>
          <w:rFonts w:ascii="Times New Roman" w:hAnsi="Times New Roman" w:cs="Times New Roman"/>
          <w:sz w:val="22"/>
          <w:szCs w:val="22"/>
        </w:rPr>
        <w:t>Decolonising</w:t>
      </w:r>
      <w:proofErr w:type="spellEnd"/>
      <w:r w:rsidRPr="00AC513E">
        <w:rPr>
          <w:rFonts w:ascii="Times New Roman" w:hAnsi="Times New Roman" w:cs="Times New Roman"/>
          <w:sz w:val="22"/>
          <w:szCs w:val="22"/>
        </w:rPr>
        <w:t xml:space="preserve"> Architecture” has done in Palestine; setting up writing hubs in slums as the </w:t>
      </w:r>
      <w:proofErr w:type="spellStart"/>
      <w:r w:rsidRPr="00AC513E">
        <w:rPr>
          <w:rFonts w:ascii="Times New Roman" w:hAnsi="Times New Roman" w:cs="Times New Roman"/>
          <w:sz w:val="22"/>
          <w:szCs w:val="22"/>
        </w:rPr>
        <w:t>Raqs</w:t>
      </w:r>
      <w:proofErr w:type="spellEnd"/>
      <w:r w:rsidRPr="00AC513E">
        <w:rPr>
          <w:rFonts w:ascii="Times New Roman" w:hAnsi="Times New Roman" w:cs="Times New Roman"/>
          <w:sz w:val="22"/>
          <w:szCs w:val="22"/>
        </w:rPr>
        <w:t xml:space="preserve"> Media Collective has done in Delhi; producing research intensities as </w:t>
      </w:r>
      <w:proofErr w:type="spellStart"/>
      <w:r w:rsidRPr="00AC513E">
        <w:rPr>
          <w:rFonts w:ascii="Times New Roman" w:hAnsi="Times New Roman" w:cs="Times New Roman"/>
          <w:sz w:val="22"/>
          <w:szCs w:val="22"/>
        </w:rPr>
        <w:t>Chto</w:t>
      </w:r>
      <w:proofErr w:type="spellEnd"/>
      <w:r w:rsidRPr="00AC513E">
        <w:rPr>
          <w:rFonts w:ascii="Times New Roman" w:hAnsi="Times New Roman" w:cs="Times New Roman"/>
          <w:sz w:val="22"/>
          <w:szCs w:val="22"/>
        </w:rPr>
        <w:t xml:space="preserve"> </w:t>
      </w:r>
      <w:proofErr w:type="spellStart"/>
      <w:r w:rsidRPr="00AC513E">
        <w:rPr>
          <w:rFonts w:ascii="Times New Roman" w:hAnsi="Times New Roman" w:cs="Times New Roman"/>
          <w:sz w:val="22"/>
          <w:szCs w:val="22"/>
        </w:rPr>
        <w:t>Delat</w:t>
      </w:r>
      <w:proofErr w:type="spellEnd"/>
      <w:r w:rsidRPr="00AC513E">
        <w:rPr>
          <w:rFonts w:ascii="Times New Roman" w:hAnsi="Times New Roman" w:cs="Times New Roman"/>
          <w:sz w:val="22"/>
          <w:szCs w:val="22"/>
        </w:rPr>
        <w:t xml:space="preserve"> has done in Russia; or excavating and making manifest the unwritten histories of Feminism as h. </w:t>
      </w:r>
      <w:proofErr w:type="spellStart"/>
      <w:r w:rsidRPr="00AC513E">
        <w:rPr>
          <w:rFonts w:ascii="Times New Roman" w:hAnsi="Times New Roman" w:cs="Times New Roman"/>
          <w:sz w:val="22"/>
          <w:szCs w:val="22"/>
        </w:rPr>
        <w:t>arta</w:t>
      </w:r>
      <w:proofErr w:type="spellEnd"/>
      <w:r w:rsidRPr="00AC513E">
        <w:rPr>
          <w:rFonts w:ascii="Times New Roman" w:hAnsi="Times New Roman" w:cs="Times New Roman"/>
          <w:sz w:val="22"/>
          <w:szCs w:val="22"/>
        </w:rPr>
        <w:t xml:space="preserve"> has done in Timisoara—we understand the scope and scale of possible cultural intervention within crisis situations. These may be ephemeral cultural structures, but they have duration and location, offer access </w:t>
      </w:r>
      <w:proofErr w:type="gramStart"/>
      <w:r w:rsidRPr="00AC513E">
        <w:rPr>
          <w:rFonts w:ascii="Times New Roman" w:hAnsi="Times New Roman" w:cs="Times New Roman"/>
          <w:sz w:val="22"/>
          <w:szCs w:val="22"/>
        </w:rPr>
        <w:t>to</w:t>
      </w:r>
      <w:proofErr w:type="gramEnd"/>
      <w:r w:rsidRPr="00AC513E">
        <w:rPr>
          <w:rFonts w:ascii="Times New Roman" w:hAnsi="Times New Roman" w:cs="Times New Roman"/>
          <w:sz w:val="22"/>
          <w:szCs w:val="22"/>
        </w:rPr>
        <w:t xml:space="preserve"> momentary </w:t>
      </w:r>
    </w:p>
    <w:p w14:paraId="42246329"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infrastructures, produce visible products, and have the ability to galvanize community. All of these factors separate them from the operations of simple art projects and position them as offering a proposal that could be continued by other interested parties or come to a natural end. </w:t>
      </w:r>
    </w:p>
    <w:p w14:paraId="08FCF510"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It might be important to state at this stage that I am not setting up a dichotomy between so-called “mainstream” and so-called “marginal” activities. Nor am I invoking the NGO model as an instance of work that is barely visible to, or not taken into account by, those who assume they know how to identify power, thereby rendering it “virtuous” according to some alternative set of values. The museums that take up so much space, spend so much money, and loom so large on our horizon do not strike me as more significant than the smaller spaces that operate according to other criteria. Nor is it my intention to imply that smaller organizations in the field are vastly different from more visible groups like </w:t>
      </w:r>
      <w:proofErr w:type="spellStart"/>
      <w:r w:rsidRPr="00AC513E">
        <w:rPr>
          <w:rFonts w:ascii="Times New Roman" w:hAnsi="Times New Roman" w:cs="Times New Roman"/>
          <w:sz w:val="22"/>
          <w:szCs w:val="22"/>
        </w:rPr>
        <w:t>Médecins</w:t>
      </w:r>
      <w:proofErr w:type="spellEnd"/>
      <w:r w:rsidRPr="00AC513E">
        <w:rPr>
          <w:rFonts w:ascii="Times New Roman" w:hAnsi="Times New Roman" w:cs="Times New Roman"/>
          <w:sz w:val="22"/>
          <w:szCs w:val="22"/>
        </w:rPr>
        <w:t xml:space="preserve"> Sans </w:t>
      </w:r>
      <w:proofErr w:type="spellStart"/>
      <w:r w:rsidRPr="00AC513E">
        <w:rPr>
          <w:rFonts w:ascii="Times New Roman" w:hAnsi="Times New Roman" w:cs="Times New Roman"/>
          <w:sz w:val="22"/>
          <w:szCs w:val="22"/>
        </w:rPr>
        <w:t>Frontières</w:t>
      </w:r>
      <w:proofErr w:type="spellEnd"/>
      <w:r w:rsidRPr="00AC513E">
        <w:rPr>
          <w:rFonts w:ascii="Times New Roman" w:hAnsi="Times New Roman" w:cs="Times New Roman"/>
          <w:sz w:val="22"/>
          <w:szCs w:val="22"/>
        </w:rPr>
        <w:t>, Amnesty International, or Greenpeace, which enact minor versions of the same heroic narratives. What interests me is the possibility of eking out from the full spectrum of their activities a set of principles that can be applied to thinking about cultural institutions. I am interested in operational logics rather than in accrediting value here or there.</w:t>
      </w:r>
      <w:r w:rsidRPr="00AC513E">
        <w:rPr>
          <w:rFonts w:ascii="Times New Roman" w:hAnsi="Times New Roman" w:cs="Times New Roman"/>
          <w:position w:val="13"/>
          <w:sz w:val="22"/>
          <w:szCs w:val="22"/>
        </w:rPr>
        <w:t xml:space="preserve">4 </w:t>
      </w:r>
    </w:p>
    <w:p w14:paraId="6B522021"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In this sense, I am not thinking so much about NGOs’ ability to function and do the work of rescue at the liminal edge, where extreme conditions really do dictate how they can operate. Rather, I am thinking about a different model of the NGO, my thoughts much influenced by the writing of Michel </w:t>
      </w:r>
      <w:proofErr w:type="spellStart"/>
      <w:r w:rsidRPr="00AC513E">
        <w:rPr>
          <w:rFonts w:ascii="Times New Roman" w:hAnsi="Times New Roman" w:cs="Times New Roman"/>
          <w:sz w:val="22"/>
          <w:szCs w:val="22"/>
        </w:rPr>
        <w:t>Feher</w:t>
      </w:r>
      <w:proofErr w:type="spellEnd"/>
      <w:r w:rsidRPr="00AC513E">
        <w:rPr>
          <w:rFonts w:ascii="Times New Roman" w:hAnsi="Times New Roman" w:cs="Times New Roman"/>
          <w:sz w:val="22"/>
          <w:szCs w:val="22"/>
        </w:rPr>
        <w:t xml:space="preserve"> and his work on nongovernmental politics.</w:t>
      </w:r>
      <w:r w:rsidRPr="00AC513E">
        <w:rPr>
          <w:rFonts w:ascii="Times New Roman" w:hAnsi="Times New Roman" w:cs="Times New Roman"/>
          <w:position w:val="13"/>
          <w:sz w:val="22"/>
          <w:szCs w:val="22"/>
        </w:rPr>
        <w:t xml:space="preserve">5 </w:t>
      </w:r>
      <w:r w:rsidRPr="00AC513E">
        <w:rPr>
          <w:rFonts w:ascii="Times New Roman" w:hAnsi="Times New Roman" w:cs="Times New Roman"/>
          <w:sz w:val="22"/>
          <w:szCs w:val="22"/>
        </w:rPr>
        <w:t xml:space="preserve">In </w:t>
      </w:r>
      <w:proofErr w:type="spellStart"/>
      <w:r w:rsidRPr="00AC513E">
        <w:rPr>
          <w:rFonts w:ascii="Times New Roman" w:hAnsi="Times New Roman" w:cs="Times New Roman"/>
          <w:sz w:val="22"/>
          <w:szCs w:val="22"/>
        </w:rPr>
        <w:t>Feher’s</w:t>
      </w:r>
      <w:proofErr w:type="spellEnd"/>
      <w:r w:rsidRPr="00AC513E">
        <w:rPr>
          <w:rFonts w:ascii="Times New Roman" w:hAnsi="Times New Roman" w:cs="Times New Roman"/>
          <w:sz w:val="22"/>
          <w:szCs w:val="22"/>
        </w:rPr>
        <w:t xml:space="preserve"> thought there is an attempt to excavate from NGOs’ material and procedural practices an argument in which it is the governed that govern, not through the bureaucratic mechanisms of political systems, but through imaginative protocols and life-affirming gestures and engagements enabled and necessitated by work on the ground. First and foremost, my reason for wanting to put forward </w:t>
      </w:r>
    </w:p>
    <w:p w14:paraId="48A79078"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such thinking is that posing the NGO as a model for contemporary emergent art institutions is largely driven by the acknowledgment that an NGO always begins its involvement with the recognition of a problem: not of a target audience, niche market, or leisure economy, but of an urgency in the world. NGOs, which are both highly structured and of a looser type, well organized and ad hoc, operate somewhere between society and non-aligned coalitions. Thus they are animated and driven by recognizing problems rather than by the desire to be legitimated, gaining their identity by immersing themselves in a problem rather than by their membership. </w:t>
      </w:r>
    </w:p>
    <w:p w14:paraId="5F5E1672"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Beyond this entry point through the recognition of a problem, there is little preoccupation with either allocating the blame for who created it or who is blocking the possibilities of resolving it, and, instead, an active network of micro-gestures begins to reshape the landscape. Therefore, NGOs offer an instantiation of one of our most cherished principles within either imaginative research or imaginative emergent structures: the right to start in the middle. Not to rehearse the entire structure of the argument and its history, but to go along with it and make it operate differently, operate in </w:t>
      </w:r>
      <w:r w:rsidRPr="00AC513E">
        <w:rPr>
          <w:rFonts w:ascii="Times" w:hAnsi="Times" w:cs="Times"/>
          <w:i/>
          <w:iCs/>
          <w:sz w:val="22"/>
          <w:szCs w:val="22"/>
        </w:rPr>
        <w:t xml:space="preserve">our </w:t>
      </w:r>
      <w:r w:rsidRPr="00AC513E">
        <w:rPr>
          <w:rFonts w:ascii="Times New Roman" w:hAnsi="Times New Roman" w:cs="Times New Roman"/>
          <w:sz w:val="22"/>
          <w:szCs w:val="22"/>
        </w:rPr>
        <w:t xml:space="preserve">time. Therefore “starting in the middle” does not dismiss previous knowledge but contemporizes it, making it a subject of contemporary engagements and imperatives. If in a conventional cultural institution historical exhibitions attest to that which took place by documenting and exposing it, in emergent cultural institutions that operate similarly to NGOs, the effort to work with past archives might start from present issues: the demise of funding structures that were available, urban spaces that could be inhabited, or political communities that were active. </w:t>
      </w:r>
    </w:p>
    <w:p w14:paraId="378FFEDD"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What is equally interesting to think about across these two types of NGO organization— the structured and the porous—is that they are both new modes of self-organization that rely on new paths of funding, and that they put forward less linear and more lateral internal structures. </w:t>
      </w:r>
    </w:p>
    <w:p w14:paraId="2A3129E5"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Within these a new set of </w:t>
      </w:r>
      <w:proofErr w:type="spellStart"/>
      <w:r w:rsidRPr="00AC513E">
        <w:rPr>
          <w:rFonts w:ascii="Times New Roman" w:hAnsi="Times New Roman" w:cs="Times New Roman"/>
          <w:sz w:val="22"/>
          <w:szCs w:val="22"/>
        </w:rPr>
        <w:t>mobilities</w:t>
      </w:r>
      <w:proofErr w:type="spellEnd"/>
      <w:r w:rsidRPr="00AC513E">
        <w:rPr>
          <w:rFonts w:ascii="Times New Roman" w:hAnsi="Times New Roman" w:cs="Times New Roman"/>
          <w:sz w:val="22"/>
          <w:szCs w:val="22"/>
        </w:rPr>
        <w:t xml:space="preserve"> across sectors becomes manifest, without outlawing, discrediting, or dismissing one another. In NGOs we can find a fluidity between working for the organization, government, international agencies, charities, and private corporations, combining aid and research, and advocacy and practice—all of which perform a mutuality and enact a coexistence of being both </w:t>
      </w:r>
      <w:r w:rsidRPr="00AC513E">
        <w:rPr>
          <w:rFonts w:ascii="Times" w:hAnsi="Times" w:cs="Times"/>
          <w:i/>
          <w:iCs/>
          <w:sz w:val="22"/>
          <w:szCs w:val="22"/>
        </w:rPr>
        <w:t xml:space="preserve">inside </w:t>
      </w:r>
      <w:r w:rsidRPr="00AC513E">
        <w:rPr>
          <w:rFonts w:ascii="Times New Roman" w:hAnsi="Times New Roman" w:cs="Times New Roman"/>
          <w:sz w:val="22"/>
          <w:szCs w:val="22"/>
        </w:rPr>
        <w:t xml:space="preserve">and </w:t>
      </w:r>
      <w:r w:rsidRPr="00AC513E">
        <w:rPr>
          <w:rFonts w:ascii="Times" w:hAnsi="Times" w:cs="Times"/>
          <w:i/>
          <w:iCs/>
          <w:sz w:val="22"/>
          <w:szCs w:val="22"/>
        </w:rPr>
        <w:t xml:space="preserve">outside </w:t>
      </w:r>
      <w:r w:rsidRPr="00AC513E">
        <w:rPr>
          <w:rFonts w:ascii="Times New Roman" w:hAnsi="Times New Roman" w:cs="Times New Roman"/>
          <w:sz w:val="22"/>
          <w:szCs w:val="22"/>
        </w:rPr>
        <w:t xml:space="preserve">of actual governance simultaneously. Likewise, in emergent cultural institutions we can find equal </w:t>
      </w:r>
      <w:proofErr w:type="spellStart"/>
      <w:r w:rsidRPr="00AC513E">
        <w:rPr>
          <w:rFonts w:ascii="Times New Roman" w:hAnsi="Times New Roman" w:cs="Times New Roman"/>
          <w:sz w:val="22"/>
          <w:szCs w:val="22"/>
        </w:rPr>
        <w:t>mobilities</w:t>
      </w:r>
      <w:proofErr w:type="spellEnd"/>
      <w:r w:rsidRPr="00AC513E">
        <w:rPr>
          <w:rFonts w:ascii="Times New Roman" w:hAnsi="Times New Roman" w:cs="Times New Roman"/>
          <w:sz w:val="22"/>
          <w:szCs w:val="22"/>
        </w:rPr>
        <w:t xml:space="preserve"> between artistic practice, social organization, academic investigation, study and pedagogy, funded and unfunded research and fieldwork, curricular and extracurricular learning, and consulting and temporary employment in the private sector. Thus, knowledge production and problem-solving are no longer opposite ends of the spectrum, and secure institutional employment does not limit one from reaching out and aligning with others on issues that cannot be clearly or exclusively addressed within institutional life. </w:t>
      </w:r>
    </w:p>
    <w:p w14:paraId="3B210637"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The first thing in trying to think about how one could extrapolate from a general understanding of NGOs toward a theory of emergent cultural institutions, and an important point for </w:t>
      </w:r>
      <w:proofErr w:type="spellStart"/>
      <w:r w:rsidRPr="00AC513E">
        <w:rPr>
          <w:rFonts w:ascii="Times New Roman" w:hAnsi="Times New Roman" w:cs="Times New Roman"/>
          <w:sz w:val="22"/>
          <w:szCs w:val="22"/>
        </w:rPr>
        <w:t>Feher</w:t>
      </w:r>
      <w:proofErr w:type="spellEnd"/>
      <w:r w:rsidRPr="00AC513E">
        <w:rPr>
          <w:rFonts w:ascii="Times New Roman" w:hAnsi="Times New Roman" w:cs="Times New Roman"/>
          <w:sz w:val="22"/>
          <w:szCs w:val="22"/>
        </w:rPr>
        <w:t xml:space="preserve">, is recognizing that this is political and not governmental work. The ability to separate politics and governmentality might allow us to move with greater ease between a model of aid and intervention and a model of cultural organization. </w:t>
      </w:r>
    </w:p>
    <w:p w14:paraId="7CF84584"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Conventionally, NGOs are perceived as protecting human rights, providing humanitarian care, compensating for absent resources or structures, and forwarding stakeholders’ claims. In other words: aiding, ensuring, supplementing, protecting, and advocating. But we can just as surely argue that NGOs also open up new cultural sites and protocols by finding an entry point and inventing a set of procedures. What I am interested in trying to extrapolate here is a </w:t>
      </w:r>
    </w:p>
    <w:p w14:paraId="5B8FDB7A"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conceptual understanding of how emergent cultural sites operate within the art world while sharing some of the less visible, and perhaps less dramatic, properties of NGOs and their work. </w:t>
      </w:r>
    </w:p>
    <w:p w14:paraId="38E3C158"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Because of this it is important to think about the concept of governmentality in its Foucauldian sense, as a governmental effort to produce citizens who are able to live out and fulfill their policies and aspirations as well as the practices and protocols, both rational and emotional, through which subjects are governed from above but seemingly from within. The concept of governmentality allows for a distinctly contemporary understanding of power. Foucault encourages us to think of power not only in terms of the hierarchical, top-down power of the state. He widens our understanding of power to include the forms of social control in disciplinary institutions such as schools, hospitals, psychiatric institutions, the welfare state, research institutions, and museums, as well as the forms of knowledge that circulate within them and legitimate their activities. Power can manifest itself by producing knowledge through certain discourses that then get internalized by individuals and guide the behavior of populations. This leads to more efficient forms of social control, as knowledge enables individuals to govern themselves.</w:t>
      </w:r>
      <w:r w:rsidRPr="00AC513E">
        <w:rPr>
          <w:rFonts w:ascii="Times New Roman" w:hAnsi="Times New Roman" w:cs="Times New Roman"/>
          <w:position w:val="13"/>
          <w:sz w:val="22"/>
          <w:szCs w:val="22"/>
        </w:rPr>
        <w:t xml:space="preserve">6 </w:t>
      </w:r>
    </w:p>
    <w:p w14:paraId="147D27A3"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So governmentality has to do with the internalization of governance through a whole set of mediating disciplines, protocols, and habits, including that of the transmission of knowledge. This is a fairly simple operational understanding of governmentality, which is at stake in a distinction between work that is political but not governmental, which, as I have argued above, characterizes the work of NGOs. So, for example, this type of work does not represent the institutions and ideological claims of government, the conditioning mechanisms of government, or the imposition of a set of superior values and aspirations by government. </w:t>
      </w:r>
    </w:p>
    <w:p w14:paraId="20664373"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If NGOs are characterized by new modes of self-organization, paths of funding, and understandings of being effective, then they are equally characterized by new articulations of who their constituencies might be and how to reach them. Theirs is a language of articulation that does not adhere to the processes of persuasion determined by a set of hegemonic values, as do the operations of governance. </w:t>
      </w:r>
      <w:proofErr w:type="gramStart"/>
      <w:r w:rsidRPr="00AC513E">
        <w:rPr>
          <w:rFonts w:ascii="Times New Roman" w:hAnsi="Times New Roman" w:cs="Times New Roman"/>
          <w:sz w:val="22"/>
          <w:szCs w:val="22"/>
        </w:rPr>
        <w:t>Therefore</w:t>
      </w:r>
      <w:proofErr w:type="gramEnd"/>
      <w:r w:rsidRPr="00AC513E">
        <w:rPr>
          <w:rFonts w:ascii="Times New Roman" w:hAnsi="Times New Roman" w:cs="Times New Roman"/>
          <w:sz w:val="22"/>
          <w:szCs w:val="22"/>
        </w:rPr>
        <w:t xml:space="preserve"> their fluidity of movement does not have to do with a set of ideological loyalties, which would dictate that you couldn’t possibly do this and that simultaneously, but with a less aligned or identified fluidity that can move around and between these in ways that are productive and generative. I think this understanding of NGOs, or of actors within NGOs as having a fluidity of mobility, is precisely due to the fact that they do not have to operate according to one absolutely coherent identity and its signification. </w:t>
      </w:r>
    </w:p>
    <w:p w14:paraId="0E366534"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There is a possibility within an NGO-like structure to introduce new actors into fields that are locked in on themselves. Earlier in this text, I talked about the impossibility of the either/or: you either belong to this world of multinational corporations like mainstream international museums, or you belong to the kind of marginal alternative culture that works to a set of counter- aspirations. </w:t>
      </w:r>
    </w:p>
    <w:p w14:paraId="57D527DF"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In organizations that operate along the lines of NGOs, this would be an impossible distinction, because you might get your money from international agencies or private foundations, and you might then disseminate it through a whole set of quasi-legal, quasi- legitimate structures that operate through many different economies. Therefore, it is impossible to create a separation of strict and discrete identities that operate to that degree of mutual exclusivity. </w:t>
      </w:r>
    </w:p>
    <w:p w14:paraId="276787C1"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Paraphrasing Michel </w:t>
      </w:r>
      <w:proofErr w:type="spellStart"/>
      <w:r w:rsidRPr="00AC513E">
        <w:rPr>
          <w:rFonts w:ascii="Times New Roman" w:hAnsi="Times New Roman" w:cs="Times New Roman"/>
          <w:sz w:val="22"/>
          <w:szCs w:val="22"/>
        </w:rPr>
        <w:t>Feher</w:t>
      </w:r>
      <w:proofErr w:type="spellEnd"/>
      <w:r w:rsidRPr="00AC513E">
        <w:rPr>
          <w:rFonts w:ascii="Times New Roman" w:hAnsi="Times New Roman" w:cs="Times New Roman"/>
          <w:sz w:val="22"/>
          <w:szCs w:val="22"/>
        </w:rPr>
        <w:t xml:space="preserve">, we ordinarily understand NGOs as operating within humanitarian aid, environmental protection, human rights and civil liberties monitoring and </w:t>
      </w:r>
    </w:p>
    <w:p w14:paraId="49CFC69D"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serving as watchdogs, recognizing new and emerging entitlements around sexuality, around statelessness, around the illegality of the state – new and emergent forms of being stakeholders – workers, suppliers, consumers, inhabitants.</w:t>
      </w:r>
      <w:r w:rsidRPr="00AC513E">
        <w:rPr>
          <w:rFonts w:ascii="Times New Roman" w:hAnsi="Times New Roman" w:cs="Times New Roman"/>
          <w:position w:val="13"/>
          <w:sz w:val="22"/>
          <w:szCs w:val="22"/>
        </w:rPr>
        <w:t xml:space="preserve">7 </w:t>
      </w:r>
      <w:r w:rsidRPr="00AC513E">
        <w:rPr>
          <w:rFonts w:ascii="Times New Roman" w:hAnsi="Times New Roman" w:cs="Times New Roman"/>
          <w:sz w:val="22"/>
          <w:szCs w:val="22"/>
        </w:rPr>
        <w:t xml:space="preserve">And so new actors are brought into fields that are traditionally locked into binary oppositions. Thus what we find here are fluid lines of connecting spheres without moving loyalties or allegiances, instead moving one’s own location and modus operandi from one site to another. Examples include hackers in central discussions on civil liberties, squatters in debates on housing, drug addicts in discussions of legal reform, and students in debates about </w:t>
      </w:r>
      <w:proofErr w:type="spellStart"/>
      <w:r w:rsidRPr="00AC513E">
        <w:rPr>
          <w:rFonts w:ascii="Times New Roman" w:hAnsi="Times New Roman" w:cs="Times New Roman"/>
          <w:sz w:val="22"/>
          <w:szCs w:val="22"/>
        </w:rPr>
        <w:t>financialization</w:t>
      </w:r>
      <w:proofErr w:type="spellEnd"/>
      <w:r w:rsidRPr="00AC513E">
        <w:rPr>
          <w:rFonts w:ascii="Times New Roman" w:hAnsi="Times New Roman" w:cs="Times New Roman"/>
          <w:sz w:val="22"/>
          <w:szCs w:val="22"/>
        </w:rPr>
        <w:t xml:space="preserve"> and debt. One of the interesting things I’ve noticed is that different kinds of modus operandi in different kinds of NGOs </w:t>
      </w:r>
      <w:r w:rsidRPr="00AC513E">
        <w:rPr>
          <w:rFonts w:ascii="Times" w:hAnsi="Times" w:cs="Times"/>
          <w:i/>
          <w:iCs/>
          <w:sz w:val="22"/>
          <w:szCs w:val="22"/>
        </w:rPr>
        <w:t>allow</w:t>
      </w:r>
      <w:r w:rsidRPr="00AC513E">
        <w:rPr>
          <w:rFonts w:ascii="Times New Roman" w:hAnsi="Times New Roman" w:cs="Times New Roman"/>
          <w:sz w:val="22"/>
          <w:szCs w:val="22"/>
        </w:rPr>
        <w:t xml:space="preserve">, </w:t>
      </w:r>
      <w:r w:rsidRPr="00AC513E">
        <w:rPr>
          <w:rFonts w:ascii="Times" w:hAnsi="Times" w:cs="Times"/>
          <w:i/>
          <w:iCs/>
          <w:sz w:val="22"/>
          <w:szCs w:val="22"/>
        </w:rPr>
        <w:t>almost insist</w:t>
      </w:r>
      <w:r w:rsidRPr="00AC513E">
        <w:rPr>
          <w:rFonts w:ascii="Times New Roman" w:hAnsi="Times New Roman" w:cs="Times New Roman"/>
          <w:sz w:val="22"/>
          <w:szCs w:val="22"/>
        </w:rPr>
        <w:t xml:space="preserve">, on a porousness between practices that is far less preoccupied with </w:t>
      </w:r>
      <w:proofErr w:type="spellStart"/>
      <w:r w:rsidRPr="00AC513E">
        <w:rPr>
          <w:rFonts w:ascii="Times New Roman" w:hAnsi="Times New Roman" w:cs="Times New Roman"/>
          <w:sz w:val="22"/>
          <w:szCs w:val="22"/>
        </w:rPr>
        <w:t>identitarian</w:t>
      </w:r>
      <w:proofErr w:type="spellEnd"/>
      <w:r w:rsidRPr="00AC513E">
        <w:rPr>
          <w:rFonts w:ascii="Times New Roman" w:hAnsi="Times New Roman" w:cs="Times New Roman"/>
          <w:sz w:val="22"/>
          <w:szCs w:val="22"/>
        </w:rPr>
        <w:t xml:space="preserve"> allegiances and far more with the ability for something generative to take place through radical shifts in perspective. </w:t>
      </w:r>
    </w:p>
    <w:p w14:paraId="43034429"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One of the things that has been important in trying to bring the model of the NGO to the cultural sphere is the way in which NGOs have articulated the notion of the stakeholder and replaced concepts of the viewer, the audience, those who attend, those who listen, those who buy tickets. As a stakeholder you are bound by a set of economies, which means that even though the paths of benefit are not always entirely clear, you are nevertheless immersed in that particular economy of which you are a stakeholder. In the arena of spectatorship and the understanding of audiences, we have long been stuck in-between a nineteenth-century model of edification—the idea that culture makes us better in some way—and a late twentieth-century/early twenty-first- century model of manic hyperactivity in which we are activated, actualized, fulfilled, and energized, either transported and lost in reverie, or acting out every form of consumption possible within a cultural arena. Thus, in contrast to these impossible trajectories, I find the concept of the stakeholder interesting because one is part of the process of production (whatever </w:t>
      </w:r>
    </w:p>
    <w:p w14:paraId="6F5AAB8A"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it may be) as well as its recipient. As a beneficiary, one may provide forms of labor and functionality, but one also provides a set of expectations in each case to be determined anew. Thus, stakeholders can be placed in the middle, somewhere in-between edification and the manic hyperactivity of participation as part of their very fabric—being producer, consumer, and actor at one and the same time. </w:t>
      </w:r>
    </w:p>
    <w:p w14:paraId="0473B463"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One cannot conflate the value of an NGO with the rhetoric of its intentions. As </w:t>
      </w:r>
      <w:proofErr w:type="spellStart"/>
      <w:r w:rsidRPr="00AC513E">
        <w:rPr>
          <w:rFonts w:ascii="Times New Roman" w:hAnsi="Times New Roman" w:cs="Times New Roman"/>
          <w:sz w:val="22"/>
          <w:szCs w:val="22"/>
        </w:rPr>
        <w:t>Feher</w:t>
      </w:r>
      <w:proofErr w:type="spellEnd"/>
      <w:r w:rsidRPr="00AC513E">
        <w:rPr>
          <w:rFonts w:ascii="Times New Roman" w:hAnsi="Times New Roman" w:cs="Times New Roman"/>
          <w:sz w:val="22"/>
          <w:szCs w:val="22"/>
        </w:rPr>
        <w:t xml:space="preserve"> says, “in practice, the distinction between governmental and nongovernmental politics proves more complicated than an opposition between top-down arrogance and bottom-up earnestness. Or for that matter, between cold-blooded efficiency and well-meaning irrelevance.”</w:t>
      </w:r>
      <w:r w:rsidRPr="00AC513E">
        <w:rPr>
          <w:rFonts w:ascii="Times New Roman" w:hAnsi="Times New Roman" w:cs="Times New Roman"/>
          <w:position w:val="13"/>
          <w:sz w:val="22"/>
          <w:szCs w:val="22"/>
        </w:rPr>
        <w:t xml:space="preserve">8 </w:t>
      </w:r>
      <w:r w:rsidRPr="00AC513E">
        <w:rPr>
          <w:rFonts w:ascii="Times New Roman" w:hAnsi="Times New Roman" w:cs="Times New Roman"/>
          <w:sz w:val="22"/>
          <w:szCs w:val="22"/>
        </w:rPr>
        <w:t xml:space="preserve">Thus the self-situating of emergent structures, their understanding of their affiliation and constituency, creates a complex and contingent entity—one where there is a constantly shifting ground of problems and issues that NGOs decide to address, thereby rendering them unable to claim a moral high ground since they do not proffer solutions or recommend policies. Yet they can claim processes that unpack, make visible, intervene, support, and lend an ear and thus produce a critical language for the urgent issues of the day. </w:t>
      </w:r>
    </w:p>
    <w:p w14:paraId="65DBF921"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It seems important to assess the value of what we can get from looking closely, conceptualizing or theorizing in some ways how NGOs operate as a rhetoric not as one that replaces top-down determination with bottom-up activities, because obviously there are much more complex dynamics in operation. One of these dynamics is the multifaceted </w:t>
      </w:r>
      <w:proofErr w:type="spellStart"/>
      <w:r w:rsidRPr="00AC513E">
        <w:rPr>
          <w:rFonts w:ascii="Times New Roman" w:hAnsi="Times New Roman" w:cs="Times New Roman"/>
          <w:sz w:val="22"/>
          <w:szCs w:val="22"/>
        </w:rPr>
        <w:t>indexicality</w:t>
      </w:r>
      <w:proofErr w:type="spellEnd"/>
      <w:r w:rsidRPr="00AC513E">
        <w:rPr>
          <w:rFonts w:ascii="Times New Roman" w:hAnsi="Times New Roman" w:cs="Times New Roman"/>
          <w:sz w:val="22"/>
          <w:szCs w:val="22"/>
        </w:rPr>
        <w:t xml:space="preserve"> of how NGOs operate: having, by necessity, links with so many different strata of funding and technology, dissemination, and self-legitimation that they simply cannot be relegated to either the top-down or the bottom-up schema. Equally important are the ways in which resulting activity may be a set of accidental, informal </w:t>
      </w:r>
      <w:proofErr w:type="spellStart"/>
      <w:r w:rsidRPr="00AC513E">
        <w:rPr>
          <w:rFonts w:ascii="Times New Roman" w:hAnsi="Times New Roman" w:cs="Times New Roman"/>
          <w:sz w:val="22"/>
          <w:szCs w:val="22"/>
        </w:rPr>
        <w:t>sociabilities</w:t>
      </w:r>
      <w:proofErr w:type="spellEnd"/>
      <w:r w:rsidRPr="00AC513E">
        <w:rPr>
          <w:rFonts w:ascii="Times New Roman" w:hAnsi="Times New Roman" w:cs="Times New Roman"/>
          <w:sz w:val="22"/>
          <w:szCs w:val="22"/>
        </w:rPr>
        <w:t xml:space="preserve"> that emerge through encounters within </w:t>
      </w:r>
    </w:p>
    <w:p w14:paraId="42F1458C"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the work but become the actual fabric of the work. How then do we connect notions of informal sociability to notions of effectiveness? </w:t>
      </w:r>
    </w:p>
    <w:p w14:paraId="3D05EE8A"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We have, over the last fifteen years, spoken a great deal about the sites of cultural practices as sites of gathering, of conversation, of exchange, of research and study, and of encounters between different kinds of knowledge—we call them sites of knowledge production. The NGO model allows us to think about the relation between the kinds of informal </w:t>
      </w:r>
      <w:proofErr w:type="spellStart"/>
      <w:r w:rsidRPr="00AC513E">
        <w:rPr>
          <w:rFonts w:ascii="Times New Roman" w:hAnsi="Times New Roman" w:cs="Times New Roman"/>
          <w:sz w:val="22"/>
          <w:szCs w:val="22"/>
        </w:rPr>
        <w:t>sociabilities</w:t>
      </w:r>
      <w:proofErr w:type="spellEnd"/>
      <w:r w:rsidRPr="00AC513E">
        <w:rPr>
          <w:rFonts w:ascii="Times New Roman" w:hAnsi="Times New Roman" w:cs="Times New Roman"/>
          <w:sz w:val="22"/>
          <w:szCs w:val="22"/>
        </w:rPr>
        <w:t xml:space="preserve"> that we see within the art world and their possible link to an emergent notion of effectiveness. Obviously, though, this is not going to be effective in terms of visitor numbers or corporate sponsorship. Our version of new </w:t>
      </w:r>
      <w:proofErr w:type="spellStart"/>
      <w:r w:rsidRPr="00AC513E">
        <w:rPr>
          <w:rFonts w:ascii="Times New Roman" w:hAnsi="Times New Roman" w:cs="Times New Roman"/>
          <w:sz w:val="22"/>
          <w:szCs w:val="22"/>
        </w:rPr>
        <w:t>sociabilities</w:t>
      </w:r>
      <w:proofErr w:type="spellEnd"/>
      <w:r w:rsidRPr="00AC513E">
        <w:rPr>
          <w:rFonts w:ascii="Times New Roman" w:hAnsi="Times New Roman" w:cs="Times New Roman"/>
          <w:sz w:val="22"/>
          <w:szCs w:val="22"/>
        </w:rPr>
        <w:t xml:space="preserve"> in the art world has been developed by insisting on the performance of ideas, by insisting on bringing bodies of knowledge into head-on contact with one another when they do not mix in any other logic, by constituting subjects—rather than reproducing existing ones—through unexpected assemblages, by positing slightly fantastical “what if” scenarios. Much of what creative practices have introduced into public culture is difficult to translate into effectiveness in the terms of an institutional culture judged through visitor numbers, favorable reviews, or private patronage and capital investment. But it is absolutely possible to translate into effectiveness along the lines of NGO culture. The fluidity of connecting spheres within a situation that confronts crisis—a moment of criticality that really crystallizes a set of problems viewed from both official and entirely informal sets of perspectives—is a hallmark of NGO culture. It is these operations of subjectivity infused with different knowledges, not of expertise but of experience, that make up the new criteria for effectiveness. </w:t>
      </w:r>
    </w:p>
    <w:p w14:paraId="279D0671"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In understanding that new affects are absolutely as important as new institutions, one of the things that we have begun to recognize with an NGO model emerging into the cultural sphere </w:t>
      </w:r>
    </w:p>
    <w:p w14:paraId="4E0CDC84"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is that we </w:t>
      </w:r>
      <w:r w:rsidRPr="00AC513E">
        <w:rPr>
          <w:rFonts w:ascii="Times" w:hAnsi="Times" w:cs="Times"/>
          <w:i/>
          <w:iCs/>
          <w:sz w:val="22"/>
          <w:szCs w:val="22"/>
        </w:rPr>
        <w:t xml:space="preserve">can talk </w:t>
      </w:r>
      <w:r w:rsidRPr="00AC513E">
        <w:rPr>
          <w:rFonts w:ascii="Times New Roman" w:hAnsi="Times New Roman" w:cs="Times New Roman"/>
          <w:sz w:val="22"/>
          <w:szCs w:val="22"/>
        </w:rPr>
        <w:t xml:space="preserve">about an affective regime or an affective economy that is made up of different components beyond material densities—that rage can be a density and so can affection and sentiment and loyalty—and that we gauge a situation by the proximity of all these densities. A set of lateral moves that bring together divergent and often hostile knowledge and </w:t>
      </w:r>
      <w:proofErr w:type="spellStart"/>
      <w:r w:rsidRPr="00AC513E">
        <w:rPr>
          <w:rFonts w:ascii="Times New Roman" w:hAnsi="Times New Roman" w:cs="Times New Roman"/>
          <w:sz w:val="22"/>
          <w:szCs w:val="22"/>
        </w:rPr>
        <w:t>modi</w:t>
      </w:r>
      <w:proofErr w:type="spellEnd"/>
      <w:r w:rsidRPr="00AC513E">
        <w:rPr>
          <w:rFonts w:ascii="Times New Roman" w:hAnsi="Times New Roman" w:cs="Times New Roman"/>
          <w:sz w:val="22"/>
          <w:szCs w:val="22"/>
        </w:rPr>
        <w:t xml:space="preserve"> operandi are characteristic of how NGOs operate in the field. Whatever it takes, whatever is to hand, in whatever combination one is able to imagine, in whatever languages one has at one’s disposal, these are things that allow us to think in terms of an “affective regime” or an “affective economy” and not purely a material or technological economy. </w:t>
      </w:r>
    </w:p>
    <w:p w14:paraId="5E748805"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All of this has made me think about the Showroom, where I first took up this discussion and an examination of organizations like the aforementioned London-based space that have a catch-as–catch-can approach to resources, taking up space, articulating problems, involving communities, and giving space to half-baked ideas, in order to reflect on what it is that is operating across so many institutions simultaneously. In the landscape of a postcolonial, diasporic, privatized, and capitalized megalopolis like London—a landscape of exceptional inequality of resources and accesses—an institution like the Showroom </w:t>
      </w:r>
    </w:p>
    <w:p w14:paraId="37932060"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is operating as a small, underfunded, agile, and responsive institution. In such a context, what is it to be able to intervene without making claims to effecting or changing the culture in a declared way, as a policy or as a goal? What does it mean to make manifest archives of former radical moments and to make visible activities of reading together or worrying together, or fantasizing together? This is very important for us in London because those of us who experienced the “Tate effect” at the beginning of the 2000s realized that what appeared to be an entertainment-machine spectacle was actually the agent of a cultural shift </w:t>
      </w:r>
      <w:proofErr w:type="gramStart"/>
      <w:r w:rsidRPr="00AC513E">
        <w:rPr>
          <w:rFonts w:ascii="Times New Roman" w:hAnsi="Times New Roman" w:cs="Times New Roman"/>
          <w:sz w:val="22"/>
          <w:szCs w:val="22"/>
        </w:rPr>
        <w:t>to</w:t>
      </w:r>
      <w:proofErr w:type="gramEnd"/>
      <w:r w:rsidRPr="00AC513E">
        <w:rPr>
          <w:rFonts w:ascii="Times New Roman" w:hAnsi="Times New Roman" w:cs="Times New Roman"/>
          <w:sz w:val="22"/>
          <w:szCs w:val="22"/>
        </w:rPr>
        <w:t xml:space="preserve"> complete </w:t>
      </w:r>
    </w:p>
    <w:p w14:paraId="224DE6AE"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domination by a capital logic within the art world in which growth, investment, and capitalization are the criteria by which institutions measure and celebrate themselves. </w:t>
      </w:r>
    </w:p>
    <w:p w14:paraId="219778F4"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For all of these cultural institutions in large urban metropolises that seem to constantly need to expand and get bigger, the getting bigger is usually in direct relation to the disuse of some entity of public culture, like a library or a meeting room or a legal advocacy center, that then gets integrated into a set of cultural buildings—such is absolute corporate logic, the logic of the capitalization of institutions. Thus, the urgency of trying to think about new notions of being effective, of not being captured within a regime of constant growth and expansion, but nevertheless having some criteria for being effective, having a presence, and making a difference. It is here that an affective regime or an affective economy can become important, because they both counter spectacle, growth, and capital investment with something else that is immaterial but of consequence. An affective regime perceives of its achievements through patterns of identification, of engagement, of attention, and of seriousness, rather than through visitor numbers, grants, and celebrity. So when we have a series of small, emergent organizations that are actually able to </w:t>
      </w:r>
      <w:r w:rsidRPr="00AC513E">
        <w:rPr>
          <w:rFonts w:ascii="Times" w:hAnsi="Times" w:cs="Times"/>
          <w:i/>
          <w:iCs/>
          <w:sz w:val="22"/>
          <w:szCs w:val="22"/>
        </w:rPr>
        <w:t xml:space="preserve">show </w:t>
      </w:r>
      <w:r w:rsidRPr="00AC513E">
        <w:rPr>
          <w:rFonts w:ascii="Times New Roman" w:hAnsi="Times New Roman" w:cs="Times New Roman"/>
          <w:sz w:val="22"/>
          <w:szCs w:val="22"/>
        </w:rPr>
        <w:t>the quite concrete consequences that come out of, let’s say, a regime of affect, then they lend credence to work that is struggling to come about within the cultural field. This sometimes takes the form of collective public communing and at other times the form of unplanned performative study, as it did during the REF exhibition at KW in Berlin in which hundreds of young people sat on the institution’s cold cement floor in the dead of winter and read through the extensive archives of the period that were set up as a marginal extension of the work on display.</w:t>
      </w:r>
      <w:r w:rsidRPr="00AC513E">
        <w:rPr>
          <w:rFonts w:ascii="Times New Roman" w:hAnsi="Times New Roman" w:cs="Times New Roman"/>
          <w:position w:val="13"/>
          <w:sz w:val="22"/>
          <w:szCs w:val="22"/>
        </w:rPr>
        <w:t xml:space="preserve">9 </w:t>
      </w:r>
      <w:r w:rsidRPr="00AC513E">
        <w:rPr>
          <w:rFonts w:ascii="Times New Roman" w:hAnsi="Times New Roman" w:cs="Times New Roman"/>
          <w:sz w:val="22"/>
          <w:szCs w:val="22"/>
        </w:rPr>
        <w:t xml:space="preserve">This is a form of working with and inside a set of conditions rather than ignoring such conditions and replacing them with the aforementioned reverie, edification, external judgement, or manic hyperactivity discussed earlier. Working inside, within a set of </w:t>
      </w:r>
    </w:p>
    <w:p w14:paraId="4B07F704"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conditions </w:t>
      </w:r>
      <w:proofErr w:type="gramStart"/>
      <w:r w:rsidRPr="00AC513E">
        <w:rPr>
          <w:rFonts w:ascii="Times New Roman" w:hAnsi="Times New Roman" w:cs="Times New Roman"/>
          <w:sz w:val="22"/>
          <w:szCs w:val="22"/>
        </w:rPr>
        <w:t>is</w:t>
      </w:r>
      <w:proofErr w:type="gramEnd"/>
      <w:r w:rsidRPr="00AC513E">
        <w:rPr>
          <w:rFonts w:ascii="Times New Roman" w:hAnsi="Times New Roman" w:cs="Times New Roman"/>
          <w:sz w:val="22"/>
          <w:szCs w:val="22"/>
        </w:rPr>
        <w:t xml:space="preserve"> one of the foremost characteristics of how NGOs function—they start in the middle, and research conditions and engage with them, yet they do not write position papers of ideal scenarios or make promises of a better future. </w:t>
      </w:r>
    </w:p>
    <w:p w14:paraId="0B9C2E25"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For these reasons, I’ve been very interested in thinking about NGOs as a way to try to read both the actual activities and the greater potentials of small, emergent, often ephemeral cultural institutions. I am purposely not using the notion of marginality because I don’t think they are marginal: they are operating at the </w:t>
      </w:r>
      <w:r w:rsidRPr="00AC513E">
        <w:rPr>
          <w:rFonts w:ascii="Times" w:hAnsi="Times" w:cs="Times"/>
          <w:i/>
          <w:iCs/>
          <w:sz w:val="22"/>
          <w:szCs w:val="22"/>
        </w:rPr>
        <w:t xml:space="preserve">edges </w:t>
      </w:r>
      <w:r w:rsidRPr="00AC513E">
        <w:rPr>
          <w:rFonts w:ascii="Times New Roman" w:hAnsi="Times New Roman" w:cs="Times New Roman"/>
          <w:sz w:val="22"/>
          <w:szCs w:val="22"/>
        </w:rPr>
        <w:t xml:space="preserve">of things and are both clients of distributive economies like the Arts Council and of other distributive economies of community interests and critical coalitions. Equally, they give space, credence, and legibility to moments of collective sadness, to a sense of being let down or of not quite being up to the task ahead that so often accompanies the hard work of staying afloat within the public sector—when what one feels is important to do is not valued by funding or evaluating bodies. So how does one negotiate the fact that we are gaining from several contradictory distributive economies? How does one articulate the fact that there are different and contradictory sets of knowledge at work within the operation? How do we deal with not having an ideal audience in mind, which you want to capture, which you know exactly how to reach? </w:t>
      </w:r>
    </w:p>
    <w:p w14:paraId="01A3052E"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 xml:space="preserve">Part of the way in which one deals with these questions is to identify a larger urgency outside of that institutional logic, and to speak to that urgency and not to the demands of the institutional logic. I think that it is the agility and versatility of smaller arts organizations and of ad hoc emergent platforms to be able to locate and articulate these urgencies that in turn allow them to operate through another logic. To identify and look at a problem, to expand the range of actors visible and operative within its spheres, to recognize that any given problem is also the site of new knowledge—which we often are unable to name—and to acknowledge that living out </w:t>
      </w:r>
    </w:p>
    <w:p w14:paraId="660A70FA" w14:textId="77777777" w:rsidR="00AC513E" w:rsidRPr="00AC513E" w:rsidRDefault="00AC513E" w:rsidP="00AC513E">
      <w:pPr>
        <w:widowControl w:val="0"/>
        <w:autoSpaceDE w:val="0"/>
        <w:autoSpaceDN w:val="0"/>
        <w:adjustRightInd w:val="0"/>
        <w:spacing w:after="240" w:line="360" w:lineRule="atLeast"/>
        <w:rPr>
          <w:rFonts w:ascii="Times" w:hAnsi="Times" w:cs="Times"/>
          <w:sz w:val="22"/>
          <w:szCs w:val="22"/>
        </w:rPr>
      </w:pPr>
      <w:r w:rsidRPr="00AC513E">
        <w:rPr>
          <w:rFonts w:ascii="Times New Roman" w:hAnsi="Times New Roman" w:cs="Times New Roman"/>
          <w:sz w:val="22"/>
          <w:szCs w:val="22"/>
        </w:rPr>
        <w:t>a problem with full awareness may be far more important than convincing oneself that it may be solved: such are the logics of many NGO activities around the globe. If cultural institutions could equally recognize that their task is to live out the problems that affect societies both locally and globally at another register, they might have a more convincing modus operandi than the triumphalist one of growth, expansion, and the endless counting of hordes of visitors, of excessively activated viewers, and of manipulative marketing strategies. Jean-Luc Nancy has repeatedly spoken of the importance of replacing “having in common” with “being in common,”</w:t>
      </w:r>
      <w:r w:rsidRPr="00AC513E">
        <w:rPr>
          <w:rFonts w:ascii="Times New Roman" w:hAnsi="Times New Roman" w:cs="Times New Roman"/>
          <w:position w:val="13"/>
          <w:sz w:val="22"/>
          <w:szCs w:val="22"/>
        </w:rPr>
        <w:t xml:space="preserve">10 </w:t>
      </w:r>
      <w:r w:rsidRPr="00AC513E">
        <w:rPr>
          <w:rFonts w:ascii="Times New Roman" w:hAnsi="Times New Roman" w:cs="Times New Roman"/>
          <w:sz w:val="22"/>
          <w:szCs w:val="22"/>
        </w:rPr>
        <w:t xml:space="preserve">and it is this model of the NGO that might clarify for us in the art world what “being in common” might mean and what forms it might take. </w:t>
      </w:r>
    </w:p>
    <w:p w14:paraId="399D1AA9" w14:textId="77777777" w:rsidR="00AC513E" w:rsidRDefault="00AC513E" w:rsidP="00AC513E">
      <w:pPr>
        <w:widowControl w:val="0"/>
        <w:autoSpaceDE w:val="0"/>
        <w:autoSpaceDN w:val="0"/>
        <w:adjustRightInd w:val="0"/>
        <w:spacing w:after="240" w:line="360" w:lineRule="atLeast"/>
        <w:rPr>
          <w:rFonts w:ascii="Times New Roman" w:hAnsi="Times New Roman" w:cs="Times New Roman"/>
          <w:sz w:val="22"/>
          <w:szCs w:val="22"/>
        </w:rPr>
      </w:pPr>
    </w:p>
    <w:p w14:paraId="5B14A3A7" w14:textId="77777777" w:rsidR="00AC513E" w:rsidRDefault="00AC513E" w:rsidP="00AC513E">
      <w:pPr>
        <w:widowControl w:val="0"/>
        <w:autoSpaceDE w:val="0"/>
        <w:autoSpaceDN w:val="0"/>
        <w:adjustRightInd w:val="0"/>
        <w:spacing w:after="240" w:line="360" w:lineRule="atLeast"/>
        <w:rPr>
          <w:rFonts w:ascii="Times New Roman" w:hAnsi="Times New Roman" w:cs="Times New Roman"/>
          <w:sz w:val="22"/>
          <w:szCs w:val="22"/>
        </w:rPr>
      </w:pPr>
    </w:p>
    <w:p w14:paraId="41D72AD7" w14:textId="77777777" w:rsidR="00AC513E" w:rsidRPr="00AC513E" w:rsidRDefault="00AC513E" w:rsidP="00AC513E">
      <w:pPr>
        <w:widowControl w:val="0"/>
        <w:autoSpaceDE w:val="0"/>
        <w:autoSpaceDN w:val="0"/>
        <w:adjustRightInd w:val="0"/>
        <w:spacing w:after="240" w:line="360" w:lineRule="atLeast"/>
        <w:rPr>
          <w:rFonts w:ascii="Times" w:hAnsi="Times" w:cs="Times"/>
          <w:sz w:val="18"/>
          <w:szCs w:val="18"/>
        </w:rPr>
      </w:pPr>
      <w:r w:rsidRPr="00AC513E">
        <w:rPr>
          <w:rFonts w:ascii="Times New Roman" w:hAnsi="Times New Roman" w:cs="Times New Roman"/>
          <w:sz w:val="18"/>
          <w:szCs w:val="18"/>
        </w:rPr>
        <w:t xml:space="preserve">1 My thanks to the Showroom, London, for the opportunity to first rehearse these thoughts as a presentation in 2014 and to Michel </w:t>
      </w:r>
      <w:proofErr w:type="spellStart"/>
      <w:r w:rsidRPr="00AC513E">
        <w:rPr>
          <w:rFonts w:ascii="Times New Roman" w:hAnsi="Times New Roman" w:cs="Times New Roman"/>
          <w:sz w:val="18"/>
          <w:szCs w:val="18"/>
        </w:rPr>
        <w:t>Feher</w:t>
      </w:r>
      <w:proofErr w:type="spellEnd"/>
      <w:r w:rsidRPr="00AC513E">
        <w:rPr>
          <w:rFonts w:ascii="Times New Roman" w:hAnsi="Times New Roman" w:cs="Times New Roman"/>
          <w:sz w:val="18"/>
          <w:szCs w:val="18"/>
        </w:rPr>
        <w:t xml:space="preserve"> for two years of exceptional insights and analyses in the lecture series “The Age of Appreciation,” Goldsmiths, University of London, 2013–15.</w:t>
      </w:r>
      <w:r w:rsidRPr="00AC513E">
        <w:rPr>
          <w:rFonts w:ascii="MS Mincho" w:eastAsia="MS Mincho" w:hAnsi="MS Mincho" w:cs="MS Mincho"/>
          <w:sz w:val="18"/>
          <w:szCs w:val="18"/>
        </w:rPr>
        <w:t> </w:t>
      </w:r>
      <w:r w:rsidRPr="00AC513E">
        <w:rPr>
          <w:rFonts w:ascii="Times New Roman" w:hAnsi="Times New Roman" w:cs="Times New Roman"/>
          <w:sz w:val="18"/>
          <w:szCs w:val="18"/>
        </w:rPr>
        <w:t xml:space="preserve">2 Hari </w:t>
      </w:r>
      <w:proofErr w:type="spellStart"/>
      <w:r w:rsidRPr="00AC513E">
        <w:rPr>
          <w:rFonts w:ascii="Times New Roman" w:hAnsi="Times New Roman" w:cs="Times New Roman"/>
          <w:sz w:val="18"/>
          <w:szCs w:val="18"/>
        </w:rPr>
        <w:t>Kunzru</w:t>
      </w:r>
      <w:proofErr w:type="spellEnd"/>
      <w:r w:rsidRPr="00AC513E">
        <w:rPr>
          <w:rFonts w:ascii="Times New Roman" w:hAnsi="Times New Roman" w:cs="Times New Roman"/>
          <w:sz w:val="18"/>
          <w:szCs w:val="18"/>
        </w:rPr>
        <w:t xml:space="preserve">, “Raj, Bohemian,” </w:t>
      </w:r>
      <w:r w:rsidRPr="00AC513E">
        <w:rPr>
          <w:rFonts w:ascii="Times" w:hAnsi="Times" w:cs="Times"/>
          <w:i/>
          <w:iCs/>
          <w:sz w:val="18"/>
          <w:szCs w:val="18"/>
        </w:rPr>
        <w:t>New Yorker</w:t>
      </w:r>
      <w:r w:rsidRPr="00AC513E">
        <w:rPr>
          <w:rFonts w:ascii="Times New Roman" w:hAnsi="Times New Roman" w:cs="Times New Roman"/>
          <w:sz w:val="18"/>
          <w:szCs w:val="18"/>
        </w:rPr>
        <w:t xml:space="preserve">, March 10, 2008, accessed June 25, 2015, http://www.newyorker.com/magazine/2008/03/10/raj-bohemian. </w:t>
      </w:r>
    </w:p>
    <w:p w14:paraId="76934688" w14:textId="77777777" w:rsidR="00AC513E" w:rsidRPr="00AC513E" w:rsidRDefault="00AC513E" w:rsidP="00AC513E">
      <w:pPr>
        <w:widowControl w:val="0"/>
        <w:autoSpaceDE w:val="0"/>
        <w:autoSpaceDN w:val="0"/>
        <w:adjustRightInd w:val="0"/>
        <w:spacing w:after="240" w:line="360" w:lineRule="atLeast"/>
        <w:rPr>
          <w:rFonts w:ascii="MS Mincho" w:eastAsia="MS Mincho" w:hAnsi="MS Mincho" w:cs="MS Mincho"/>
          <w:sz w:val="18"/>
          <w:szCs w:val="18"/>
        </w:rPr>
      </w:pPr>
      <w:r w:rsidRPr="00AC513E">
        <w:rPr>
          <w:rFonts w:ascii="Times New Roman" w:hAnsi="Times New Roman" w:cs="Times New Roman"/>
          <w:sz w:val="18"/>
          <w:szCs w:val="18"/>
        </w:rPr>
        <w:t>3 Ibid.</w:t>
      </w:r>
    </w:p>
    <w:p w14:paraId="0B05B3BD" w14:textId="77777777" w:rsidR="00AC513E" w:rsidRPr="00AC513E" w:rsidRDefault="00AC513E" w:rsidP="00AC513E">
      <w:pPr>
        <w:widowControl w:val="0"/>
        <w:autoSpaceDE w:val="0"/>
        <w:autoSpaceDN w:val="0"/>
        <w:adjustRightInd w:val="0"/>
        <w:spacing w:after="240" w:line="360" w:lineRule="atLeast"/>
        <w:rPr>
          <w:rFonts w:ascii="Times" w:hAnsi="Times" w:cs="Times"/>
          <w:sz w:val="18"/>
          <w:szCs w:val="18"/>
        </w:rPr>
      </w:pPr>
      <w:r w:rsidRPr="00AC513E">
        <w:rPr>
          <w:rFonts w:ascii="Times New Roman" w:hAnsi="Times New Roman" w:cs="Times New Roman"/>
          <w:sz w:val="18"/>
          <w:szCs w:val="18"/>
        </w:rPr>
        <w:t xml:space="preserve">4 In a conversation in September 2015, Isaac Julien stated that in his opinion the Studio Museum in Harlem was the most important curatorial training program there is, despite the fact that it does not give itself that title. What he meant is that curators of considerable ability who are sustained by a body </w:t>
      </w:r>
      <w:bookmarkStart w:id="0" w:name="_GoBack"/>
      <w:bookmarkEnd w:id="0"/>
      <w:r w:rsidRPr="00AC513E">
        <w:rPr>
          <w:rFonts w:ascii="Times New Roman" w:hAnsi="Times New Roman" w:cs="Times New Roman"/>
          <w:sz w:val="18"/>
          <w:szCs w:val="18"/>
        </w:rPr>
        <w:t xml:space="preserve">of less-than-universally acknowledged information and sustained by a political project have consistently emerged from there. Therefore, the institution is making a contribution to the field that is proportionally beyond its own scale—in which case why and how would we categorize its position as mid-level or otherwise. It is this very contradiction that makes it so important, that makes it clear that the value of a contribution has little to do with scale and much more to do with replacing spectacle with informed, considered, and critical projects. </w:t>
      </w:r>
    </w:p>
    <w:p w14:paraId="74CD1586" w14:textId="77777777" w:rsidR="00AC513E" w:rsidRPr="00AC513E" w:rsidRDefault="00AC513E" w:rsidP="00AC513E">
      <w:pPr>
        <w:widowControl w:val="0"/>
        <w:autoSpaceDE w:val="0"/>
        <w:autoSpaceDN w:val="0"/>
        <w:adjustRightInd w:val="0"/>
        <w:spacing w:after="240" w:line="360" w:lineRule="atLeast"/>
        <w:rPr>
          <w:rFonts w:ascii="Times" w:hAnsi="Times" w:cs="Times"/>
          <w:sz w:val="18"/>
          <w:szCs w:val="18"/>
        </w:rPr>
      </w:pPr>
      <w:r w:rsidRPr="00AC513E">
        <w:rPr>
          <w:rFonts w:ascii="Times New Roman" w:hAnsi="Times New Roman" w:cs="Times New Roman"/>
          <w:sz w:val="18"/>
          <w:szCs w:val="18"/>
        </w:rPr>
        <w:t xml:space="preserve">5 Michel </w:t>
      </w:r>
      <w:proofErr w:type="spellStart"/>
      <w:r w:rsidRPr="00AC513E">
        <w:rPr>
          <w:rFonts w:ascii="Times New Roman" w:hAnsi="Times New Roman" w:cs="Times New Roman"/>
          <w:sz w:val="18"/>
          <w:szCs w:val="18"/>
        </w:rPr>
        <w:t>Feher</w:t>
      </w:r>
      <w:proofErr w:type="spellEnd"/>
      <w:r w:rsidRPr="00AC513E">
        <w:rPr>
          <w:rFonts w:ascii="Times New Roman" w:hAnsi="Times New Roman" w:cs="Times New Roman"/>
          <w:sz w:val="18"/>
          <w:szCs w:val="18"/>
        </w:rPr>
        <w:t xml:space="preserve">, “The Governed in Politics,” in Michel </w:t>
      </w:r>
      <w:proofErr w:type="spellStart"/>
      <w:r w:rsidRPr="00AC513E">
        <w:rPr>
          <w:rFonts w:ascii="Times New Roman" w:hAnsi="Times New Roman" w:cs="Times New Roman"/>
          <w:sz w:val="18"/>
          <w:szCs w:val="18"/>
        </w:rPr>
        <w:t>Feher</w:t>
      </w:r>
      <w:proofErr w:type="spellEnd"/>
      <w:r w:rsidRPr="00AC513E">
        <w:rPr>
          <w:rFonts w:ascii="Times New Roman" w:hAnsi="Times New Roman" w:cs="Times New Roman"/>
          <w:sz w:val="18"/>
          <w:szCs w:val="18"/>
        </w:rPr>
        <w:t xml:space="preserve">, ed., </w:t>
      </w:r>
      <w:r w:rsidRPr="00AC513E">
        <w:rPr>
          <w:rFonts w:ascii="Times" w:hAnsi="Times" w:cs="Times"/>
          <w:i/>
          <w:iCs/>
          <w:sz w:val="18"/>
          <w:szCs w:val="18"/>
        </w:rPr>
        <w:t xml:space="preserve">Nongovernmental Politics </w:t>
      </w:r>
      <w:r w:rsidRPr="00AC513E">
        <w:rPr>
          <w:rFonts w:ascii="Times New Roman" w:hAnsi="Times New Roman" w:cs="Times New Roman"/>
          <w:sz w:val="18"/>
          <w:szCs w:val="18"/>
        </w:rPr>
        <w:t>(London and Cambridge, MA: Zone Books/MIT Press, 2007), 12–27.</w:t>
      </w:r>
      <w:r w:rsidRPr="00AC513E">
        <w:rPr>
          <w:rFonts w:ascii="MS Mincho" w:eastAsia="MS Mincho" w:hAnsi="MS Mincho" w:cs="MS Mincho"/>
          <w:sz w:val="18"/>
          <w:szCs w:val="18"/>
        </w:rPr>
        <w:t> </w:t>
      </w:r>
      <w:r w:rsidRPr="00AC513E">
        <w:rPr>
          <w:rFonts w:ascii="Times New Roman" w:hAnsi="Times New Roman" w:cs="Times New Roman"/>
          <w:sz w:val="18"/>
          <w:szCs w:val="18"/>
        </w:rPr>
        <w:t xml:space="preserve">6 Michel Foucault, “24 January 1979,” in Michel Foucault, </w:t>
      </w:r>
      <w:r w:rsidRPr="00AC513E">
        <w:rPr>
          <w:rFonts w:ascii="Times" w:hAnsi="Times" w:cs="Times"/>
          <w:i/>
          <w:iCs/>
          <w:sz w:val="18"/>
          <w:szCs w:val="18"/>
        </w:rPr>
        <w:t xml:space="preserve">The Birth of </w:t>
      </w:r>
      <w:proofErr w:type="spellStart"/>
      <w:r w:rsidRPr="00AC513E">
        <w:rPr>
          <w:rFonts w:ascii="Times" w:hAnsi="Times" w:cs="Times"/>
          <w:i/>
          <w:iCs/>
          <w:sz w:val="18"/>
          <w:szCs w:val="18"/>
        </w:rPr>
        <w:t>Biopolitics</w:t>
      </w:r>
      <w:proofErr w:type="spellEnd"/>
      <w:r w:rsidRPr="00AC513E">
        <w:rPr>
          <w:rFonts w:ascii="Times" w:hAnsi="Times" w:cs="Times"/>
          <w:i/>
          <w:iCs/>
          <w:sz w:val="18"/>
          <w:szCs w:val="18"/>
        </w:rPr>
        <w:t xml:space="preserve">: Lectures at the </w:t>
      </w:r>
      <w:proofErr w:type="spellStart"/>
      <w:r w:rsidRPr="00AC513E">
        <w:rPr>
          <w:rFonts w:ascii="Times" w:hAnsi="Times" w:cs="Times"/>
          <w:i/>
          <w:iCs/>
          <w:sz w:val="18"/>
          <w:szCs w:val="18"/>
        </w:rPr>
        <w:t>Collège</w:t>
      </w:r>
      <w:proofErr w:type="spellEnd"/>
      <w:r w:rsidRPr="00AC513E">
        <w:rPr>
          <w:rFonts w:ascii="Times" w:hAnsi="Times" w:cs="Times"/>
          <w:i/>
          <w:iCs/>
          <w:sz w:val="18"/>
          <w:szCs w:val="18"/>
        </w:rPr>
        <w:t xml:space="preserve"> de France, 1978–1979</w:t>
      </w:r>
      <w:r w:rsidRPr="00AC513E">
        <w:rPr>
          <w:rFonts w:ascii="Times New Roman" w:hAnsi="Times New Roman" w:cs="Times New Roman"/>
          <w:sz w:val="18"/>
          <w:szCs w:val="18"/>
        </w:rPr>
        <w:t xml:space="preserve">, ed. Michel </w:t>
      </w:r>
      <w:proofErr w:type="spellStart"/>
      <w:r w:rsidRPr="00AC513E">
        <w:rPr>
          <w:rFonts w:ascii="Times New Roman" w:hAnsi="Times New Roman" w:cs="Times New Roman"/>
          <w:sz w:val="18"/>
          <w:szCs w:val="18"/>
        </w:rPr>
        <w:t>Senellart</w:t>
      </w:r>
      <w:proofErr w:type="spellEnd"/>
      <w:r w:rsidRPr="00AC513E">
        <w:rPr>
          <w:rFonts w:ascii="Times New Roman" w:hAnsi="Times New Roman" w:cs="Times New Roman"/>
          <w:sz w:val="18"/>
          <w:szCs w:val="18"/>
        </w:rPr>
        <w:t xml:space="preserve">, trans. Graham </w:t>
      </w:r>
      <w:proofErr w:type="spellStart"/>
      <w:r w:rsidRPr="00AC513E">
        <w:rPr>
          <w:rFonts w:ascii="Times New Roman" w:hAnsi="Times New Roman" w:cs="Times New Roman"/>
          <w:sz w:val="18"/>
          <w:szCs w:val="18"/>
        </w:rPr>
        <w:t>Burchell</w:t>
      </w:r>
      <w:proofErr w:type="spellEnd"/>
      <w:r w:rsidRPr="00AC513E">
        <w:rPr>
          <w:rFonts w:ascii="Times New Roman" w:hAnsi="Times New Roman" w:cs="Times New Roman"/>
          <w:sz w:val="18"/>
          <w:szCs w:val="18"/>
        </w:rPr>
        <w:t xml:space="preserve"> (London: Palgrave Macmillan, 2008), 51–73.</w:t>
      </w:r>
      <w:r w:rsidRPr="00AC513E">
        <w:rPr>
          <w:rFonts w:ascii="MS Mincho" w:eastAsia="MS Mincho" w:hAnsi="MS Mincho" w:cs="MS Mincho"/>
          <w:sz w:val="18"/>
          <w:szCs w:val="18"/>
        </w:rPr>
        <w:t> </w:t>
      </w:r>
      <w:r w:rsidRPr="00AC513E">
        <w:rPr>
          <w:rFonts w:ascii="Times New Roman" w:hAnsi="Times New Roman" w:cs="Times New Roman"/>
          <w:sz w:val="18"/>
          <w:szCs w:val="18"/>
        </w:rPr>
        <w:t xml:space="preserve">7 </w:t>
      </w:r>
      <w:proofErr w:type="spellStart"/>
      <w:r w:rsidRPr="00AC513E">
        <w:rPr>
          <w:rFonts w:ascii="Times New Roman" w:hAnsi="Times New Roman" w:cs="Times New Roman"/>
          <w:sz w:val="18"/>
          <w:szCs w:val="18"/>
        </w:rPr>
        <w:t>Feher</w:t>
      </w:r>
      <w:proofErr w:type="spellEnd"/>
      <w:r w:rsidRPr="00AC513E">
        <w:rPr>
          <w:rFonts w:ascii="Times New Roman" w:hAnsi="Times New Roman" w:cs="Times New Roman"/>
          <w:sz w:val="18"/>
          <w:szCs w:val="18"/>
        </w:rPr>
        <w:t>, “The Governed in Politics,” 12–27.</w:t>
      </w:r>
      <w:r w:rsidRPr="00AC513E">
        <w:rPr>
          <w:rFonts w:ascii="MS Mincho" w:eastAsia="MS Mincho" w:hAnsi="MS Mincho" w:cs="MS Mincho"/>
          <w:sz w:val="18"/>
          <w:szCs w:val="18"/>
        </w:rPr>
        <w:t> </w:t>
      </w:r>
      <w:r w:rsidRPr="00AC513E">
        <w:rPr>
          <w:rFonts w:ascii="Times New Roman" w:hAnsi="Times New Roman" w:cs="Times New Roman"/>
          <w:sz w:val="18"/>
          <w:szCs w:val="18"/>
        </w:rPr>
        <w:t>8 Ibid., 13.</w:t>
      </w:r>
      <w:r w:rsidRPr="00AC513E">
        <w:rPr>
          <w:rFonts w:ascii="MS Mincho" w:eastAsia="MS Mincho" w:hAnsi="MS Mincho" w:cs="MS Mincho"/>
          <w:sz w:val="18"/>
          <w:szCs w:val="18"/>
        </w:rPr>
        <w:t> </w:t>
      </w:r>
      <w:r w:rsidRPr="00AC513E">
        <w:rPr>
          <w:rFonts w:ascii="Times New Roman" w:hAnsi="Times New Roman" w:cs="Times New Roman"/>
          <w:sz w:val="18"/>
          <w:szCs w:val="18"/>
        </w:rPr>
        <w:t>9 “Regarding Terror: The RAF-Exhibition,” KW, Berlin, 2005.</w:t>
      </w:r>
      <w:r w:rsidRPr="00AC513E">
        <w:rPr>
          <w:rFonts w:ascii="MS Mincho" w:eastAsia="MS Mincho" w:hAnsi="MS Mincho" w:cs="MS Mincho"/>
          <w:sz w:val="18"/>
          <w:szCs w:val="18"/>
        </w:rPr>
        <w:t> </w:t>
      </w:r>
      <w:r w:rsidRPr="00AC513E">
        <w:rPr>
          <w:rFonts w:ascii="Times New Roman" w:hAnsi="Times New Roman" w:cs="Times New Roman"/>
          <w:sz w:val="18"/>
          <w:szCs w:val="18"/>
        </w:rPr>
        <w:t xml:space="preserve">10 Jean-Luc Nancy, introduction to </w:t>
      </w:r>
      <w:r w:rsidRPr="00AC513E">
        <w:rPr>
          <w:rFonts w:ascii="Times" w:hAnsi="Times" w:cs="Times"/>
          <w:i/>
          <w:iCs/>
          <w:sz w:val="18"/>
          <w:szCs w:val="18"/>
        </w:rPr>
        <w:t xml:space="preserve">Being Singular Plural </w:t>
      </w:r>
      <w:r w:rsidRPr="00AC513E">
        <w:rPr>
          <w:rFonts w:ascii="Times New Roman" w:hAnsi="Times New Roman" w:cs="Times New Roman"/>
          <w:sz w:val="18"/>
          <w:szCs w:val="18"/>
        </w:rPr>
        <w:t xml:space="preserve">(Stanford, CA: Stanford University Press, 1996), III–IV. </w:t>
      </w:r>
    </w:p>
    <w:p w14:paraId="7ABFBAE6" w14:textId="77777777" w:rsidR="001A2001" w:rsidRPr="00AC513E" w:rsidRDefault="00AC513E">
      <w:pPr>
        <w:rPr>
          <w:sz w:val="18"/>
          <w:szCs w:val="18"/>
        </w:rPr>
      </w:pPr>
    </w:p>
    <w:sectPr w:rsidR="001A2001" w:rsidRPr="00AC513E" w:rsidSect="0074001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13E"/>
    <w:rsid w:val="00912EA2"/>
    <w:rsid w:val="00AC513E"/>
    <w:rsid w:val="00B1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CD4B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4603</Words>
  <Characters>26239</Characters>
  <Application>Microsoft Macintosh Word</Application>
  <DocSecurity>0</DocSecurity>
  <Lines>218</Lines>
  <Paragraphs>61</Paragraphs>
  <ScaleCrop>false</ScaleCrop>
  <LinksUpToDate>false</LinksUpToDate>
  <CharactersWithSpaces>30781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Sames</dc:creator>
  <cp:keywords/>
  <dc:description/>
  <cp:lastModifiedBy>Lucy Sames</cp:lastModifiedBy>
  <cp:revision>1</cp:revision>
  <dcterms:created xsi:type="dcterms:W3CDTF">2016-11-17T18:11:00Z</dcterms:created>
  <dcterms:modified xsi:type="dcterms:W3CDTF">2016-11-17T18:14:00Z</dcterms:modified>
</cp:coreProperties>
</file>