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36F7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 xml:space="preserve">Title: </w:t>
      </w:r>
      <w:r w:rsidR="00231E6E" w:rsidRPr="0038510C">
        <w:rPr>
          <w:rFonts w:ascii="Times New Roman" w:hAnsi="Times New Roman" w:cs="Times New Roman"/>
          <w:sz w:val="28"/>
          <w:szCs w:val="28"/>
        </w:rPr>
        <w:t xml:space="preserve">Action preparation modulates sensory perception in </w:t>
      </w:r>
      <w:r w:rsidR="00EE433C" w:rsidRPr="0038510C">
        <w:rPr>
          <w:rFonts w:ascii="Times New Roman" w:hAnsi="Times New Roman" w:cs="Times New Roman"/>
          <w:sz w:val="28"/>
          <w:szCs w:val="28"/>
        </w:rPr>
        <w:t xml:space="preserve">unseen </w:t>
      </w:r>
      <w:r w:rsidR="00231E6E" w:rsidRPr="0038510C">
        <w:rPr>
          <w:rFonts w:ascii="Times New Roman" w:hAnsi="Times New Roman" w:cs="Times New Roman"/>
          <w:sz w:val="28"/>
          <w:szCs w:val="28"/>
        </w:rPr>
        <w:t>personal space:</w:t>
      </w:r>
      <w:r w:rsidR="00D54FF0" w:rsidRPr="0038510C">
        <w:rPr>
          <w:rFonts w:ascii="Times New Roman" w:hAnsi="Times New Roman" w:cs="Times New Roman"/>
          <w:sz w:val="28"/>
          <w:szCs w:val="28"/>
        </w:rPr>
        <w:t xml:space="preserve"> a</w:t>
      </w:r>
      <w:r w:rsidR="0053356F" w:rsidRPr="0038510C">
        <w:rPr>
          <w:rFonts w:ascii="Times New Roman" w:hAnsi="Times New Roman" w:cs="Times New Roman"/>
          <w:sz w:val="28"/>
          <w:szCs w:val="28"/>
        </w:rPr>
        <w:t>n electrophysiological investigation</w:t>
      </w:r>
      <w:r w:rsidR="00684540" w:rsidRPr="0038510C">
        <w:rPr>
          <w:rFonts w:ascii="Times New Roman" w:hAnsi="Times New Roman" w:cs="Times New Roman"/>
          <w:sz w:val="28"/>
          <w:szCs w:val="28"/>
        </w:rPr>
        <w:t>.</w:t>
      </w:r>
    </w:p>
    <w:p w:rsidR="003C0710" w:rsidRPr="0038510C" w:rsidRDefault="003C0710" w:rsidP="003C0710">
      <w:pPr>
        <w:spacing w:after="0" w:line="360" w:lineRule="auto"/>
        <w:rPr>
          <w:rFonts w:ascii="Times New Roman" w:hAnsi="Times New Roman" w:cs="Times New Roman"/>
          <w:sz w:val="28"/>
          <w:szCs w:val="28"/>
        </w:rPr>
      </w:pPr>
    </w:p>
    <w:p w:rsidR="003C0710" w:rsidRPr="0038510C" w:rsidRDefault="003C0710" w:rsidP="003C0710">
      <w:pPr>
        <w:spacing w:after="0" w:line="360" w:lineRule="auto"/>
        <w:rPr>
          <w:rFonts w:ascii="Times New Roman" w:hAnsi="Times New Roman" w:cs="Times New Roman"/>
          <w:sz w:val="28"/>
          <w:szCs w:val="28"/>
          <w:lang w:val="nl-NL"/>
        </w:rPr>
      </w:pPr>
      <w:r w:rsidRPr="0038510C">
        <w:rPr>
          <w:rFonts w:ascii="Times New Roman" w:hAnsi="Times New Roman" w:cs="Times New Roman"/>
          <w:sz w:val="28"/>
          <w:szCs w:val="28"/>
          <w:lang w:val="nl-NL"/>
        </w:rPr>
        <w:t>Xavier E. Job</w:t>
      </w:r>
      <w:r w:rsidRPr="0038510C">
        <w:rPr>
          <w:rFonts w:ascii="Times New Roman" w:hAnsi="Times New Roman" w:cs="Times New Roman"/>
          <w:kern w:val="28"/>
          <w:sz w:val="28"/>
          <w:szCs w:val="28"/>
          <w:vertAlign w:val="superscript"/>
          <w:lang w:val="nl-NL"/>
        </w:rPr>
        <w:t>1</w:t>
      </w:r>
      <w:r w:rsidRPr="0038510C">
        <w:rPr>
          <w:rFonts w:ascii="Times New Roman" w:hAnsi="Times New Roman" w:cs="Times New Roman"/>
          <w:sz w:val="28"/>
          <w:szCs w:val="28"/>
          <w:lang w:val="nl-NL"/>
        </w:rPr>
        <w:t>, Jan W. de Fockert</w:t>
      </w:r>
      <w:r w:rsidRPr="0038510C">
        <w:rPr>
          <w:rFonts w:ascii="Times New Roman" w:hAnsi="Times New Roman" w:cs="Times New Roman"/>
          <w:kern w:val="28"/>
          <w:sz w:val="28"/>
          <w:szCs w:val="28"/>
          <w:vertAlign w:val="superscript"/>
          <w:lang w:val="nl-NL"/>
        </w:rPr>
        <w:t>1</w:t>
      </w:r>
      <w:r w:rsidRPr="0038510C">
        <w:rPr>
          <w:rFonts w:ascii="Times New Roman" w:hAnsi="Times New Roman" w:cs="Times New Roman"/>
          <w:sz w:val="28"/>
          <w:szCs w:val="28"/>
          <w:lang w:val="nl-NL"/>
        </w:rPr>
        <w:t>, José van Velzen</w:t>
      </w:r>
      <w:r w:rsidRPr="0038510C">
        <w:rPr>
          <w:rFonts w:ascii="Times New Roman" w:hAnsi="Times New Roman" w:cs="Times New Roman"/>
          <w:kern w:val="28"/>
          <w:sz w:val="28"/>
          <w:szCs w:val="28"/>
          <w:vertAlign w:val="superscript"/>
          <w:lang w:val="nl-NL"/>
        </w:rPr>
        <w:t>1</w:t>
      </w:r>
    </w:p>
    <w:p w:rsidR="003C0710" w:rsidRPr="0038510C" w:rsidRDefault="003C0710" w:rsidP="003C0710">
      <w:pPr>
        <w:spacing w:after="0" w:line="360" w:lineRule="auto"/>
        <w:rPr>
          <w:rFonts w:ascii="Times New Roman" w:hAnsi="Times New Roman" w:cs="Times New Roman"/>
          <w:sz w:val="28"/>
          <w:szCs w:val="28"/>
          <w:lang w:val="nl-NL"/>
        </w:rPr>
      </w:pP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Affiliation:</w:t>
      </w:r>
    </w:p>
    <w:p w:rsidR="003C0710" w:rsidRPr="0038510C" w:rsidRDefault="003C0710" w:rsidP="003C0710">
      <w:pPr>
        <w:spacing w:after="0" w:line="360" w:lineRule="auto"/>
        <w:rPr>
          <w:rFonts w:ascii="Times New Roman" w:hAnsi="Times New Roman" w:cs="Times New Roman"/>
          <w:sz w:val="28"/>
          <w:szCs w:val="28"/>
        </w:rPr>
      </w:pPr>
      <w:r w:rsidRPr="00F32E01">
        <w:rPr>
          <w:rFonts w:ascii="Times New Roman" w:hAnsi="Times New Roman" w:cs="Times New Roman"/>
          <w:kern w:val="28"/>
          <w:sz w:val="28"/>
          <w:szCs w:val="28"/>
          <w:vertAlign w:val="superscript"/>
        </w:rPr>
        <w:t>1</w:t>
      </w:r>
      <w:r w:rsidRPr="0038510C">
        <w:rPr>
          <w:rFonts w:ascii="Times New Roman" w:hAnsi="Times New Roman" w:cs="Times New Roman"/>
          <w:sz w:val="28"/>
          <w:szCs w:val="28"/>
        </w:rPr>
        <w:t>Department of Psychology</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Goldsmiths, University of London</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Lewisham Way</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New Cross</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London</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SE14 6NW</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United Kingdom</w:t>
      </w:r>
    </w:p>
    <w:p w:rsidR="00A20118" w:rsidRPr="0038510C" w:rsidRDefault="00A20118" w:rsidP="003C0710">
      <w:pPr>
        <w:spacing w:after="0" w:line="360" w:lineRule="auto"/>
        <w:rPr>
          <w:rFonts w:ascii="Times New Roman" w:hAnsi="Times New Roman" w:cs="Times New Roman"/>
          <w:sz w:val="28"/>
          <w:szCs w:val="28"/>
        </w:rPr>
      </w:pP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e-mail</w:t>
      </w:r>
      <w:r w:rsidR="00A20118" w:rsidRPr="0038510C">
        <w:rPr>
          <w:rFonts w:ascii="Times New Roman" w:hAnsi="Times New Roman" w:cs="Times New Roman"/>
          <w:sz w:val="28"/>
          <w:szCs w:val="28"/>
        </w:rPr>
        <w:t>s</w:t>
      </w:r>
      <w:r w:rsidRPr="0038510C">
        <w:rPr>
          <w:rFonts w:ascii="Times New Roman" w:hAnsi="Times New Roman" w:cs="Times New Roman"/>
          <w:sz w:val="28"/>
          <w:szCs w:val="28"/>
        </w:rPr>
        <w:t xml:space="preserve">: </w:t>
      </w:r>
      <w:r w:rsidR="00A20118" w:rsidRPr="0038510C">
        <w:rPr>
          <w:rFonts w:ascii="Times New Roman" w:hAnsi="Times New Roman" w:cs="Times New Roman"/>
          <w:sz w:val="28"/>
          <w:szCs w:val="28"/>
        </w:rPr>
        <w:tab/>
      </w:r>
      <w:r w:rsidR="00407EDD" w:rsidRPr="0038510C">
        <w:rPr>
          <w:rFonts w:ascii="Times New Roman" w:hAnsi="Times New Roman" w:cs="Times New Roman"/>
          <w:sz w:val="28"/>
          <w:szCs w:val="28"/>
        </w:rPr>
        <w:t>x.job</w:t>
      </w:r>
      <w:r w:rsidRPr="0038510C">
        <w:rPr>
          <w:rFonts w:ascii="Times New Roman" w:hAnsi="Times New Roman" w:cs="Times New Roman"/>
          <w:sz w:val="28"/>
          <w:szCs w:val="28"/>
        </w:rPr>
        <w:t>@gold.ac.uk</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ab/>
      </w:r>
      <w:r w:rsidR="00A20118" w:rsidRPr="0038510C">
        <w:rPr>
          <w:rFonts w:ascii="Times New Roman" w:hAnsi="Times New Roman" w:cs="Times New Roman"/>
          <w:sz w:val="28"/>
          <w:szCs w:val="28"/>
        </w:rPr>
        <w:tab/>
      </w:r>
      <w:r w:rsidRPr="0038510C">
        <w:rPr>
          <w:rFonts w:ascii="Times New Roman" w:hAnsi="Times New Roman" w:cs="Times New Roman"/>
          <w:sz w:val="28"/>
          <w:szCs w:val="28"/>
        </w:rPr>
        <w:t>j.de-fockert@gold.ac.uk</w:t>
      </w: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ab/>
      </w:r>
      <w:r w:rsidR="00A20118" w:rsidRPr="0038510C">
        <w:rPr>
          <w:rFonts w:ascii="Times New Roman" w:hAnsi="Times New Roman" w:cs="Times New Roman"/>
          <w:sz w:val="28"/>
          <w:szCs w:val="28"/>
        </w:rPr>
        <w:tab/>
      </w:r>
      <w:r w:rsidRPr="0038510C">
        <w:rPr>
          <w:rFonts w:ascii="Times New Roman" w:hAnsi="Times New Roman" w:cs="Times New Roman"/>
          <w:sz w:val="28"/>
          <w:szCs w:val="28"/>
        </w:rPr>
        <w:t>j.vanvelzen@gold.ac.uk</w:t>
      </w:r>
    </w:p>
    <w:p w:rsidR="003C0710" w:rsidRPr="0038510C" w:rsidRDefault="003C0710" w:rsidP="003C0710">
      <w:pPr>
        <w:spacing w:after="0" w:line="360" w:lineRule="auto"/>
        <w:rPr>
          <w:rFonts w:ascii="Times New Roman" w:hAnsi="Times New Roman" w:cs="Times New Roman"/>
          <w:sz w:val="28"/>
          <w:szCs w:val="28"/>
        </w:rPr>
      </w:pPr>
    </w:p>
    <w:p w:rsidR="003C0710" w:rsidRPr="0038510C" w:rsidRDefault="003C0710" w:rsidP="003C0710">
      <w:pPr>
        <w:spacing w:after="0" w:line="360" w:lineRule="auto"/>
        <w:rPr>
          <w:rFonts w:ascii="Times New Roman" w:hAnsi="Times New Roman" w:cs="Times New Roman"/>
          <w:sz w:val="28"/>
          <w:szCs w:val="28"/>
        </w:rPr>
      </w:pPr>
      <w:r w:rsidRPr="0038510C">
        <w:rPr>
          <w:rFonts w:ascii="Times New Roman" w:hAnsi="Times New Roman" w:cs="Times New Roman"/>
          <w:sz w:val="28"/>
          <w:szCs w:val="28"/>
        </w:rPr>
        <w:t>Corresponding author:</w:t>
      </w:r>
    </w:p>
    <w:p w:rsidR="003C0710" w:rsidRPr="00F32E01" w:rsidRDefault="003C0710" w:rsidP="003C0710">
      <w:pPr>
        <w:spacing w:after="0" w:line="360" w:lineRule="auto"/>
        <w:rPr>
          <w:rFonts w:ascii="Times New Roman" w:hAnsi="Times New Roman" w:cs="Times New Roman"/>
          <w:sz w:val="28"/>
          <w:szCs w:val="28"/>
          <w:lang w:val="nl-NL"/>
        </w:rPr>
      </w:pPr>
      <w:r w:rsidRPr="00F32E01">
        <w:rPr>
          <w:rFonts w:ascii="Times New Roman" w:hAnsi="Times New Roman" w:cs="Times New Roman"/>
          <w:sz w:val="28"/>
          <w:szCs w:val="28"/>
          <w:lang w:val="nl-NL"/>
        </w:rPr>
        <w:t>José van Velzen</w:t>
      </w:r>
    </w:p>
    <w:p w:rsidR="00A20118" w:rsidRPr="00F32E01" w:rsidRDefault="00A20118" w:rsidP="003C0710">
      <w:pPr>
        <w:spacing w:after="0" w:line="360" w:lineRule="auto"/>
        <w:rPr>
          <w:rFonts w:ascii="Times New Roman" w:hAnsi="Times New Roman" w:cs="Times New Roman"/>
          <w:sz w:val="28"/>
          <w:szCs w:val="28"/>
          <w:lang w:val="nl-NL"/>
        </w:rPr>
      </w:pPr>
      <w:r w:rsidRPr="00F32E01">
        <w:rPr>
          <w:rFonts w:ascii="Times New Roman" w:hAnsi="Times New Roman" w:cs="Times New Roman"/>
          <w:sz w:val="28"/>
          <w:szCs w:val="28"/>
          <w:lang w:val="nl-NL"/>
        </w:rPr>
        <w:t>e-mail: j.vanvelzen@gold.ac.uk</w:t>
      </w:r>
    </w:p>
    <w:p w:rsidR="009F0D5A" w:rsidRPr="0038510C" w:rsidRDefault="003C0710" w:rsidP="00625F36">
      <w:pPr>
        <w:pStyle w:val="MediumList2-Accent4"/>
        <w:spacing w:line="360" w:lineRule="auto"/>
        <w:ind w:left="0"/>
        <w:jc w:val="center"/>
        <w:rPr>
          <w:rFonts w:ascii="Times New Roman" w:hAnsi="Times New Roman" w:cs="Times New Roman"/>
          <w:b/>
          <w:sz w:val="24"/>
          <w:szCs w:val="24"/>
        </w:rPr>
      </w:pPr>
      <w:r w:rsidRPr="00F61A4B">
        <w:rPr>
          <w:rFonts w:ascii="Times New Roman" w:hAnsi="Times New Roman" w:cs="Times New Roman"/>
          <w:b/>
          <w:sz w:val="24"/>
          <w:szCs w:val="24"/>
        </w:rPr>
        <w:br w:type="page"/>
      </w:r>
      <w:r w:rsidR="00FD48AF" w:rsidRPr="0038510C">
        <w:rPr>
          <w:rFonts w:ascii="Times New Roman" w:hAnsi="Times New Roman" w:cs="Times New Roman"/>
          <w:b/>
          <w:sz w:val="24"/>
          <w:szCs w:val="24"/>
        </w:rPr>
        <w:lastRenderedPageBreak/>
        <w:t>Abstract</w:t>
      </w:r>
    </w:p>
    <w:p w:rsidR="009F0D5A" w:rsidRPr="0038510C" w:rsidRDefault="00312735" w:rsidP="00B34B46">
      <w:pPr>
        <w:pStyle w:val="MediumList2-Accent4"/>
        <w:spacing w:line="360" w:lineRule="auto"/>
        <w:ind w:left="0"/>
        <w:jc w:val="both"/>
        <w:rPr>
          <w:rFonts w:ascii="Times New Roman" w:hAnsi="Times New Roman" w:cs="Times New Roman"/>
          <w:sz w:val="24"/>
          <w:szCs w:val="24"/>
        </w:rPr>
      </w:pPr>
      <w:r w:rsidRPr="0038510C">
        <w:rPr>
          <w:rFonts w:ascii="Times New Roman" w:hAnsi="Times New Roman" w:cs="Times New Roman"/>
          <w:sz w:val="24"/>
          <w:szCs w:val="24"/>
        </w:rPr>
        <w:t xml:space="preserve">Behavioural and electrophysiological evidence </w:t>
      </w:r>
      <w:r w:rsidR="00D2222A" w:rsidRPr="0038510C">
        <w:rPr>
          <w:rFonts w:ascii="Times New Roman" w:hAnsi="Times New Roman" w:cs="Times New Roman"/>
          <w:sz w:val="24"/>
          <w:szCs w:val="24"/>
        </w:rPr>
        <w:t>has demonstrated</w:t>
      </w:r>
      <w:r w:rsidRPr="0038510C">
        <w:rPr>
          <w:rFonts w:ascii="Times New Roman" w:hAnsi="Times New Roman" w:cs="Times New Roman"/>
          <w:sz w:val="24"/>
          <w:szCs w:val="24"/>
        </w:rPr>
        <w:t xml:space="preserve"> that </w:t>
      </w:r>
      <w:r w:rsidR="00F97DAE" w:rsidRPr="0038510C">
        <w:rPr>
          <w:rFonts w:ascii="Times New Roman" w:hAnsi="Times New Roman" w:cs="Times New Roman"/>
          <w:sz w:val="24"/>
          <w:szCs w:val="24"/>
        </w:rPr>
        <w:t xml:space="preserve">preparation of </w:t>
      </w:r>
      <w:r w:rsidRPr="0038510C">
        <w:rPr>
          <w:rFonts w:ascii="Times New Roman" w:hAnsi="Times New Roman" w:cs="Times New Roman"/>
          <w:sz w:val="24"/>
          <w:szCs w:val="24"/>
        </w:rPr>
        <w:t>goal-</w:t>
      </w:r>
      <w:r w:rsidR="000D0F19" w:rsidRPr="0038510C">
        <w:rPr>
          <w:rFonts w:ascii="Times New Roman" w:hAnsi="Times New Roman" w:cs="Times New Roman"/>
          <w:sz w:val="24"/>
          <w:szCs w:val="24"/>
        </w:rPr>
        <w:t>directed actions modulates</w:t>
      </w:r>
      <w:r w:rsidR="00F97DAE" w:rsidRPr="0038510C">
        <w:rPr>
          <w:rFonts w:ascii="Times New Roman" w:hAnsi="Times New Roman" w:cs="Times New Roman"/>
          <w:sz w:val="24"/>
          <w:szCs w:val="24"/>
        </w:rPr>
        <w:t xml:space="preserve"> sensory perception at the goal </w:t>
      </w:r>
      <w:r w:rsidR="00D00755" w:rsidRPr="0038510C">
        <w:rPr>
          <w:rFonts w:ascii="Times New Roman" w:hAnsi="Times New Roman" w:cs="Times New Roman"/>
          <w:sz w:val="24"/>
          <w:szCs w:val="24"/>
        </w:rPr>
        <w:t xml:space="preserve">location </w:t>
      </w:r>
      <w:r w:rsidR="00F97DAE" w:rsidRPr="0038510C">
        <w:rPr>
          <w:rFonts w:ascii="Times New Roman" w:hAnsi="Times New Roman" w:cs="Times New Roman"/>
          <w:sz w:val="24"/>
          <w:szCs w:val="24"/>
        </w:rPr>
        <w:t>before the action is executed.</w:t>
      </w:r>
      <w:r w:rsidR="003B5264" w:rsidRPr="0038510C">
        <w:rPr>
          <w:rFonts w:ascii="Times New Roman" w:hAnsi="Times New Roman" w:cs="Times New Roman"/>
          <w:sz w:val="24"/>
          <w:szCs w:val="24"/>
        </w:rPr>
        <w:t xml:space="preserve"> However</w:t>
      </w:r>
      <w:r w:rsidRPr="0038510C">
        <w:rPr>
          <w:rFonts w:ascii="Times New Roman" w:hAnsi="Times New Roman" w:cs="Times New Roman"/>
          <w:sz w:val="24"/>
          <w:szCs w:val="24"/>
        </w:rPr>
        <w:t>,</w:t>
      </w:r>
      <w:r w:rsidR="003B5264" w:rsidRPr="0038510C">
        <w:rPr>
          <w:rFonts w:ascii="Times New Roman" w:hAnsi="Times New Roman" w:cs="Times New Roman"/>
          <w:sz w:val="24"/>
          <w:szCs w:val="24"/>
        </w:rPr>
        <w:t xml:space="preserve"> previous </w:t>
      </w:r>
      <w:r w:rsidR="00E431F9" w:rsidRPr="0038510C">
        <w:rPr>
          <w:rFonts w:ascii="Times New Roman" w:hAnsi="Times New Roman" w:cs="Times New Roman"/>
          <w:sz w:val="24"/>
          <w:szCs w:val="24"/>
        </w:rPr>
        <w:t>studies have</w:t>
      </w:r>
      <w:r w:rsidR="003B5264" w:rsidRPr="0038510C">
        <w:rPr>
          <w:rFonts w:ascii="Times New Roman" w:hAnsi="Times New Roman" w:cs="Times New Roman"/>
          <w:sz w:val="24"/>
          <w:szCs w:val="24"/>
        </w:rPr>
        <w:t xml:space="preserve"> focused on </w:t>
      </w:r>
      <w:r w:rsidR="00D53F8C" w:rsidRPr="0038510C">
        <w:rPr>
          <w:rFonts w:ascii="Times New Roman" w:hAnsi="Times New Roman" w:cs="Times New Roman"/>
          <w:sz w:val="24"/>
          <w:szCs w:val="24"/>
        </w:rPr>
        <w:t>sensory</w:t>
      </w:r>
      <w:r w:rsidR="003B5264" w:rsidRPr="0038510C">
        <w:rPr>
          <w:rFonts w:ascii="Times New Roman" w:hAnsi="Times New Roman" w:cs="Times New Roman"/>
          <w:sz w:val="24"/>
          <w:szCs w:val="24"/>
        </w:rPr>
        <w:t xml:space="preserve"> perception in areas of peripersonal space. </w:t>
      </w:r>
      <w:r w:rsidR="00E431F9" w:rsidRPr="0038510C">
        <w:rPr>
          <w:rFonts w:ascii="Times New Roman" w:hAnsi="Times New Roman" w:cs="Times New Roman"/>
          <w:sz w:val="24"/>
          <w:szCs w:val="24"/>
        </w:rPr>
        <w:t>The present study investigated</w:t>
      </w:r>
      <w:r w:rsidR="000D0F19" w:rsidRPr="0038510C">
        <w:rPr>
          <w:rFonts w:ascii="Times New Roman" w:hAnsi="Times New Roman" w:cs="Times New Roman"/>
          <w:sz w:val="24"/>
          <w:szCs w:val="24"/>
        </w:rPr>
        <w:t xml:space="preserve"> </w:t>
      </w:r>
      <w:r w:rsidR="00385EFD" w:rsidRPr="0038510C">
        <w:rPr>
          <w:rFonts w:ascii="Times New Roman" w:hAnsi="Times New Roman" w:cs="Times New Roman"/>
          <w:sz w:val="24"/>
          <w:szCs w:val="24"/>
        </w:rPr>
        <w:t xml:space="preserve">visual and tactile </w:t>
      </w:r>
      <w:r w:rsidR="000D0F19" w:rsidRPr="0038510C">
        <w:rPr>
          <w:rFonts w:ascii="Times New Roman" w:hAnsi="Times New Roman" w:cs="Times New Roman"/>
          <w:sz w:val="24"/>
          <w:szCs w:val="24"/>
        </w:rPr>
        <w:t xml:space="preserve">sensory processing at the goal location of upcoming movements </w:t>
      </w:r>
      <w:r w:rsidR="00E431F9" w:rsidRPr="0038510C">
        <w:rPr>
          <w:rFonts w:ascii="Times New Roman" w:hAnsi="Times New Roman" w:cs="Times New Roman"/>
          <w:sz w:val="24"/>
          <w:szCs w:val="24"/>
        </w:rPr>
        <w:t xml:space="preserve">towards </w:t>
      </w:r>
      <w:r w:rsidR="005E3CA1" w:rsidRPr="0038510C">
        <w:rPr>
          <w:rFonts w:ascii="Times New Roman" w:hAnsi="Times New Roman" w:cs="Times New Roman"/>
          <w:sz w:val="24"/>
          <w:szCs w:val="24"/>
        </w:rPr>
        <w:t>the body</w:t>
      </w:r>
      <w:r w:rsidRPr="0038510C">
        <w:rPr>
          <w:rFonts w:ascii="Times New Roman" w:hAnsi="Times New Roman" w:cs="Times New Roman"/>
          <w:sz w:val="24"/>
          <w:szCs w:val="24"/>
        </w:rPr>
        <w:t>,</w:t>
      </w:r>
      <w:r w:rsidR="00D00755" w:rsidRPr="0038510C">
        <w:rPr>
          <w:rFonts w:ascii="Times New Roman" w:hAnsi="Times New Roman" w:cs="Times New Roman"/>
          <w:sz w:val="24"/>
          <w:szCs w:val="24"/>
        </w:rPr>
        <w:t xml:space="preserve"> much of which is not visible, as well as </w:t>
      </w:r>
      <w:r w:rsidR="008F4700" w:rsidRPr="0038510C">
        <w:rPr>
          <w:rFonts w:ascii="Times New Roman" w:hAnsi="Times New Roman" w:cs="Times New Roman"/>
          <w:sz w:val="24"/>
          <w:szCs w:val="24"/>
        </w:rPr>
        <w:t xml:space="preserve">visible </w:t>
      </w:r>
      <w:r w:rsidR="00D00755" w:rsidRPr="0038510C">
        <w:rPr>
          <w:rFonts w:ascii="Times New Roman" w:hAnsi="Times New Roman" w:cs="Times New Roman"/>
          <w:sz w:val="24"/>
          <w:szCs w:val="24"/>
        </w:rPr>
        <w:t>peripersonal space</w:t>
      </w:r>
      <w:r w:rsidRPr="0038510C">
        <w:rPr>
          <w:rFonts w:ascii="Times New Roman" w:hAnsi="Times New Roman" w:cs="Times New Roman"/>
          <w:sz w:val="24"/>
          <w:szCs w:val="24"/>
        </w:rPr>
        <w:t xml:space="preserve">. </w:t>
      </w:r>
      <w:r w:rsidR="000D0F19" w:rsidRPr="0038510C">
        <w:rPr>
          <w:rFonts w:ascii="Times New Roman" w:hAnsi="Times New Roman" w:cs="Times New Roman"/>
          <w:sz w:val="24"/>
          <w:szCs w:val="24"/>
        </w:rPr>
        <w:t xml:space="preserve">A motor task cued participants to </w:t>
      </w:r>
      <w:r w:rsidR="003B5264" w:rsidRPr="0038510C">
        <w:rPr>
          <w:rFonts w:ascii="Times New Roman" w:hAnsi="Times New Roman" w:cs="Times New Roman"/>
          <w:sz w:val="24"/>
          <w:szCs w:val="24"/>
        </w:rPr>
        <w:t>prepare a reaching movement toward</w:t>
      </w:r>
      <w:r w:rsidR="00684540" w:rsidRPr="0038510C">
        <w:rPr>
          <w:rFonts w:ascii="Times New Roman" w:hAnsi="Times New Roman" w:cs="Times New Roman"/>
          <w:sz w:val="24"/>
          <w:szCs w:val="24"/>
        </w:rPr>
        <w:t>s</w:t>
      </w:r>
      <w:r w:rsidR="000D0F19" w:rsidRPr="0038510C">
        <w:rPr>
          <w:rFonts w:ascii="Times New Roman" w:hAnsi="Times New Roman" w:cs="Times New Roman"/>
          <w:sz w:val="24"/>
          <w:szCs w:val="24"/>
        </w:rPr>
        <w:t xml:space="preserve"> goal</w:t>
      </w:r>
      <w:r w:rsidR="00D2222A" w:rsidRPr="0038510C">
        <w:rPr>
          <w:rFonts w:ascii="Times New Roman" w:hAnsi="Times New Roman" w:cs="Times New Roman"/>
          <w:sz w:val="24"/>
          <w:szCs w:val="24"/>
        </w:rPr>
        <w:t>s</w:t>
      </w:r>
      <w:r w:rsidR="000D0F19" w:rsidRPr="0038510C">
        <w:rPr>
          <w:rFonts w:ascii="Times New Roman" w:hAnsi="Times New Roman" w:cs="Times New Roman"/>
          <w:sz w:val="24"/>
          <w:szCs w:val="24"/>
        </w:rPr>
        <w:t xml:space="preserve"> either in peripersonal space in front of them or personal space on</w:t>
      </w:r>
      <w:r w:rsidR="00FE7235" w:rsidRPr="0038510C">
        <w:rPr>
          <w:rFonts w:ascii="Times New Roman" w:hAnsi="Times New Roman" w:cs="Times New Roman"/>
          <w:sz w:val="24"/>
          <w:szCs w:val="24"/>
        </w:rPr>
        <w:t xml:space="preserve"> the</w:t>
      </w:r>
      <w:r w:rsidR="000D0F19" w:rsidRPr="0038510C">
        <w:rPr>
          <w:rFonts w:ascii="Times New Roman" w:hAnsi="Times New Roman" w:cs="Times New Roman"/>
          <w:sz w:val="24"/>
          <w:szCs w:val="24"/>
        </w:rPr>
        <w:t xml:space="preserve"> upper chest</w:t>
      </w:r>
      <w:r w:rsidR="001A169F" w:rsidRPr="0038510C">
        <w:rPr>
          <w:rFonts w:ascii="Times New Roman" w:hAnsi="Times New Roman" w:cs="Times New Roman"/>
          <w:sz w:val="24"/>
          <w:szCs w:val="24"/>
        </w:rPr>
        <w:t xml:space="preserve">. In order to assess modulations of sensory perception during movement preparation, </w:t>
      </w:r>
      <w:r w:rsidR="00FE7235" w:rsidRPr="0038510C">
        <w:rPr>
          <w:rFonts w:ascii="Times New Roman" w:hAnsi="Times New Roman" w:cs="Times New Roman"/>
          <w:sz w:val="24"/>
          <w:szCs w:val="24"/>
        </w:rPr>
        <w:t xml:space="preserve">event-related potentials (ERPs) </w:t>
      </w:r>
      <w:r w:rsidR="001A169F" w:rsidRPr="0038510C">
        <w:rPr>
          <w:rFonts w:ascii="Times New Roman" w:hAnsi="Times New Roman" w:cs="Times New Roman"/>
          <w:sz w:val="24"/>
          <w:szCs w:val="24"/>
        </w:rPr>
        <w:t>were recorded in response to</w:t>
      </w:r>
      <w:r w:rsidR="00FE7235" w:rsidRPr="0038510C">
        <w:rPr>
          <w:rFonts w:ascii="Times New Roman" w:hAnsi="Times New Roman" w:cs="Times New Roman"/>
          <w:sz w:val="24"/>
          <w:szCs w:val="24"/>
        </w:rPr>
        <w:t xml:space="preserve"> </w:t>
      </w:r>
      <w:r w:rsidR="001A169F" w:rsidRPr="0038510C">
        <w:rPr>
          <w:rFonts w:ascii="Times New Roman" w:hAnsi="Times New Roman" w:cs="Times New Roman"/>
          <w:sz w:val="24"/>
          <w:szCs w:val="24"/>
        </w:rPr>
        <w:t xml:space="preserve">task-irrelevant visual and tactile </w:t>
      </w:r>
      <w:r w:rsidR="00FE7235" w:rsidRPr="0038510C">
        <w:rPr>
          <w:rFonts w:ascii="Times New Roman" w:hAnsi="Times New Roman" w:cs="Times New Roman"/>
          <w:sz w:val="24"/>
          <w:szCs w:val="24"/>
        </w:rPr>
        <w:t>probe stimuli</w:t>
      </w:r>
      <w:r w:rsidR="001A169F" w:rsidRPr="0038510C">
        <w:rPr>
          <w:rFonts w:ascii="Times New Roman" w:hAnsi="Times New Roman" w:cs="Times New Roman"/>
          <w:sz w:val="24"/>
          <w:szCs w:val="24"/>
        </w:rPr>
        <w:t xml:space="preserve"> delivered</w:t>
      </w:r>
      <w:r w:rsidR="00E431F9" w:rsidRPr="0038510C">
        <w:rPr>
          <w:rFonts w:ascii="Times New Roman" w:hAnsi="Times New Roman" w:cs="Times New Roman"/>
          <w:sz w:val="24"/>
          <w:szCs w:val="24"/>
        </w:rPr>
        <w:t xml:space="preserve"> randomly</w:t>
      </w:r>
      <w:r w:rsidR="001A169F" w:rsidRPr="0038510C">
        <w:rPr>
          <w:rFonts w:ascii="Times New Roman" w:hAnsi="Times New Roman" w:cs="Times New Roman"/>
          <w:sz w:val="24"/>
          <w:szCs w:val="24"/>
        </w:rPr>
        <w:t xml:space="preserve"> at</w:t>
      </w:r>
      <w:r w:rsidR="00E431F9" w:rsidRPr="0038510C">
        <w:rPr>
          <w:rFonts w:ascii="Times New Roman" w:hAnsi="Times New Roman" w:cs="Times New Roman"/>
          <w:sz w:val="24"/>
          <w:szCs w:val="24"/>
        </w:rPr>
        <w:t xml:space="preserve"> one of</w:t>
      </w:r>
      <w:r w:rsidR="001A169F" w:rsidRPr="0038510C">
        <w:rPr>
          <w:rFonts w:ascii="Times New Roman" w:hAnsi="Times New Roman" w:cs="Times New Roman"/>
          <w:sz w:val="24"/>
          <w:szCs w:val="24"/>
        </w:rPr>
        <w:t xml:space="preserve"> the goal location</w:t>
      </w:r>
      <w:r w:rsidR="00E431F9" w:rsidRPr="0038510C">
        <w:rPr>
          <w:rFonts w:ascii="Times New Roman" w:hAnsi="Times New Roman" w:cs="Times New Roman"/>
          <w:sz w:val="24"/>
          <w:szCs w:val="24"/>
        </w:rPr>
        <w:t>s</w:t>
      </w:r>
      <w:r w:rsidR="001A169F" w:rsidRPr="0038510C">
        <w:rPr>
          <w:rFonts w:ascii="Times New Roman" w:hAnsi="Times New Roman" w:cs="Times New Roman"/>
          <w:sz w:val="24"/>
          <w:szCs w:val="24"/>
        </w:rPr>
        <w:t xml:space="preserve"> of the movements. </w:t>
      </w:r>
      <w:r w:rsidR="00FE7235" w:rsidRPr="0038510C">
        <w:rPr>
          <w:rFonts w:ascii="Times New Roman" w:hAnsi="Times New Roman" w:cs="Times New Roman"/>
          <w:sz w:val="24"/>
          <w:szCs w:val="24"/>
        </w:rPr>
        <w:t>In line with previous neurophy</w:t>
      </w:r>
      <w:r w:rsidR="001A169F" w:rsidRPr="0038510C">
        <w:rPr>
          <w:rFonts w:ascii="Times New Roman" w:hAnsi="Times New Roman" w:cs="Times New Roman"/>
          <w:sz w:val="24"/>
          <w:szCs w:val="24"/>
        </w:rPr>
        <w:t>siological findings</w:t>
      </w:r>
      <w:r w:rsidR="00FE7235" w:rsidRPr="0038510C">
        <w:rPr>
          <w:rFonts w:ascii="Times New Roman" w:hAnsi="Times New Roman" w:cs="Times New Roman"/>
          <w:sz w:val="24"/>
          <w:szCs w:val="24"/>
        </w:rPr>
        <w:t>,</w:t>
      </w:r>
      <w:r w:rsidR="00353403" w:rsidRPr="0038510C">
        <w:rPr>
          <w:rFonts w:ascii="Times New Roman" w:hAnsi="Times New Roman" w:cs="Times New Roman"/>
          <w:sz w:val="24"/>
          <w:szCs w:val="24"/>
        </w:rPr>
        <w:t xml:space="preserve"> movement preparation modulated visual processing at the goal of a movement in peripersonal space. </w:t>
      </w:r>
      <w:r w:rsidR="00D53F8C" w:rsidRPr="0038510C">
        <w:rPr>
          <w:rFonts w:ascii="Times New Roman" w:hAnsi="Times New Roman" w:cs="Times New Roman"/>
          <w:sz w:val="24"/>
          <w:szCs w:val="24"/>
        </w:rPr>
        <w:t>M</w:t>
      </w:r>
      <w:r w:rsidR="00353403" w:rsidRPr="0038510C">
        <w:rPr>
          <w:rFonts w:ascii="Times New Roman" w:hAnsi="Times New Roman" w:cs="Times New Roman"/>
          <w:sz w:val="24"/>
          <w:szCs w:val="24"/>
        </w:rPr>
        <w:t>ovement preparation also modulated somatosens</w:t>
      </w:r>
      <w:r w:rsidR="003B5264" w:rsidRPr="0038510C">
        <w:rPr>
          <w:rFonts w:ascii="Times New Roman" w:hAnsi="Times New Roman" w:cs="Times New Roman"/>
          <w:sz w:val="24"/>
          <w:szCs w:val="24"/>
        </w:rPr>
        <w:t>ory processing at the</w:t>
      </w:r>
      <w:r w:rsidR="00353403" w:rsidRPr="0038510C">
        <w:rPr>
          <w:rFonts w:ascii="Times New Roman" w:hAnsi="Times New Roman" w:cs="Times New Roman"/>
          <w:sz w:val="24"/>
          <w:szCs w:val="24"/>
        </w:rPr>
        <w:t xml:space="preserve"> movement goal in personal space</w:t>
      </w:r>
      <w:r w:rsidR="00F96520" w:rsidRPr="0038510C">
        <w:rPr>
          <w:rFonts w:ascii="Times New Roman" w:hAnsi="Times New Roman" w:cs="Times New Roman"/>
          <w:sz w:val="24"/>
          <w:szCs w:val="24"/>
        </w:rPr>
        <w:t>.</w:t>
      </w:r>
      <w:r w:rsidR="00590989" w:rsidRPr="0038510C">
        <w:rPr>
          <w:rFonts w:ascii="Times New Roman" w:hAnsi="Times New Roman" w:cs="Times New Roman"/>
          <w:sz w:val="24"/>
          <w:szCs w:val="24"/>
        </w:rPr>
        <w:t xml:space="preserve"> </w:t>
      </w:r>
      <w:r w:rsidR="00562BB3" w:rsidRPr="0038510C">
        <w:rPr>
          <w:rFonts w:ascii="Times New Roman" w:hAnsi="Times New Roman" w:cs="Times New Roman"/>
          <w:sz w:val="24"/>
          <w:szCs w:val="24"/>
        </w:rPr>
        <w:t>The findings demonstrate</w:t>
      </w:r>
      <w:r w:rsidR="00590989" w:rsidRPr="0038510C">
        <w:rPr>
          <w:rFonts w:ascii="Times New Roman" w:hAnsi="Times New Roman" w:cs="Times New Roman"/>
          <w:sz w:val="24"/>
          <w:szCs w:val="24"/>
        </w:rPr>
        <w:t xml:space="preserve"> that</w:t>
      </w:r>
      <w:r w:rsidR="00562BB3" w:rsidRPr="0038510C">
        <w:rPr>
          <w:rFonts w:ascii="Times New Roman" w:hAnsi="Times New Roman" w:cs="Times New Roman"/>
          <w:sz w:val="24"/>
          <w:szCs w:val="24"/>
        </w:rPr>
        <w:t xml:space="preserve"> tactile perception</w:t>
      </w:r>
      <w:r w:rsidR="00B115EA" w:rsidRPr="0038510C">
        <w:rPr>
          <w:rFonts w:ascii="Times New Roman" w:hAnsi="Times New Roman" w:cs="Times New Roman"/>
          <w:sz w:val="24"/>
          <w:szCs w:val="24"/>
        </w:rPr>
        <w:t xml:space="preserve"> in person</w:t>
      </w:r>
      <w:r w:rsidR="00771678" w:rsidRPr="0038510C">
        <w:rPr>
          <w:rFonts w:ascii="Times New Roman" w:hAnsi="Times New Roman" w:cs="Times New Roman"/>
          <w:sz w:val="24"/>
          <w:szCs w:val="24"/>
        </w:rPr>
        <w:t xml:space="preserve">al space is subject to </w:t>
      </w:r>
      <w:r w:rsidR="00D53F8C" w:rsidRPr="0038510C">
        <w:rPr>
          <w:rFonts w:ascii="Times New Roman" w:hAnsi="Times New Roman" w:cs="Times New Roman"/>
          <w:sz w:val="24"/>
          <w:szCs w:val="24"/>
        </w:rPr>
        <w:t>similar</w:t>
      </w:r>
      <w:r w:rsidR="00B115EA" w:rsidRPr="0038510C">
        <w:rPr>
          <w:rFonts w:ascii="Times New Roman" w:hAnsi="Times New Roman" w:cs="Times New Roman"/>
          <w:sz w:val="24"/>
          <w:szCs w:val="24"/>
        </w:rPr>
        <w:t xml:space="preserve"> top-down sensory modulation</w:t>
      </w:r>
      <w:r w:rsidR="00771678" w:rsidRPr="0038510C">
        <w:rPr>
          <w:rFonts w:ascii="Times New Roman" w:hAnsi="Times New Roman" w:cs="Times New Roman"/>
          <w:sz w:val="24"/>
          <w:szCs w:val="24"/>
        </w:rPr>
        <w:t xml:space="preserve"> by motor preparation as</w:t>
      </w:r>
      <w:r w:rsidR="00B115EA" w:rsidRPr="0038510C">
        <w:rPr>
          <w:rFonts w:ascii="Times New Roman" w:hAnsi="Times New Roman" w:cs="Times New Roman"/>
          <w:sz w:val="24"/>
          <w:szCs w:val="24"/>
        </w:rPr>
        <w:t xml:space="preserve"> observed for visual stimuli presented in peripersonal space</w:t>
      </w:r>
      <w:r w:rsidR="00771678" w:rsidRPr="0038510C">
        <w:rPr>
          <w:rFonts w:ascii="Times New Roman" w:hAnsi="Times New Roman" w:cs="Times New Roman"/>
          <w:sz w:val="24"/>
          <w:szCs w:val="24"/>
        </w:rPr>
        <w:t xml:space="preserve">. </w:t>
      </w:r>
      <w:r w:rsidR="00E431F9" w:rsidRPr="0038510C">
        <w:rPr>
          <w:rFonts w:ascii="Times New Roman" w:hAnsi="Times New Roman" w:cs="Times New Roman"/>
          <w:sz w:val="24"/>
          <w:szCs w:val="24"/>
        </w:rPr>
        <w:t>These findings show for the first time that</w:t>
      </w:r>
      <w:r w:rsidR="003B5264" w:rsidRPr="0038510C">
        <w:rPr>
          <w:rFonts w:ascii="Times New Roman" w:hAnsi="Times New Roman" w:cs="Times New Roman"/>
          <w:sz w:val="24"/>
          <w:szCs w:val="24"/>
        </w:rPr>
        <w:t xml:space="preserve"> </w:t>
      </w:r>
      <w:r w:rsidR="00D94A1B" w:rsidRPr="0038510C">
        <w:rPr>
          <w:rFonts w:ascii="Times New Roman" w:hAnsi="Times New Roman" w:cs="Times New Roman"/>
          <w:sz w:val="24"/>
          <w:szCs w:val="24"/>
        </w:rPr>
        <w:t>the principles and mechanisms underlying adaptive modulation of sensory processing in the context of action</w:t>
      </w:r>
      <w:r w:rsidR="00E431F9" w:rsidRPr="0038510C">
        <w:rPr>
          <w:rFonts w:ascii="Times New Roman" w:hAnsi="Times New Roman" w:cs="Times New Roman"/>
          <w:sz w:val="24"/>
          <w:szCs w:val="24"/>
        </w:rPr>
        <w:t xml:space="preserve"> </w:t>
      </w:r>
      <w:r w:rsidR="00D94A1B" w:rsidRPr="0038510C">
        <w:rPr>
          <w:rFonts w:ascii="Times New Roman" w:hAnsi="Times New Roman" w:cs="Times New Roman"/>
          <w:sz w:val="24"/>
          <w:szCs w:val="24"/>
        </w:rPr>
        <w:t>extend</w:t>
      </w:r>
      <w:r w:rsidR="00E431F9" w:rsidRPr="0038510C">
        <w:rPr>
          <w:rFonts w:ascii="Times New Roman" w:hAnsi="Times New Roman" w:cs="Times New Roman"/>
          <w:sz w:val="24"/>
          <w:szCs w:val="24"/>
        </w:rPr>
        <w:t xml:space="preserve"> </w:t>
      </w:r>
      <w:r w:rsidR="00D94A1B" w:rsidRPr="0038510C">
        <w:rPr>
          <w:rFonts w:ascii="Times New Roman" w:hAnsi="Times New Roman" w:cs="Times New Roman"/>
          <w:sz w:val="24"/>
          <w:szCs w:val="24"/>
        </w:rPr>
        <w:t>to</w:t>
      </w:r>
      <w:r w:rsidR="00E431F9" w:rsidRPr="0038510C">
        <w:rPr>
          <w:rFonts w:ascii="Times New Roman" w:hAnsi="Times New Roman" w:cs="Times New Roman"/>
          <w:sz w:val="24"/>
          <w:szCs w:val="24"/>
        </w:rPr>
        <w:t xml:space="preserve"> </w:t>
      </w:r>
      <w:r w:rsidR="00D94A1B" w:rsidRPr="0038510C">
        <w:rPr>
          <w:rFonts w:ascii="Times New Roman" w:hAnsi="Times New Roman" w:cs="Times New Roman"/>
          <w:sz w:val="24"/>
          <w:szCs w:val="24"/>
        </w:rPr>
        <w:t xml:space="preserve">tactile perception in unseen </w:t>
      </w:r>
      <w:r w:rsidR="00E431F9" w:rsidRPr="0038510C">
        <w:rPr>
          <w:rFonts w:ascii="Times New Roman" w:hAnsi="Times New Roman" w:cs="Times New Roman"/>
          <w:sz w:val="24"/>
          <w:szCs w:val="24"/>
        </w:rPr>
        <w:t>personal space.</w:t>
      </w:r>
    </w:p>
    <w:p w:rsidR="00B34B46" w:rsidRPr="0038510C" w:rsidRDefault="00684540" w:rsidP="00D37AAC">
      <w:pPr>
        <w:pStyle w:val="MediumList2-Accent4"/>
        <w:spacing w:line="360" w:lineRule="auto"/>
        <w:ind w:left="0"/>
        <w:rPr>
          <w:rFonts w:ascii="Times New Roman" w:hAnsi="Times New Roman" w:cs="Times New Roman"/>
          <w:sz w:val="24"/>
          <w:szCs w:val="24"/>
        </w:rPr>
      </w:pPr>
      <w:r w:rsidRPr="0038510C">
        <w:rPr>
          <w:rFonts w:ascii="Times New Roman" w:hAnsi="Times New Roman" w:cs="Times New Roman"/>
          <w:b/>
          <w:sz w:val="24"/>
          <w:szCs w:val="24"/>
        </w:rPr>
        <w:t xml:space="preserve">Keywords: </w:t>
      </w:r>
      <w:r w:rsidRPr="0038510C">
        <w:rPr>
          <w:rFonts w:ascii="Times New Roman" w:hAnsi="Times New Roman" w:cs="Times New Roman"/>
          <w:sz w:val="24"/>
          <w:szCs w:val="24"/>
        </w:rPr>
        <w:t xml:space="preserve">Action, perception, visual, tactile, personal, </w:t>
      </w:r>
      <w:r w:rsidR="005E3CA1" w:rsidRPr="0038510C">
        <w:rPr>
          <w:rFonts w:ascii="Times New Roman" w:hAnsi="Times New Roman" w:cs="Times New Roman"/>
          <w:sz w:val="24"/>
          <w:szCs w:val="24"/>
        </w:rPr>
        <w:t>body</w:t>
      </w:r>
      <w:r w:rsidRPr="0038510C">
        <w:rPr>
          <w:rFonts w:ascii="Times New Roman" w:hAnsi="Times New Roman" w:cs="Times New Roman"/>
          <w:sz w:val="24"/>
          <w:szCs w:val="24"/>
        </w:rPr>
        <w:t>.</w:t>
      </w:r>
    </w:p>
    <w:p w:rsidR="004C5C35" w:rsidRPr="0038510C" w:rsidRDefault="004C5C35" w:rsidP="00625F36">
      <w:pPr>
        <w:pStyle w:val="MediumList2-Accent4"/>
        <w:numPr>
          <w:ilvl w:val="0"/>
          <w:numId w:val="1"/>
        </w:numPr>
        <w:spacing w:line="360" w:lineRule="auto"/>
        <w:jc w:val="center"/>
        <w:rPr>
          <w:rFonts w:ascii="Times New Roman" w:hAnsi="Times New Roman" w:cs="Times New Roman"/>
          <w:b/>
          <w:sz w:val="24"/>
          <w:szCs w:val="24"/>
        </w:rPr>
      </w:pPr>
      <w:r w:rsidRPr="0038510C">
        <w:rPr>
          <w:rFonts w:ascii="Times New Roman" w:hAnsi="Times New Roman" w:cs="Times New Roman"/>
          <w:b/>
          <w:sz w:val="24"/>
          <w:szCs w:val="24"/>
        </w:rPr>
        <w:t>Introduction</w:t>
      </w:r>
    </w:p>
    <w:p w:rsidR="009F0756" w:rsidRPr="0038510C" w:rsidRDefault="00E431F9" w:rsidP="009F075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Planning and executing adaptive movements requires the relevant sensory and motor systems to work in concert. Before movement can be carried out information from the senses needs</w:t>
      </w:r>
      <w:r w:rsidR="00904727" w:rsidRPr="0038510C">
        <w:rPr>
          <w:rFonts w:ascii="Times New Roman" w:hAnsi="Times New Roman" w:cs="Times New Roman"/>
          <w:sz w:val="24"/>
          <w:szCs w:val="24"/>
        </w:rPr>
        <w:t xml:space="preserve"> to feed into the movement plan</w:t>
      </w:r>
      <w:r w:rsidRPr="0038510C">
        <w:rPr>
          <w:rFonts w:ascii="Times New Roman" w:hAnsi="Times New Roman" w:cs="Times New Roman"/>
          <w:sz w:val="24"/>
          <w:szCs w:val="24"/>
        </w:rPr>
        <w:t xml:space="preserve"> and sensory motor transformation needs to be carr</w:t>
      </w:r>
      <w:r w:rsidR="00684540" w:rsidRPr="0038510C">
        <w:rPr>
          <w:rFonts w:ascii="Times New Roman" w:hAnsi="Times New Roman" w:cs="Times New Roman"/>
          <w:sz w:val="24"/>
          <w:szCs w:val="24"/>
        </w:rPr>
        <w:t>ied out. Despite this</w:t>
      </w:r>
      <w:r w:rsidR="00E13DDC" w:rsidRPr="0038510C">
        <w:rPr>
          <w:rFonts w:ascii="Times New Roman" w:hAnsi="Times New Roman" w:cs="Times New Roman"/>
          <w:sz w:val="24"/>
          <w:szCs w:val="24"/>
        </w:rPr>
        <w:t>,</w:t>
      </w:r>
      <w:r w:rsidR="00684540" w:rsidRPr="0038510C">
        <w:rPr>
          <w:rFonts w:ascii="Times New Roman" w:hAnsi="Times New Roman" w:cs="Times New Roman"/>
          <w:sz w:val="24"/>
          <w:szCs w:val="24"/>
        </w:rPr>
        <w:t xml:space="preserve"> perceptual</w:t>
      </w:r>
      <w:r w:rsidRPr="0038510C">
        <w:rPr>
          <w:rFonts w:ascii="Times New Roman" w:hAnsi="Times New Roman" w:cs="Times New Roman"/>
          <w:sz w:val="24"/>
          <w:szCs w:val="24"/>
        </w:rPr>
        <w:t xml:space="preserve"> and motor processes</w:t>
      </w:r>
      <w:r w:rsidR="004C5C35" w:rsidRPr="0038510C">
        <w:rPr>
          <w:rFonts w:ascii="Times New Roman" w:hAnsi="Times New Roman" w:cs="Times New Roman"/>
          <w:sz w:val="24"/>
          <w:szCs w:val="24"/>
        </w:rPr>
        <w:t xml:space="preserve"> have classically been understood as individual and isolated processes</w:t>
      </w:r>
      <w:r w:rsidR="005D4F94" w:rsidRPr="0038510C">
        <w:rPr>
          <w:rFonts w:ascii="Times New Roman" w:hAnsi="Times New Roman" w:cs="Times New Roman"/>
          <w:sz w:val="24"/>
          <w:szCs w:val="24"/>
        </w:rPr>
        <w:t xml:space="preserve">, </w:t>
      </w:r>
      <w:r w:rsidRPr="0038510C">
        <w:rPr>
          <w:rFonts w:ascii="Times New Roman" w:hAnsi="Times New Roman" w:cs="Times New Roman"/>
          <w:sz w:val="24"/>
          <w:szCs w:val="24"/>
        </w:rPr>
        <w:t>with perception serving</w:t>
      </w:r>
      <w:r w:rsidR="005D4F94" w:rsidRPr="0038510C">
        <w:rPr>
          <w:rFonts w:ascii="Times New Roman" w:hAnsi="Times New Roman" w:cs="Times New Roman"/>
          <w:sz w:val="24"/>
          <w:szCs w:val="24"/>
        </w:rPr>
        <w:t xml:space="preserve"> to provide information about the external environment and ac</w:t>
      </w:r>
      <w:r w:rsidR="00684540" w:rsidRPr="0038510C">
        <w:rPr>
          <w:rFonts w:ascii="Times New Roman" w:hAnsi="Times New Roman" w:cs="Times New Roman"/>
          <w:sz w:val="24"/>
          <w:szCs w:val="24"/>
        </w:rPr>
        <w:t>tion serving</w:t>
      </w:r>
      <w:r w:rsidR="005D4F94" w:rsidRPr="0038510C">
        <w:rPr>
          <w:rFonts w:ascii="Times New Roman" w:hAnsi="Times New Roman" w:cs="Times New Roman"/>
          <w:sz w:val="24"/>
          <w:szCs w:val="24"/>
        </w:rPr>
        <w:t xml:space="preserve"> in the selection, preparation and execution of goal-directed movements.</w:t>
      </w:r>
      <w:r w:rsidRPr="0038510C">
        <w:rPr>
          <w:rFonts w:ascii="Times New Roman" w:hAnsi="Times New Roman" w:cs="Times New Roman"/>
          <w:sz w:val="24"/>
          <w:szCs w:val="24"/>
        </w:rPr>
        <w:t xml:space="preserve"> R</w:t>
      </w:r>
      <w:r w:rsidR="00F37E9B" w:rsidRPr="0038510C">
        <w:rPr>
          <w:rFonts w:ascii="Times New Roman" w:hAnsi="Times New Roman" w:cs="Times New Roman"/>
          <w:sz w:val="24"/>
          <w:szCs w:val="24"/>
        </w:rPr>
        <w:t xml:space="preserve">ecent </w:t>
      </w:r>
      <w:r w:rsidR="009F0756" w:rsidRPr="0038510C">
        <w:rPr>
          <w:rFonts w:ascii="Times New Roman" w:hAnsi="Times New Roman" w:cs="Times New Roman"/>
          <w:sz w:val="24"/>
          <w:szCs w:val="24"/>
        </w:rPr>
        <w:t>behavioural (Deubel, Schn</w:t>
      </w:r>
      <w:r w:rsidR="00864E01" w:rsidRPr="0038510C">
        <w:rPr>
          <w:rFonts w:ascii="Times New Roman" w:hAnsi="Times New Roman" w:cs="Times New Roman"/>
          <w:sz w:val="24"/>
          <w:szCs w:val="24"/>
        </w:rPr>
        <w:t>eider &amp; Paprotta, 1998</w:t>
      </w:r>
      <w:r w:rsidR="009F0756" w:rsidRPr="0038510C">
        <w:rPr>
          <w:rFonts w:ascii="Times New Roman" w:hAnsi="Times New Roman" w:cs="Times New Roman"/>
          <w:sz w:val="24"/>
          <w:szCs w:val="24"/>
        </w:rPr>
        <w:t>) a</w:t>
      </w:r>
      <w:r w:rsidR="00864E01" w:rsidRPr="0038510C">
        <w:rPr>
          <w:rFonts w:ascii="Times New Roman" w:hAnsi="Times New Roman" w:cs="Times New Roman"/>
          <w:sz w:val="24"/>
          <w:szCs w:val="24"/>
        </w:rPr>
        <w:t>nd electrophysiological (Eimer, Forster, van Velzen &amp; Prabhu, 2005; Eimer, van Velzen, Gherri &amp; Pre</w:t>
      </w:r>
      <w:r w:rsidR="00C47AB1" w:rsidRPr="0038510C">
        <w:rPr>
          <w:rFonts w:ascii="Times New Roman" w:hAnsi="Times New Roman" w:cs="Times New Roman"/>
          <w:sz w:val="24"/>
          <w:szCs w:val="24"/>
        </w:rPr>
        <w:t xml:space="preserve">ss, 2006; Gherri &amp; Eimer, 2010; </w:t>
      </w:r>
      <w:r w:rsidR="00864E01" w:rsidRPr="0038510C">
        <w:rPr>
          <w:rFonts w:ascii="Times New Roman" w:hAnsi="Times New Roman" w:cs="Times New Roman"/>
          <w:sz w:val="24"/>
          <w:szCs w:val="24"/>
        </w:rPr>
        <w:t>Gherri, van Velzen &amp; Eimer,</w:t>
      </w:r>
      <w:r w:rsidR="009F0756" w:rsidRPr="0038510C">
        <w:rPr>
          <w:rFonts w:ascii="Times New Roman" w:hAnsi="Times New Roman" w:cs="Times New Roman"/>
          <w:sz w:val="24"/>
          <w:szCs w:val="24"/>
        </w:rPr>
        <w:t xml:space="preserve"> 2009; Baldauf &amp; Deubel, 2009) studies</w:t>
      </w:r>
      <w:r w:rsidRPr="0038510C">
        <w:rPr>
          <w:rFonts w:ascii="Times New Roman" w:hAnsi="Times New Roman" w:cs="Times New Roman"/>
          <w:sz w:val="24"/>
          <w:szCs w:val="24"/>
        </w:rPr>
        <w:t xml:space="preserve"> </w:t>
      </w:r>
      <w:r w:rsidR="009F0756" w:rsidRPr="0038510C">
        <w:rPr>
          <w:rFonts w:ascii="Times New Roman" w:hAnsi="Times New Roman" w:cs="Times New Roman"/>
          <w:sz w:val="24"/>
          <w:szCs w:val="24"/>
        </w:rPr>
        <w:t xml:space="preserve">however have demonstrated that preparation of reaching or hand movements alters the sensory processing at or near to the goal location such that visual perception is </w:t>
      </w:r>
      <w:r w:rsidR="009F0756" w:rsidRPr="0038510C">
        <w:rPr>
          <w:rFonts w:ascii="Times New Roman" w:hAnsi="Times New Roman" w:cs="Times New Roman"/>
          <w:sz w:val="24"/>
          <w:szCs w:val="24"/>
        </w:rPr>
        <w:lastRenderedPageBreak/>
        <w:t>facilitated. This suggests</w:t>
      </w:r>
      <w:r w:rsidR="00BD41C2" w:rsidRPr="0038510C">
        <w:rPr>
          <w:rFonts w:ascii="Times New Roman" w:hAnsi="Times New Roman" w:cs="Times New Roman"/>
          <w:sz w:val="24"/>
          <w:szCs w:val="24"/>
        </w:rPr>
        <w:t xml:space="preserve"> a tight coupling between action and perception </w:t>
      </w:r>
      <w:r w:rsidR="009F0756" w:rsidRPr="0038510C">
        <w:rPr>
          <w:rFonts w:ascii="Times New Roman" w:hAnsi="Times New Roman" w:cs="Times New Roman"/>
          <w:sz w:val="24"/>
          <w:szCs w:val="24"/>
        </w:rPr>
        <w:t>as</w:t>
      </w:r>
      <w:r w:rsidRPr="0038510C">
        <w:rPr>
          <w:rFonts w:ascii="Times New Roman" w:hAnsi="Times New Roman" w:cs="Times New Roman"/>
          <w:sz w:val="24"/>
          <w:szCs w:val="24"/>
        </w:rPr>
        <w:t xml:space="preserve"> sensory perception is </w:t>
      </w:r>
      <w:r w:rsidR="009F0756" w:rsidRPr="0038510C">
        <w:rPr>
          <w:rFonts w:ascii="Times New Roman" w:hAnsi="Times New Roman" w:cs="Times New Roman"/>
          <w:sz w:val="24"/>
          <w:szCs w:val="24"/>
        </w:rPr>
        <w:t xml:space="preserve">facilitated </w:t>
      </w:r>
      <w:r w:rsidRPr="0038510C">
        <w:rPr>
          <w:rFonts w:ascii="Times New Roman" w:hAnsi="Times New Roman" w:cs="Times New Roman"/>
          <w:sz w:val="24"/>
          <w:szCs w:val="24"/>
        </w:rPr>
        <w:t>by the action that is being planned</w:t>
      </w:r>
      <w:r w:rsidR="009F0756" w:rsidRPr="0038510C">
        <w:rPr>
          <w:rFonts w:ascii="Times New Roman" w:hAnsi="Times New Roman" w:cs="Times New Roman"/>
          <w:sz w:val="24"/>
          <w:szCs w:val="24"/>
        </w:rPr>
        <w:t>.</w:t>
      </w:r>
      <w:r w:rsidR="000C14FC" w:rsidRPr="0038510C">
        <w:rPr>
          <w:rFonts w:ascii="Times New Roman" w:hAnsi="Times New Roman" w:cs="Times New Roman"/>
          <w:sz w:val="24"/>
          <w:szCs w:val="24"/>
        </w:rPr>
        <w:t xml:space="preserve"> </w:t>
      </w:r>
    </w:p>
    <w:p w:rsidR="003025E2" w:rsidRPr="0038510C" w:rsidRDefault="00AF4AA8" w:rsidP="00625F36">
      <w:pPr>
        <w:spacing w:line="360" w:lineRule="auto"/>
      </w:pPr>
      <w:r w:rsidRPr="0038510C">
        <w:rPr>
          <w:rFonts w:ascii="Times New Roman" w:hAnsi="Times New Roman" w:cs="Times New Roman"/>
          <w:sz w:val="24"/>
          <w:szCs w:val="24"/>
        </w:rPr>
        <w:t>The top-down modulation of sensory processing by movement preparation is interpreted as a mechanism that prioritises</w:t>
      </w:r>
      <w:r w:rsidR="005D4F94" w:rsidRPr="0038510C">
        <w:rPr>
          <w:rFonts w:ascii="Times New Roman" w:hAnsi="Times New Roman" w:cs="Times New Roman"/>
          <w:sz w:val="24"/>
          <w:szCs w:val="24"/>
        </w:rPr>
        <w:t xml:space="preserve"> </w:t>
      </w:r>
      <w:r w:rsidRPr="0038510C">
        <w:rPr>
          <w:rFonts w:ascii="Times New Roman" w:hAnsi="Times New Roman" w:cs="Times New Roman"/>
          <w:sz w:val="24"/>
          <w:szCs w:val="24"/>
        </w:rPr>
        <w:t>the processing</w:t>
      </w:r>
      <w:r w:rsidR="005D4F94" w:rsidRPr="0038510C">
        <w:rPr>
          <w:rFonts w:ascii="Times New Roman" w:hAnsi="Times New Roman" w:cs="Times New Roman"/>
          <w:sz w:val="24"/>
          <w:szCs w:val="24"/>
        </w:rPr>
        <w:t xml:space="preserve"> of action-relevant stimuli in the environment.</w:t>
      </w:r>
      <w:r w:rsidR="00E431F9" w:rsidRPr="0038510C">
        <w:rPr>
          <w:rFonts w:ascii="Times New Roman" w:hAnsi="Times New Roman" w:cs="Times New Roman"/>
          <w:sz w:val="24"/>
          <w:szCs w:val="24"/>
        </w:rPr>
        <w:t xml:space="preserve"> </w:t>
      </w:r>
      <w:r w:rsidR="001215B6" w:rsidRPr="0038510C">
        <w:rPr>
          <w:rFonts w:ascii="Times New Roman" w:hAnsi="Times New Roman" w:cs="Times New Roman"/>
          <w:sz w:val="24"/>
          <w:szCs w:val="24"/>
        </w:rPr>
        <w:t>Top-down modulation</w:t>
      </w:r>
      <w:r w:rsidR="00A60091" w:rsidRPr="0038510C">
        <w:rPr>
          <w:rFonts w:ascii="Times New Roman" w:hAnsi="Times New Roman" w:cs="Times New Roman"/>
          <w:sz w:val="24"/>
          <w:szCs w:val="24"/>
        </w:rPr>
        <w:t xml:space="preserve"> of task-</w:t>
      </w:r>
      <w:r w:rsidR="005D4F94" w:rsidRPr="0038510C">
        <w:rPr>
          <w:rFonts w:ascii="Times New Roman" w:hAnsi="Times New Roman" w:cs="Times New Roman"/>
          <w:sz w:val="24"/>
          <w:szCs w:val="24"/>
        </w:rPr>
        <w:t>relevant sensory information h</w:t>
      </w:r>
      <w:r w:rsidR="00F37E9B" w:rsidRPr="0038510C">
        <w:rPr>
          <w:rFonts w:ascii="Times New Roman" w:hAnsi="Times New Roman" w:cs="Times New Roman"/>
          <w:sz w:val="24"/>
          <w:szCs w:val="24"/>
        </w:rPr>
        <w:t>as</w:t>
      </w:r>
      <w:r w:rsidR="005D4F94" w:rsidRPr="0038510C">
        <w:rPr>
          <w:rFonts w:ascii="Times New Roman" w:hAnsi="Times New Roman" w:cs="Times New Roman"/>
          <w:sz w:val="24"/>
          <w:szCs w:val="24"/>
        </w:rPr>
        <w:t xml:space="preserve"> typically been attributed to mechanisms </w:t>
      </w:r>
      <w:r w:rsidR="004F1C2A" w:rsidRPr="0038510C">
        <w:rPr>
          <w:rFonts w:ascii="Times New Roman" w:hAnsi="Times New Roman" w:cs="Times New Roman"/>
          <w:sz w:val="24"/>
          <w:szCs w:val="24"/>
        </w:rPr>
        <w:t>of attentional selection, where</w:t>
      </w:r>
      <w:r w:rsidR="002C4009" w:rsidRPr="0038510C">
        <w:rPr>
          <w:rFonts w:ascii="Times New Roman" w:hAnsi="Times New Roman" w:cs="Times New Roman"/>
          <w:sz w:val="24"/>
          <w:szCs w:val="24"/>
        </w:rPr>
        <w:t xml:space="preserve">by </w:t>
      </w:r>
      <w:r w:rsidR="00F37E9B" w:rsidRPr="0038510C">
        <w:rPr>
          <w:rFonts w:ascii="Times New Roman" w:hAnsi="Times New Roman" w:cs="Times New Roman"/>
          <w:sz w:val="24"/>
          <w:szCs w:val="24"/>
        </w:rPr>
        <w:t>a</w:t>
      </w:r>
      <w:r w:rsidR="00096E28" w:rsidRPr="0038510C">
        <w:rPr>
          <w:rFonts w:ascii="Times New Roman" w:hAnsi="Times New Roman" w:cs="Times New Roman"/>
          <w:sz w:val="24"/>
          <w:szCs w:val="24"/>
        </w:rPr>
        <w:t xml:space="preserve">ttending to a location in space </w:t>
      </w:r>
      <w:r w:rsidR="003D53B2" w:rsidRPr="0038510C">
        <w:rPr>
          <w:rFonts w:ascii="Times New Roman" w:hAnsi="Times New Roman" w:cs="Times New Roman"/>
          <w:sz w:val="24"/>
          <w:szCs w:val="24"/>
        </w:rPr>
        <w:t>facilitates</w:t>
      </w:r>
      <w:r w:rsidR="00096E28" w:rsidRPr="0038510C">
        <w:rPr>
          <w:rFonts w:ascii="Times New Roman" w:hAnsi="Times New Roman" w:cs="Times New Roman"/>
          <w:sz w:val="24"/>
          <w:szCs w:val="24"/>
        </w:rPr>
        <w:t xml:space="preserve"> responses to stimuli presented in the attended </w:t>
      </w:r>
      <w:r w:rsidR="00F61A4B" w:rsidRPr="0038510C">
        <w:rPr>
          <w:rFonts w:ascii="Times New Roman" w:hAnsi="Times New Roman" w:cs="Times New Roman"/>
          <w:sz w:val="24"/>
          <w:szCs w:val="24"/>
        </w:rPr>
        <w:t>vers</w:t>
      </w:r>
      <w:r w:rsidR="00F61A4B">
        <w:rPr>
          <w:rFonts w:ascii="Times New Roman" w:hAnsi="Times New Roman" w:cs="Times New Roman"/>
          <w:sz w:val="24"/>
          <w:szCs w:val="24"/>
        </w:rPr>
        <w:t>u</w:t>
      </w:r>
      <w:r w:rsidR="00F61A4B" w:rsidRPr="0038510C">
        <w:rPr>
          <w:rFonts w:ascii="Times New Roman" w:hAnsi="Times New Roman" w:cs="Times New Roman"/>
          <w:sz w:val="24"/>
          <w:szCs w:val="24"/>
        </w:rPr>
        <w:t xml:space="preserve">s </w:t>
      </w:r>
      <w:r w:rsidR="00096E28" w:rsidRPr="0038510C">
        <w:rPr>
          <w:rFonts w:ascii="Times New Roman" w:hAnsi="Times New Roman" w:cs="Times New Roman"/>
          <w:sz w:val="24"/>
          <w:szCs w:val="24"/>
        </w:rPr>
        <w:t xml:space="preserve">unattended location (Posner et al, 1980; Posner &amp; Dehaene, 1994; </w:t>
      </w:r>
      <w:r w:rsidR="00096E28" w:rsidRPr="0038510C">
        <w:rPr>
          <w:rFonts w:ascii="Times New Roman" w:eastAsia="Times New Roman" w:hAnsi="Times New Roman" w:cs="Times New Roman"/>
          <w:kern w:val="2"/>
          <w:sz w:val="24"/>
          <w:szCs w:val="24"/>
          <w:lang w:val="en-US"/>
        </w:rPr>
        <w:t xml:space="preserve">Heinze, Luck, Munte, </w:t>
      </w:r>
      <w:r w:rsidR="00096E28" w:rsidRPr="0038510C">
        <w:rPr>
          <w:rFonts w:ascii="Times New Roman" w:eastAsia="Times New Roman" w:hAnsi="Times New Roman" w:cs="Times New Roman"/>
          <w:kern w:val="2"/>
          <w:sz w:val="24"/>
          <w:szCs w:val="24"/>
        </w:rPr>
        <w:t>Gös, Mangun &amp; Hillyard</w:t>
      </w:r>
      <w:r w:rsidR="00096E28" w:rsidRPr="0038510C">
        <w:rPr>
          <w:rFonts w:ascii="Times New Roman" w:eastAsia="Times New Roman" w:hAnsi="Times New Roman" w:cs="Times New Roman"/>
          <w:iCs/>
          <w:kern w:val="2"/>
          <w:sz w:val="24"/>
          <w:szCs w:val="24"/>
          <w:lang w:val="en-US"/>
        </w:rPr>
        <w:t xml:space="preserve">, </w:t>
      </w:r>
      <w:r w:rsidR="00096E28" w:rsidRPr="0038510C">
        <w:rPr>
          <w:rFonts w:ascii="Times New Roman" w:eastAsia="Times New Roman" w:hAnsi="Times New Roman" w:cs="Times New Roman"/>
          <w:kern w:val="2"/>
          <w:sz w:val="24"/>
          <w:szCs w:val="24"/>
          <w:lang w:val="en-US"/>
        </w:rPr>
        <w:t>1994).</w:t>
      </w:r>
      <w:r w:rsidR="00B52015" w:rsidRPr="0038510C">
        <w:rPr>
          <w:rFonts w:ascii="Times New Roman" w:hAnsi="Times New Roman" w:cs="Times New Roman"/>
          <w:sz w:val="24"/>
          <w:szCs w:val="24"/>
        </w:rPr>
        <w:t xml:space="preserve"> </w:t>
      </w:r>
      <w:r w:rsidR="00B0504D" w:rsidRPr="0038510C">
        <w:rPr>
          <w:rFonts w:ascii="Times New Roman" w:hAnsi="Times New Roman" w:cs="Times New Roman"/>
          <w:sz w:val="24"/>
          <w:szCs w:val="24"/>
        </w:rPr>
        <w:t>There is a</w:t>
      </w:r>
      <w:r w:rsidR="00B52015" w:rsidRPr="0038510C">
        <w:rPr>
          <w:rFonts w:ascii="Times New Roman" w:hAnsi="Times New Roman" w:cs="Times New Roman"/>
          <w:sz w:val="24"/>
          <w:szCs w:val="24"/>
        </w:rPr>
        <w:t xml:space="preserve"> remarkable similarity between the enhanced perceptual processing of stimuli at attended locations during covert spatial attention tasks and the </w:t>
      </w:r>
      <w:r w:rsidR="00B52015" w:rsidRPr="0038510C">
        <w:rPr>
          <w:rFonts w:ascii="Times New Roman" w:hAnsi="Times New Roman" w:cs="Times New Roman"/>
          <w:kern w:val="24"/>
          <w:sz w:val="24"/>
          <w:szCs w:val="24"/>
        </w:rPr>
        <w:t>enhanced perceptual processing of stimuli at locations of upcoming</w:t>
      </w:r>
      <w:r w:rsidR="003025E2" w:rsidRPr="0038510C">
        <w:rPr>
          <w:rFonts w:ascii="Times New Roman" w:hAnsi="Times New Roman" w:cs="Times New Roman"/>
          <w:kern w:val="24"/>
          <w:sz w:val="24"/>
          <w:szCs w:val="24"/>
        </w:rPr>
        <w:t xml:space="preserve"> eye</w:t>
      </w:r>
      <w:r w:rsidR="00B52015" w:rsidRPr="0038510C">
        <w:rPr>
          <w:rFonts w:ascii="Times New Roman" w:hAnsi="Times New Roman" w:cs="Times New Roman"/>
          <w:kern w:val="24"/>
          <w:sz w:val="24"/>
          <w:szCs w:val="24"/>
        </w:rPr>
        <w:t xml:space="preserve"> movements during </w:t>
      </w:r>
      <w:r w:rsidR="003025E2" w:rsidRPr="0038510C">
        <w:rPr>
          <w:rFonts w:ascii="Times New Roman" w:hAnsi="Times New Roman" w:cs="Times New Roman"/>
          <w:kern w:val="24"/>
          <w:sz w:val="24"/>
          <w:szCs w:val="24"/>
        </w:rPr>
        <w:t>saccade</w:t>
      </w:r>
      <w:r w:rsidR="00B52015" w:rsidRPr="0038510C">
        <w:rPr>
          <w:rFonts w:ascii="Times New Roman" w:hAnsi="Times New Roman" w:cs="Times New Roman"/>
          <w:kern w:val="24"/>
          <w:sz w:val="24"/>
          <w:szCs w:val="24"/>
        </w:rPr>
        <w:t xml:space="preserve"> tasks</w:t>
      </w:r>
      <w:r w:rsidR="00E431F9" w:rsidRPr="0038510C">
        <w:rPr>
          <w:rFonts w:ascii="Times New Roman" w:hAnsi="Times New Roman" w:cs="Times New Roman"/>
          <w:kern w:val="24"/>
          <w:sz w:val="24"/>
          <w:szCs w:val="24"/>
        </w:rPr>
        <w:t xml:space="preserve"> (</w:t>
      </w:r>
      <w:r w:rsidR="00D334BD" w:rsidRPr="0038510C">
        <w:rPr>
          <w:rFonts w:ascii="Times New Roman" w:hAnsi="Times New Roman" w:cs="Times New Roman"/>
          <w:kern w:val="24"/>
          <w:sz w:val="24"/>
          <w:szCs w:val="24"/>
        </w:rPr>
        <w:t>e.g. Deubel &amp; Schneider, 19</w:t>
      </w:r>
      <w:r w:rsidR="00E118B1">
        <w:rPr>
          <w:rFonts w:ascii="Times New Roman" w:hAnsi="Times New Roman" w:cs="Times New Roman"/>
          <w:kern w:val="24"/>
          <w:sz w:val="24"/>
          <w:szCs w:val="24"/>
        </w:rPr>
        <w:t>96; Hoffman &amp; Subramaniam, 1995,</w:t>
      </w:r>
      <w:r w:rsidR="00D334BD" w:rsidRPr="0038510C">
        <w:rPr>
          <w:rFonts w:ascii="Times New Roman" w:hAnsi="Times New Roman" w:cs="Times New Roman"/>
          <w:kern w:val="24"/>
          <w:sz w:val="24"/>
          <w:szCs w:val="24"/>
        </w:rPr>
        <w:t xml:space="preserve"> Irwin &amp; Gorden, 1998; Shepherd, Findlay &amp; Hockney, 1986</w:t>
      </w:r>
      <w:r w:rsidR="00E431F9" w:rsidRPr="0038510C">
        <w:rPr>
          <w:rFonts w:ascii="Times New Roman" w:hAnsi="Times New Roman" w:cs="Times New Roman"/>
          <w:kern w:val="24"/>
          <w:sz w:val="24"/>
          <w:szCs w:val="24"/>
        </w:rPr>
        <w:t>)</w:t>
      </w:r>
      <w:r w:rsidR="00B52015" w:rsidRPr="0038510C">
        <w:rPr>
          <w:rFonts w:ascii="Times New Roman" w:hAnsi="Times New Roman" w:cs="Times New Roman"/>
          <w:kern w:val="24"/>
          <w:sz w:val="24"/>
          <w:szCs w:val="24"/>
        </w:rPr>
        <w:t xml:space="preserve">. </w:t>
      </w:r>
      <w:r w:rsidR="003025E2" w:rsidRPr="0038510C">
        <w:rPr>
          <w:rFonts w:ascii="Times New Roman" w:hAnsi="Times New Roman" w:cs="Times New Roman"/>
          <w:sz w:val="24"/>
          <w:szCs w:val="24"/>
        </w:rPr>
        <w:t xml:space="preserve">The similarity between these effects suggests movement preparation and attention share common control mechanisms. </w:t>
      </w:r>
      <w:r w:rsidR="006551F2" w:rsidRPr="0038510C">
        <w:rPr>
          <w:rFonts w:ascii="Times New Roman" w:hAnsi="Times New Roman" w:cs="Times New Roman"/>
          <w:sz w:val="24"/>
          <w:szCs w:val="24"/>
        </w:rPr>
        <w:t>Investigations with non-human primates ha</w:t>
      </w:r>
      <w:r w:rsidR="003D25E1" w:rsidRPr="0038510C">
        <w:rPr>
          <w:rFonts w:ascii="Times New Roman" w:hAnsi="Times New Roman" w:cs="Times New Roman"/>
          <w:sz w:val="24"/>
          <w:szCs w:val="24"/>
        </w:rPr>
        <w:t>ve</w:t>
      </w:r>
      <w:r w:rsidR="00F133EE" w:rsidRPr="0038510C">
        <w:rPr>
          <w:rFonts w:ascii="Times New Roman" w:hAnsi="Times New Roman" w:cs="Times New Roman"/>
          <w:sz w:val="24"/>
          <w:szCs w:val="24"/>
        </w:rPr>
        <w:t xml:space="preserve"> also</w:t>
      </w:r>
      <w:r w:rsidR="006551F2" w:rsidRPr="0038510C">
        <w:rPr>
          <w:rFonts w:ascii="Times New Roman" w:hAnsi="Times New Roman" w:cs="Times New Roman"/>
          <w:sz w:val="24"/>
          <w:szCs w:val="24"/>
        </w:rPr>
        <w:t xml:space="preserve"> shown that</w:t>
      </w:r>
      <w:r w:rsidR="00D334BD" w:rsidRPr="0038510C">
        <w:rPr>
          <w:rFonts w:ascii="Times New Roman" w:hAnsi="Times New Roman" w:cs="Times New Roman"/>
          <w:sz w:val="24"/>
          <w:szCs w:val="24"/>
        </w:rPr>
        <w:t xml:space="preserve"> spatial attention and eye-movements rely on overlapping brain structures as</w:t>
      </w:r>
      <w:r w:rsidR="006551F2" w:rsidRPr="0038510C">
        <w:rPr>
          <w:rFonts w:ascii="Times New Roman" w:hAnsi="Times New Roman" w:cs="Times New Roman"/>
          <w:sz w:val="24"/>
          <w:szCs w:val="24"/>
        </w:rPr>
        <w:t xml:space="preserve"> stimulation of frontal eye field </w:t>
      </w:r>
      <w:r w:rsidR="00F133EE" w:rsidRPr="0038510C">
        <w:rPr>
          <w:rFonts w:ascii="Times New Roman" w:hAnsi="Times New Roman" w:cs="Times New Roman"/>
          <w:sz w:val="24"/>
          <w:szCs w:val="24"/>
        </w:rPr>
        <w:t xml:space="preserve">(FEF) </w:t>
      </w:r>
      <w:r w:rsidR="006551F2" w:rsidRPr="0038510C">
        <w:rPr>
          <w:rFonts w:ascii="Times New Roman" w:hAnsi="Times New Roman" w:cs="Times New Roman"/>
          <w:sz w:val="24"/>
          <w:szCs w:val="24"/>
        </w:rPr>
        <w:t>neuro</w:t>
      </w:r>
      <w:r w:rsidR="00D334BD" w:rsidRPr="0038510C">
        <w:rPr>
          <w:rFonts w:ascii="Times New Roman" w:hAnsi="Times New Roman" w:cs="Times New Roman"/>
          <w:sz w:val="24"/>
          <w:szCs w:val="24"/>
        </w:rPr>
        <w:t xml:space="preserve">ns results in saccades towards the receptive fields of </w:t>
      </w:r>
      <w:r w:rsidR="006551F2" w:rsidRPr="0038510C">
        <w:rPr>
          <w:rFonts w:ascii="Times New Roman" w:hAnsi="Times New Roman" w:cs="Times New Roman"/>
          <w:sz w:val="24"/>
          <w:szCs w:val="24"/>
        </w:rPr>
        <w:t>the neurons stimulated (Shiller &amp; Tehovnik, 2001)</w:t>
      </w:r>
      <w:r w:rsidR="00914676" w:rsidRPr="0038510C">
        <w:rPr>
          <w:rFonts w:ascii="Times New Roman" w:hAnsi="Times New Roman" w:cs="Times New Roman"/>
          <w:sz w:val="24"/>
          <w:szCs w:val="24"/>
        </w:rPr>
        <w:t>,</w:t>
      </w:r>
      <w:r w:rsidR="006551F2" w:rsidRPr="0038510C">
        <w:rPr>
          <w:rFonts w:ascii="Times New Roman" w:hAnsi="Times New Roman" w:cs="Times New Roman"/>
          <w:sz w:val="24"/>
          <w:szCs w:val="24"/>
        </w:rPr>
        <w:t xml:space="preserve"> whilst subthreshold stimulation of the same neu</w:t>
      </w:r>
      <w:r w:rsidR="00D334BD" w:rsidRPr="0038510C">
        <w:rPr>
          <w:rFonts w:ascii="Times New Roman" w:hAnsi="Times New Roman" w:cs="Times New Roman"/>
          <w:sz w:val="24"/>
          <w:szCs w:val="24"/>
        </w:rPr>
        <w:t>r</w:t>
      </w:r>
      <w:r w:rsidR="006551F2" w:rsidRPr="0038510C">
        <w:rPr>
          <w:rFonts w:ascii="Times New Roman" w:hAnsi="Times New Roman" w:cs="Times New Roman"/>
          <w:sz w:val="24"/>
          <w:szCs w:val="24"/>
        </w:rPr>
        <w:t xml:space="preserve">ons </w:t>
      </w:r>
      <w:r w:rsidR="00D334BD" w:rsidRPr="0038510C">
        <w:rPr>
          <w:rFonts w:ascii="Times New Roman" w:hAnsi="Times New Roman" w:cs="Times New Roman"/>
          <w:sz w:val="24"/>
          <w:szCs w:val="24"/>
        </w:rPr>
        <w:t>facilitates target detection at those locations without causing saccades to be executed (Moore &amp; Fallah, 2004).</w:t>
      </w:r>
      <w:r w:rsidR="006551F2" w:rsidRPr="0038510C">
        <w:rPr>
          <w:rFonts w:ascii="Times New Roman" w:hAnsi="Times New Roman" w:cs="Times New Roman"/>
          <w:sz w:val="24"/>
          <w:szCs w:val="24"/>
        </w:rPr>
        <w:t xml:space="preserve"> </w:t>
      </w:r>
      <w:r w:rsidR="00D334BD" w:rsidRPr="0038510C">
        <w:rPr>
          <w:rFonts w:ascii="Times New Roman" w:hAnsi="Times New Roman" w:cs="Times New Roman"/>
          <w:sz w:val="24"/>
          <w:szCs w:val="24"/>
        </w:rPr>
        <w:t>Analogous evidence in human subjects is made possible with the use of non-invasive techniques of brain stimulation. Stimulation of the FEF with trans-cranial magnetic stimulation (TMS) can result in the selective facilitation (van Ettinger-</w:t>
      </w:r>
      <w:r w:rsidR="00A915AD">
        <w:rPr>
          <w:rFonts w:ascii="Times New Roman" w:hAnsi="Times New Roman" w:cs="Times New Roman"/>
          <w:sz w:val="24"/>
          <w:szCs w:val="24"/>
        </w:rPr>
        <w:t>V</w:t>
      </w:r>
      <w:r w:rsidR="00D334BD" w:rsidRPr="0038510C">
        <w:rPr>
          <w:rFonts w:ascii="Times New Roman" w:hAnsi="Times New Roman" w:cs="Times New Roman"/>
          <w:sz w:val="24"/>
          <w:szCs w:val="24"/>
        </w:rPr>
        <w:t>eenstra</w:t>
      </w:r>
      <w:r w:rsidR="00C47AB1" w:rsidRPr="0038510C">
        <w:rPr>
          <w:rFonts w:ascii="Times New Roman" w:hAnsi="Times New Roman" w:cs="Times New Roman"/>
          <w:sz w:val="24"/>
          <w:szCs w:val="24"/>
        </w:rPr>
        <w:t xml:space="preserve"> et al</w:t>
      </w:r>
      <w:r w:rsidR="00D334BD" w:rsidRPr="0038510C">
        <w:rPr>
          <w:rFonts w:ascii="Times New Roman" w:hAnsi="Times New Roman" w:cs="Times New Roman"/>
          <w:sz w:val="24"/>
          <w:szCs w:val="24"/>
        </w:rPr>
        <w:t>, 2009) or impairment (Neggers et al, 2007) of behavioural responses to targets presented at the location of upcoming saccades.</w:t>
      </w:r>
      <w:r w:rsidR="00AE0A4B" w:rsidRPr="0038510C">
        <w:rPr>
          <w:rFonts w:ascii="Times New Roman" w:hAnsi="Times New Roman" w:cs="Times New Roman"/>
          <w:sz w:val="24"/>
          <w:szCs w:val="24"/>
        </w:rPr>
        <w:t xml:space="preserve"> fMRI studies have </w:t>
      </w:r>
      <w:r w:rsidR="00733906" w:rsidRPr="0038510C">
        <w:rPr>
          <w:rFonts w:ascii="Times New Roman" w:hAnsi="Times New Roman" w:cs="Times New Roman"/>
          <w:sz w:val="24"/>
          <w:szCs w:val="24"/>
        </w:rPr>
        <w:t xml:space="preserve">also </w:t>
      </w:r>
      <w:r w:rsidR="00AE0A4B" w:rsidRPr="0038510C">
        <w:rPr>
          <w:rFonts w:ascii="Times New Roman" w:hAnsi="Times New Roman" w:cs="Times New Roman"/>
          <w:sz w:val="24"/>
          <w:szCs w:val="24"/>
        </w:rPr>
        <w:t>identified over</w:t>
      </w:r>
      <w:r w:rsidR="00733906" w:rsidRPr="0038510C">
        <w:rPr>
          <w:rFonts w:ascii="Times New Roman" w:hAnsi="Times New Roman" w:cs="Times New Roman"/>
          <w:sz w:val="24"/>
          <w:szCs w:val="24"/>
        </w:rPr>
        <w:t>lapping brain regions</w:t>
      </w:r>
      <w:r w:rsidR="00914676" w:rsidRPr="0038510C">
        <w:rPr>
          <w:rFonts w:ascii="Times New Roman" w:hAnsi="Times New Roman" w:cs="Times New Roman"/>
          <w:sz w:val="24"/>
          <w:szCs w:val="24"/>
        </w:rPr>
        <w:t xml:space="preserve"> activated</w:t>
      </w:r>
      <w:r w:rsidR="00733906" w:rsidRPr="0038510C">
        <w:rPr>
          <w:rFonts w:ascii="Times New Roman" w:hAnsi="Times New Roman" w:cs="Times New Roman"/>
          <w:sz w:val="24"/>
          <w:szCs w:val="24"/>
        </w:rPr>
        <w:t xml:space="preserve"> </w:t>
      </w:r>
      <w:r w:rsidR="00AE0A4B" w:rsidRPr="0038510C">
        <w:rPr>
          <w:rFonts w:ascii="Times New Roman" w:hAnsi="Times New Roman" w:cs="Times New Roman"/>
          <w:sz w:val="24"/>
          <w:szCs w:val="24"/>
        </w:rPr>
        <w:t>during tasks of attentional orienting and movement preparation (Astafiev et al, 2003; Corbetta et al, 1998; Perry &amp; Zeki, 2000).</w:t>
      </w:r>
    </w:p>
    <w:p w:rsidR="006F5ADF" w:rsidRPr="0038510C" w:rsidRDefault="00E431F9"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Several theoretical accounts have been drawn up to conceptualise the links between attention and motor preparation. For example, t</w:t>
      </w:r>
      <w:r w:rsidR="008C27B8" w:rsidRPr="0038510C">
        <w:rPr>
          <w:rFonts w:ascii="Times New Roman" w:hAnsi="Times New Roman" w:cs="Times New Roman"/>
          <w:sz w:val="24"/>
          <w:szCs w:val="24"/>
        </w:rPr>
        <w:t>he</w:t>
      </w:r>
      <w:r w:rsidR="00225AEA" w:rsidRPr="0038510C">
        <w:rPr>
          <w:rFonts w:ascii="Times New Roman" w:hAnsi="Times New Roman" w:cs="Times New Roman"/>
          <w:sz w:val="24"/>
          <w:szCs w:val="24"/>
        </w:rPr>
        <w:t xml:space="preserve"> premotor theory of attention</w:t>
      </w:r>
      <w:r w:rsidR="004C5C35" w:rsidRPr="0038510C">
        <w:rPr>
          <w:rFonts w:ascii="Times New Roman" w:hAnsi="Times New Roman" w:cs="Times New Roman"/>
          <w:sz w:val="24"/>
          <w:szCs w:val="24"/>
        </w:rPr>
        <w:t xml:space="preserve"> (</w:t>
      </w:r>
      <w:r w:rsidR="009C26CE" w:rsidRPr="0038510C">
        <w:rPr>
          <w:rFonts w:ascii="Times New Roman" w:hAnsi="Times New Roman" w:cs="Times New Roman"/>
          <w:sz w:val="24"/>
          <w:szCs w:val="24"/>
        </w:rPr>
        <w:t xml:space="preserve">Rizzolatti, Riggio, Dascola, &amp; Umiltá, 1987; </w:t>
      </w:r>
      <w:r w:rsidR="004C5C35" w:rsidRPr="0038510C">
        <w:rPr>
          <w:rFonts w:ascii="Times New Roman" w:hAnsi="Times New Roman" w:cs="Times New Roman"/>
          <w:sz w:val="24"/>
          <w:szCs w:val="24"/>
        </w:rPr>
        <w:t>Riz</w:t>
      </w:r>
      <w:r w:rsidR="009C26CE" w:rsidRPr="0038510C">
        <w:rPr>
          <w:rFonts w:ascii="Times New Roman" w:hAnsi="Times New Roman" w:cs="Times New Roman"/>
          <w:sz w:val="24"/>
          <w:szCs w:val="24"/>
        </w:rPr>
        <w:t>zolatti, Riggio &amp; Sheliga, 1994</w:t>
      </w:r>
      <w:r w:rsidR="004C5C35" w:rsidRPr="0038510C">
        <w:rPr>
          <w:rFonts w:ascii="Times New Roman" w:hAnsi="Times New Roman" w:cs="Times New Roman"/>
          <w:sz w:val="24"/>
          <w:szCs w:val="24"/>
        </w:rPr>
        <w:t>) account</w:t>
      </w:r>
      <w:r w:rsidR="00FC38DF" w:rsidRPr="0038510C">
        <w:rPr>
          <w:rFonts w:ascii="Times New Roman" w:hAnsi="Times New Roman" w:cs="Times New Roman"/>
          <w:sz w:val="24"/>
          <w:szCs w:val="24"/>
        </w:rPr>
        <w:t>s</w:t>
      </w:r>
      <w:r w:rsidR="004C5C35" w:rsidRPr="0038510C">
        <w:rPr>
          <w:rFonts w:ascii="Times New Roman" w:hAnsi="Times New Roman" w:cs="Times New Roman"/>
          <w:sz w:val="24"/>
          <w:szCs w:val="24"/>
        </w:rPr>
        <w:t xml:space="preserve"> for the couplin</w:t>
      </w:r>
      <w:r w:rsidR="00FC38DF" w:rsidRPr="0038510C">
        <w:rPr>
          <w:rFonts w:ascii="Times New Roman" w:hAnsi="Times New Roman" w:cs="Times New Roman"/>
          <w:sz w:val="24"/>
          <w:szCs w:val="24"/>
        </w:rPr>
        <w:t>g of action</w:t>
      </w:r>
      <w:r w:rsidR="002C41E8" w:rsidRPr="0038510C">
        <w:rPr>
          <w:rFonts w:ascii="Times New Roman" w:hAnsi="Times New Roman" w:cs="Times New Roman"/>
          <w:sz w:val="24"/>
          <w:szCs w:val="24"/>
        </w:rPr>
        <w:t xml:space="preserve"> and attention by challenging the idea that separate control mechanisms govern the two processes</w:t>
      </w:r>
      <w:r w:rsidR="00E10B6E" w:rsidRPr="0038510C">
        <w:rPr>
          <w:rFonts w:ascii="Times New Roman" w:hAnsi="Times New Roman" w:cs="Times New Roman"/>
          <w:sz w:val="24"/>
          <w:szCs w:val="24"/>
        </w:rPr>
        <w:t xml:space="preserve">. </w:t>
      </w:r>
      <w:r w:rsidR="0016487A" w:rsidRPr="0038510C">
        <w:rPr>
          <w:rFonts w:ascii="Times New Roman" w:hAnsi="Times New Roman" w:cs="Times New Roman"/>
          <w:sz w:val="24"/>
          <w:szCs w:val="24"/>
        </w:rPr>
        <w:t>Behavioural</w:t>
      </w:r>
      <w:r w:rsidR="00E10B6E" w:rsidRPr="0038510C">
        <w:rPr>
          <w:rFonts w:ascii="Times New Roman" w:hAnsi="Times New Roman" w:cs="Times New Roman"/>
          <w:sz w:val="24"/>
          <w:szCs w:val="24"/>
        </w:rPr>
        <w:t xml:space="preserve"> </w:t>
      </w:r>
      <w:r w:rsidR="0016487A" w:rsidRPr="0038510C">
        <w:rPr>
          <w:rFonts w:ascii="Times New Roman" w:hAnsi="Times New Roman" w:cs="Times New Roman"/>
          <w:sz w:val="24"/>
          <w:szCs w:val="24"/>
        </w:rPr>
        <w:t>evidence</w:t>
      </w:r>
      <w:r w:rsidR="00806D05" w:rsidRPr="0038510C">
        <w:rPr>
          <w:rFonts w:ascii="Times New Roman" w:hAnsi="Times New Roman" w:cs="Times New Roman"/>
          <w:sz w:val="24"/>
          <w:szCs w:val="24"/>
        </w:rPr>
        <w:t xml:space="preserve"> suggests</w:t>
      </w:r>
      <w:r w:rsidR="0016487A" w:rsidRPr="0038510C">
        <w:rPr>
          <w:rFonts w:ascii="Times New Roman" w:hAnsi="Times New Roman" w:cs="Times New Roman"/>
          <w:sz w:val="24"/>
          <w:szCs w:val="24"/>
        </w:rPr>
        <w:t xml:space="preserve"> that</w:t>
      </w:r>
      <w:r w:rsidR="00865D07" w:rsidRPr="0038510C">
        <w:rPr>
          <w:rFonts w:ascii="Times New Roman" w:hAnsi="Times New Roman" w:cs="Times New Roman"/>
          <w:sz w:val="24"/>
          <w:szCs w:val="24"/>
        </w:rPr>
        <w:t xml:space="preserve"> control</w:t>
      </w:r>
      <w:r w:rsidR="0016487A" w:rsidRPr="0038510C">
        <w:rPr>
          <w:rFonts w:ascii="Times New Roman" w:hAnsi="Times New Roman" w:cs="Times New Roman"/>
          <w:sz w:val="24"/>
          <w:szCs w:val="24"/>
        </w:rPr>
        <w:t xml:space="preserve"> mechanisms of spatial attention cannot</w:t>
      </w:r>
      <w:r w:rsidR="00865D07" w:rsidRPr="0038510C">
        <w:rPr>
          <w:rFonts w:ascii="Times New Roman" w:hAnsi="Times New Roman" w:cs="Times New Roman"/>
          <w:sz w:val="24"/>
          <w:szCs w:val="24"/>
        </w:rPr>
        <w:t xml:space="preserve"> be separ</w:t>
      </w:r>
      <w:r w:rsidR="009C26CE" w:rsidRPr="0038510C">
        <w:rPr>
          <w:rFonts w:ascii="Times New Roman" w:hAnsi="Times New Roman" w:cs="Times New Roman"/>
          <w:sz w:val="24"/>
          <w:szCs w:val="24"/>
        </w:rPr>
        <w:t xml:space="preserve">ated from the control of action (Rizzolatti et al, 1987 Rizzolatti et al, 1994; Sheliga et al, 1995; Deubel &amp; Schneider, 1996), </w:t>
      </w:r>
      <w:r w:rsidR="00865D07" w:rsidRPr="0038510C">
        <w:rPr>
          <w:rFonts w:ascii="Times New Roman" w:hAnsi="Times New Roman" w:cs="Times New Roman"/>
          <w:sz w:val="24"/>
          <w:szCs w:val="24"/>
        </w:rPr>
        <w:t>suggesting that attention may derive from the activity of sensorimotor circuits rather t</w:t>
      </w:r>
      <w:r w:rsidR="004F0768" w:rsidRPr="0038510C">
        <w:rPr>
          <w:rFonts w:ascii="Times New Roman" w:hAnsi="Times New Roman" w:cs="Times New Roman"/>
          <w:sz w:val="24"/>
          <w:szCs w:val="24"/>
        </w:rPr>
        <w:t xml:space="preserve">han from a dedicated ‘attention </w:t>
      </w:r>
      <w:r w:rsidR="006551F2" w:rsidRPr="0038510C">
        <w:rPr>
          <w:rFonts w:ascii="Times New Roman" w:hAnsi="Times New Roman" w:cs="Times New Roman"/>
          <w:sz w:val="24"/>
          <w:szCs w:val="24"/>
        </w:rPr>
        <w:t xml:space="preserve">centre’. </w:t>
      </w:r>
      <w:r w:rsidR="00F20739" w:rsidRPr="0038510C">
        <w:rPr>
          <w:rFonts w:ascii="Times New Roman" w:hAnsi="Times New Roman" w:cs="Times New Roman"/>
          <w:sz w:val="24"/>
          <w:szCs w:val="24"/>
        </w:rPr>
        <w:t xml:space="preserve">The </w:t>
      </w:r>
      <w:r w:rsidR="00865D07" w:rsidRPr="0038510C">
        <w:rPr>
          <w:rFonts w:ascii="Times New Roman" w:hAnsi="Times New Roman" w:cs="Times New Roman"/>
          <w:sz w:val="24"/>
          <w:szCs w:val="24"/>
        </w:rPr>
        <w:t xml:space="preserve">premotor </w:t>
      </w:r>
      <w:r w:rsidR="00F20739" w:rsidRPr="0038510C">
        <w:rPr>
          <w:rFonts w:ascii="Times New Roman" w:hAnsi="Times New Roman" w:cs="Times New Roman"/>
          <w:sz w:val="24"/>
          <w:szCs w:val="24"/>
        </w:rPr>
        <w:t xml:space="preserve">theory </w:t>
      </w:r>
      <w:r w:rsidR="00D37AAC" w:rsidRPr="0038510C">
        <w:rPr>
          <w:rFonts w:ascii="Times New Roman" w:hAnsi="Times New Roman" w:cs="Times New Roman"/>
          <w:sz w:val="24"/>
          <w:szCs w:val="24"/>
        </w:rPr>
        <w:lastRenderedPageBreak/>
        <w:t>assumes that</w:t>
      </w:r>
      <w:r w:rsidR="00CD5D30" w:rsidRPr="0038510C">
        <w:rPr>
          <w:rFonts w:ascii="Times New Roman" w:hAnsi="Times New Roman" w:cs="Times New Roman"/>
          <w:sz w:val="24"/>
          <w:szCs w:val="24"/>
        </w:rPr>
        <w:t xml:space="preserve"> the c</w:t>
      </w:r>
      <w:r w:rsidR="00053732" w:rsidRPr="0038510C">
        <w:rPr>
          <w:rFonts w:ascii="Times New Roman" w:hAnsi="Times New Roman" w:cs="Times New Roman"/>
          <w:sz w:val="24"/>
          <w:szCs w:val="24"/>
        </w:rPr>
        <w:t>ortical</w:t>
      </w:r>
      <w:r w:rsidR="00CD5D30" w:rsidRPr="0038510C">
        <w:rPr>
          <w:rFonts w:ascii="Times New Roman" w:hAnsi="Times New Roman" w:cs="Times New Roman"/>
          <w:sz w:val="24"/>
          <w:szCs w:val="24"/>
        </w:rPr>
        <w:t xml:space="preserve"> circuitry</w:t>
      </w:r>
      <w:r w:rsidR="00053732" w:rsidRPr="0038510C">
        <w:rPr>
          <w:rFonts w:ascii="Times New Roman" w:hAnsi="Times New Roman" w:cs="Times New Roman"/>
          <w:sz w:val="24"/>
          <w:szCs w:val="24"/>
        </w:rPr>
        <w:t xml:space="preserve"> in which space is represented </w:t>
      </w:r>
      <w:r w:rsidR="00CD5D30" w:rsidRPr="0038510C">
        <w:rPr>
          <w:rFonts w:ascii="Times New Roman" w:hAnsi="Times New Roman" w:cs="Times New Roman"/>
          <w:sz w:val="24"/>
          <w:szCs w:val="24"/>
        </w:rPr>
        <w:t>is</w:t>
      </w:r>
      <w:r w:rsidR="00053732" w:rsidRPr="0038510C">
        <w:rPr>
          <w:rFonts w:ascii="Times New Roman" w:hAnsi="Times New Roman" w:cs="Times New Roman"/>
          <w:sz w:val="24"/>
          <w:szCs w:val="24"/>
        </w:rPr>
        <w:t xml:space="preserve"> also responsible for the programming of movements relevant to different effectors (i.e. eye, hand or arm). These cortica</w:t>
      </w:r>
      <w:r w:rsidR="004F0768" w:rsidRPr="0038510C">
        <w:rPr>
          <w:rFonts w:ascii="Times New Roman" w:hAnsi="Times New Roman" w:cs="Times New Roman"/>
          <w:sz w:val="24"/>
          <w:szCs w:val="24"/>
        </w:rPr>
        <w:t>l circuits responsible for spatial</w:t>
      </w:r>
      <w:r w:rsidR="00053732" w:rsidRPr="0038510C">
        <w:rPr>
          <w:rFonts w:ascii="Times New Roman" w:hAnsi="Times New Roman" w:cs="Times New Roman"/>
          <w:sz w:val="24"/>
          <w:szCs w:val="24"/>
        </w:rPr>
        <w:t xml:space="preserve"> representation</w:t>
      </w:r>
      <w:r w:rsidR="00053732" w:rsidRPr="0038510C">
        <w:rPr>
          <w:rFonts w:ascii="Times New Roman" w:hAnsi="Times New Roman" w:cs="Times New Roman"/>
          <w:i/>
          <w:sz w:val="24"/>
          <w:szCs w:val="24"/>
        </w:rPr>
        <w:t xml:space="preserve"> and</w:t>
      </w:r>
      <w:r w:rsidR="009C26CE" w:rsidRPr="0038510C">
        <w:rPr>
          <w:rFonts w:ascii="Times New Roman" w:hAnsi="Times New Roman" w:cs="Times New Roman"/>
          <w:sz w:val="24"/>
          <w:szCs w:val="24"/>
        </w:rPr>
        <w:t xml:space="preserve"> motor programming are termed </w:t>
      </w:r>
      <w:r w:rsidR="00F01C76" w:rsidRPr="0038510C">
        <w:rPr>
          <w:rFonts w:ascii="Times New Roman" w:hAnsi="Times New Roman" w:cs="Times New Roman"/>
          <w:sz w:val="24"/>
          <w:szCs w:val="24"/>
        </w:rPr>
        <w:t>‘</w:t>
      </w:r>
      <w:r w:rsidR="009C26CE" w:rsidRPr="0038510C">
        <w:rPr>
          <w:rFonts w:ascii="Times New Roman" w:hAnsi="Times New Roman" w:cs="Times New Roman"/>
          <w:sz w:val="24"/>
          <w:szCs w:val="24"/>
        </w:rPr>
        <w:t>spatial pragmatic maps</w:t>
      </w:r>
      <w:r w:rsidR="00F01C76" w:rsidRPr="0038510C">
        <w:rPr>
          <w:rFonts w:ascii="Times New Roman" w:hAnsi="Times New Roman" w:cs="Times New Roman"/>
          <w:sz w:val="24"/>
          <w:szCs w:val="24"/>
        </w:rPr>
        <w:t>’</w:t>
      </w:r>
      <w:r w:rsidR="009C26CE" w:rsidRPr="0038510C">
        <w:rPr>
          <w:rFonts w:ascii="Times New Roman" w:hAnsi="Times New Roman" w:cs="Times New Roman"/>
          <w:sz w:val="24"/>
          <w:szCs w:val="24"/>
        </w:rPr>
        <w:t xml:space="preserve"> and refer to</w:t>
      </w:r>
      <w:r w:rsidR="006F5ADF" w:rsidRPr="0038510C">
        <w:rPr>
          <w:rFonts w:ascii="Times New Roman" w:hAnsi="Times New Roman" w:cs="Times New Roman"/>
          <w:sz w:val="24"/>
          <w:szCs w:val="24"/>
        </w:rPr>
        <w:t xml:space="preserve"> dedicated dorsal brain structures primarily located in the inferior parietal lobule </w:t>
      </w:r>
      <w:r w:rsidR="006551F2" w:rsidRPr="0038510C">
        <w:rPr>
          <w:rFonts w:ascii="Times New Roman" w:hAnsi="Times New Roman" w:cs="Times New Roman"/>
          <w:sz w:val="24"/>
          <w:szCs w:val="24"/>
        </w:rPr>
        <w:t>that have also been suggested to be</w:t>
      </w:r>
      <w:r w:rsidR="006F5ADF" w:rsidRPr="0038510C">
        <w:rPr>
          <w:rFonts w:ascii="Times New Roman" w:hAnsi="Times New Roman" w:cs="Times New Roman"/>
          <w:sz w:val="24"/>
          <w:szCs w:val="24"/>
        </w:rPr>
        <w:t xml:space="preserve"> responsible for the processing of action (</w:t>
      </w:r>
      <w:r w:rsidR="006551F2" w:rsidRPr="0038510C">
        <w:rPr>
          <w:rFonts w:ascii="Times New Roman" w:hAnsi="Times New Roman" w:cs="Times New Roman"/>
          <w:sz w:val="24"/>
          <w:szCs w:val="24"/>
        </w:rPr>
        <w:t xml:space="preserve">e.g. </w:t>
      </w:r>
      <w:r w:rsidR="007A6BAB" w:rsidRPr="0038510C">
        <w:rPr>
          <w:rFonts w:ascii="Times New Roman" w:hAnsi="Times New Roman" w:cs="Times New Roman"/>
          <w:sz w:val="24"/>
          <w:szCs w:val="24"/>
        </w:rPr>
        <w:t>Goodale &amp; Milner,</w:t>
      </w:r>
      <w:r w:rsidR="006F5ADF" w:rsidRPr="0038510C">
        <w:rPr>
          <w:rFonts w:ascii="Times New Roman" w:hAnsi="Times New Roman" w:cs="Times New Roman"/>
          <w:sz w:val="24"/>
          <w:szCs w:val="24"/>
        </w:rPr>
        <w:t xml:space="preserve"> 1992).</w:t>
      </w:r>
      <w:r w:rsidR="006551F2" w:rsidRPr="0038510C">
        <w:rPr>
          <w:rFonts w:ascii="Times New Roman" w:hAnsi="Times New Roman" w:cs="Times New Roman"/>
          <w:sz w:val="24"/>
          <w:szCs w:val="24"/>
        </w:rPr>
        <w:t xml:space="preserve"> The theory posits that attention is derived from the activation of neurons within spatial pragmatic maps responsible for the programming of spatially guided actions.</w:t>
      </w:r>
    </w:p>
    <w:p w:rsidR="009521CD" w:rsidRPr="00206C92" w:rsidRDefault="000822CF" w:rsidP="009521CD">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 xml:space="preserve">The majority of </w:t>
      </w:r>
      <w:r w:rsidR="00F133EE" w:rsidRPr="0038510C">
        <w:rPr>
          <w:rFonts w:ascii="Times New Roman" w:hAnsi="Times New Roman" w:cs="Times New Roman"/>
          <w:sz w:val="24"/>
          <w:szCs w:val="24"/>
        </w:rPr>
        <w:t xml:space="preserve">evidence for shared control mechanisms of attention and action </w:t>
      </w:r>
      <w:r w:rsidR="003D25E1" w:rsidRPr="0038510C">
        <w:rPr>
          <w:rFonts w:ascii="Times New Roman" w:hAnsi="Times New Roman" w:cs="Times New Roman"/>
          <w:sz w:val="24"/>
          <w:szCs w:val="24"/>
        </w:rPr>
        <w:t xml:space="preserve">is </w:t>
      </w:r>
      <w:r w:rsidR="00F133EE" w:rsidRPr="0038510C">
        <w:rPr>
          <w:rFonts w:ascii="Times New Roman" w:hAnsi="Times New Roman" w:cs="Times New Roman"/>
          <w:sz w:val="24"/>
          <w:szCs w:val="24"/>
        </w:rPr>
        <w:t xml:space="preserve">concerned with </w:t>
      </w:r>
      <w:r w:rsidR="0022520A" w:rsidRPr="0038510C">
        <w:rPr>
          <w:rFonts w:ascii="Times New Roman" w:hAnsi="Times New Roman" w:cs="Times New Roman"/>
          <w:sz w:val="24"/>
          <w:szCs w:val="24"/>
        </w:rPr>
        <w:t>saccadic</w:t>
      </w:r>
      <w:r w:rsidR="009D125F" w:rsidRPr="0038510C">
        <w:rPr>
          <w:rFonts w:ascii="Times New Roman" w:hAnsi="Times New Roman" w:cs="Times New Roman"/>
          <w:sz w:val="24"/>
          <w:szCs w:val="24"/>
        </w:rPr>
        <w:t xml:space="preserve"> </w:t>
      </w:r>
      <w:r w:rsidR="0022520A" w:rsidRPr="0038510C">
        <w:rPr>
          <w:rFonts w:ascii="Times New Roman" w:hAnsi="Times New Roman" w:cs="Times New Roman"/>
          <w:sz w:val="24"/>
          <w:szCs w:val="24"/>
        </w:rPr>
        <w:t>eye movements</w:t>
      </w:r>
      <w:r w:rsidR="004C5C35" w:rsidRPr="0038510C">
        <w:rPr>
          <w:rFonts w:ascii="Times New Roman" w:hAnsi="Times New Roman" w:cs="Times New Roman"/>
          <w:sz w:val="24"/>
          <w:szCs w:val="24"/>
        </w:rPr>
        <w:t xml:space="preserve"> and shi</w:t>
      </w:r>
      <w:r w:rsidR="003B4A26" w:rsidRPr="0038510C">
        <w:rPr>
          <w:rFonts w:ascii="Times New Roman" w:hAnsi="Times New Roman" w:cs="Times New Roman"/>
          <w:sz w:val="24"/>
          <w:szCs w:val="24"/>
        </w:rPr>
        <w:t>fts of visual</w:t>
      </w:r>
      <w:r w:rsidR="00FD7ABC" w:rsidRPr="0038510C">
        <w:rPr>
          <w:rFonts w:ascii="Times New Roman" w:hAnsi="Times New Roman" w:cs="Times New Roman"/>
          <w:sz w:val="24"/>
          <w:szCs w:val="24"/>
        </w:rPr>
        <w:t>-spatial attention</w:t>
      </w:r>
      <w:r w:rsidR="00FF6610" w:rsidRPr="0038510C">
        <w:rPr>
          <w:rFonts w:ascii="Times New Roman" w:hAnsi="Times New Roman" w:cs="Times New Roman"/>
          <w:sz w:val="24"/>
          <w:szCs w:val="24"/>
        </w:rPr>
        <w:t>.</w:t>
      </w:r>
      <w:r w:rsidR="00524459" w:rsidRPr="0038510C">
        <w:rPr>
          <w:rFonts w:ascii="Times New Roman" w:hAnsi="Times New Roman" w:cs="Times New Roman"/>
          <w:sz w:val="24"/>
          <w:szCs w:val="24"/>
        </w:rPr>
        <w:t xml:space="preserve"> </w:t>
      </w:r>
      <w:r w:rsidR="00F133EE" w:rsidRPr="0038510C">
        <w:rPr>
          <w:rFonts w:ascii="Times New Roman" w:hAnsi="Times New Roman" w:cs="Times New Roman"/>
          <w:sz w:val="24"/>
          <w:szCs w:val="24"/>
        </w:rPr>
        <w:t>O</w:t>
      </w:r>
      <w:r w:rsidR="00524459" w:rsidRPr="0038510C">
        <w:rPr>
          <w:rFonts w:ascii="Times New Roman" w:hAnsi="Times New Roman" w:cs="Times New Roman"/>
          <w:sz w:val="24"/>
          <w:szCs w:val="24"/>
        </w:rPr>
        <w:t>ther forms of spatially guided movements</w:t>
      </w:r>
      <w:r w:rsidR="000631F4" w:rsidRPr="0038510C">
        <w:rPr>
          <w:rFonts w:ascii="Times New Roman" w:hAnsi="Times New Roman" w:cs="Times New Roman"/>
          <w:sz w:val="24"/>
          <w:szCs w:val="24"/>
        </w:rPr>
        <w:t>, however,</w:t>
      </w:r>
      <w:r w:rsidR="00524459" w:rsidRPr="0038510C">
        <w:rPr>
          <w:rFonts w:ascii="Times New Roman" w:hAnsi="Times New Roman" w:cs="Times New Roman"/>
          <w:sz w:val="24"/>
          <w:szCs w:val="24"/>
        </w:rPr>
        <w:t xml:space="preserve"> are similarly acc</w:t>
      </w:r>
      <w:r w:rsidR="00F133EE" w:rsidRPr="0038510C">
        <w:rPr>
          <w:rFonts w:ascii="Times New Roman" w:hAnsi="Times New Roman" w:cs="Times New Roman"/>
          <w:sz w:val="24"/>
          <w:szCs w:val="24"/>
        </w:rPr>
        <w:t>ompanied by shifts of attention</w:t>
      </w:r>
      <w:r w:rsidR="003D53B2" w:rsidRPr="0038510C">
        <w:rPr>
          <w:rFonts w:ascii="Times New Roman" w:hAnsi="Times New Roman" w:cs="Times New Roman"/>
          <w:sz w:val="24"/>
          <w:szCs w:val="24"/>
        </w:rPr>
        <w:t>.</w:t>
      </w:r>
      <w:r w:rsidR="00206C92">
        <w:rPr>
          <w:rFonts w:ascii="Times New Roman" w:hAnsi="Times New Roman" w:cs="Times New Roman"/>
          <w:sz w:val="24"/>
          <w:szCs w:val="24"/>
        </w:rPr>
        <w:t xml:space="preserve"> </w:t>
      </w:r>
      <w:r w:rsidR="003D53B2" w:rsidRPr="0038510C">
        <w:rPr>
          <w:rFonts w:ascii="Times New Roman" w:hAnsi="Times New Roman" w:cs="Times New Roman"/>
          <w:sz w:val="24"/>
          <w:szCs w:val="24"/>
        </w:rPr>
        <w:t>P</w:t>
      </w:r>
      <w:r w:rsidR="00524459" w:rsidRPr="0038510C">
        <w:rPr>
          <w:rFonts w:ascii="Times New Roman" w:hAnsi="Times New Roman" w:cs="Times New Roman"/>
          <w:sz w:val="24"/>
          <w:szCs w:val="24"/>
        </w:rPr>
        <w:t xml:space="preserve">erforming pointing movements facilitates visual perception at the goal </w:t>
      </w:r>
      <w:r w:rsidR="003D25E1" w:rsidRPr="0038510C">
        <w:rPr>
          <w:rFonts w:ascii="Times New Roman" w:hAnsi="Times New Roman" w:cs="Times New Roman"/>
          <w:sz w:val="24"/>
          <w:szCs w:val="24"/>
        </w:rPr>
        <w:t xml:space="preserve">location </w:t>
      </w:r>
      <w:r w:rsidR="00524459" w:rsidRPr="0038510C">
        <w:rPr>
          <w:rFonts w:ascii="Times New Roman" w:hAnsi="Times New Roman" w:cs="Times New Roman"/>
          <w:sz w:val="24"/>
          <w:szCs w:val="24"/>
        </w:rPr>
        <w:t>of the movement</w:t>
      </w:r>
      <w:r w:rsidR="00C82AAB" w:rsidRPr="0038510C">
        <w:rPr>
          <w:rFonts w:ascii="Times New Roman" w:hAnsi="Times New Roman" w:cs="Times New Roman"/>
          <w:sz w:val="24"/>
          <w:szCs w:val="24"/>
        </w:rPr>
        <w:t xml:space="preserve"> (Deubel, Schneider</w:t>
      </w:r>
      <w:r w:rsidR="00864E01" w:rsidRPr="0038510C">
        <w:rPr>
          <w:rFonts w:ascii="Times New Roman" w:hAnsi="Times New Roman" w:cs="Times New Roman"/>
          <w:sz w:val="24"/>
          <w:szCs w:val="24"/>
        </w:rPr>
        <w:t xml:space="preserve"> &amp; Paprotta, 1998; Linnell, Humphreys, McIntyre, Laitinen &amp; Wing</w:t>
      </w:r>
      <w:r w:rsidR="00C82AAB" w:rsidRPr="0038510C">
        <w:rPr>
          <w:rFonts w:ascii="Times New Roman" w:hAnsi="Times New Roman" w:cs="Times New Roman"/>
          <w:sz w:val="24"/>
          <w:szCs w:val="24"/>
        </w:rPr>
        <w:t>, 2005)</w:t>
      </w:r>
      <w:r w:rsidR="00524459" w:rsidRPr="0038510C">
        <w:rPr>
          <w:rFonts w:ascii="Times New Roman" w:hAnsi="Times New Roman" w:cs="Times New Roman"/>
          <w:sz w:val="24"/>
          <w:szCs w:val="24"/>
        </w:rPr>
        <w:t xml:space="preserve">, suggesting attention </w:t>
      </w:r>
      <w:r w:rsidR="00A009F6" w:rsidRPr="0038510C">
        <w:rPr>
          <w:rFonts w:ascii="Times New Roman" w:hAnsi="Times New Roman" w:cs="Times New Roman"/>
          <w:sz w:val="24"/>
          <w:szCs w:val="24"/>
        </w:rPr>
        <w:t>shifts</w:t>
      </w:r>
      <w:r w:rsidR="00524459" w:rsidRPr="0038510C">
        <w:rPr>
          <w:rFonts w:ascii="Times New Roman" w:hAnsi="Times New Roman" w:cs="Times New Roman"/>
          <w:sz w:val="24"/>
          <w:szCs w:val="24"/>
        </w:rPr>
        <w:t xml:space="preserve"> towards the goal before the movement is executed.</w:t>
      </w:r>
      <w:r w:rsidR="000F7B1D" w:rsidRPr="0038510C">
        <w:rPr>
          <w:rFonts w:ascii="Times New Roman" w:hAnsi="Times New Roman" w:cs="Times New Roman"/>
          <w:kern w:val="2"/>
          <w:sz w:val="24"/>
          <w:szCs w:val="24"/>
        </w:rPr>
        <w:t xml:space="preserve"> E</w:t>
      </w:r>
      <w:r w:rsidR="000F7B1D" w:rsidRPr="0038510C">
        <w:rPr>
          <w:rFonts w:ascii="Times New Roman" w:hAnsi="Times New Roman" w:cs="Times New Roman"/>
          <w:sz w:val="24"/>
          <w:szCs w:val="24"/>
        </w:rPr>
        <w:t xml:space="preserve">nhanced early ERP components such as the N1 elicited by visual </w:t>
      </w:r>
      <w:r w:rsidR="00924034">
        <w:rPr>
          <w:rFonts w:ascii="Times New Roman" w:hAnsi="Times New Roman" w:cs="Times New Roman"/>
          <w:sz w:val="24"/>
          <w:szCs w:val="24"/>
        </w:rPr>
        <w:t xml:space="preserve">probe </w:t>
      </w:r>
      <w:r w:rsidR="000F7B1D" w:rsidRPr="0038510C">
        <w:rPr>
          <w:rFonts w:ascii="Times New Roman" w:hAnsi="Times New Roman" w:cs="Times New Roman"/>
          <w:sz w:val="24"/>
          <w:szCs w:val="24"/>
        </w:rPr>
        <w:t>stimuli presented near the location of a planned manual movement have been identified (Eimer, van Velzen, Gherri &amp; Press, 2006; Gherri &amp; Eimer, 2010). Preparing a reaching movement similarly enhances the early probe-evoked N1 at the goal location of the movement (Gherri, van Velzen &amp; Eimer, 2009) as well as at the multiple goal locations of sequences of reaching movements (Baldauf &amp; Deubel, 2009).</w:t>
      </w:r>
      <w:r w:rsidR="00524459" w:rsidRPr="0038510C">
        <w:rPr>
          <w:rFonts w:ascii="Times New Roman" w:hAnsi="Times New Roman" w:cs="Times New Roman"/>
          <w:sz w:val="24"/>
          <w:szCs w:val="24"/>
        </w:rPr>
        <w:t xml:space="preserve"> </w:t>
      </w:r>
      <w:r w:rsidR="009521CD" w:rsidRPr="0038510C">
        <w:rPr>
          <w:rFonts w:ascii="Times New Roman" w:hAnsi="Times New Roman" w:cs="Times New Roman"/>
          <w:sz w:val="24"/>
          <w:szCs w:val="24"/>
        </w:rPr>
        <w:t>The probe</w:t>
      </w:r>
      <w:r w:rsidR="00924034">
        <w:rPr>
          <w:rFonts w:ascii="Times New Roman" w:hAnsi="Times New Roman" w:cs="Times New Roman"/>
          <w:sz w:val="24"/>
          <w:szCs w:val="24"/>
        </w:rPr>
        <w:t>-</w:t>
      </w:r>
      <w:r w:rsidR="009521CD" w:rsidRPr="0038510C">
        <w:rPr>
          <w:rFonts w:ascii="Times New Roman" w:hAnsi="Times New Roman" w:cs="Times New Roman"/>
          <w:sz w:val="24"/>
          <w:szCs w:val="24"/>
        </w:rPr>
        <w:t xml:space="preserve">evoked ERP technique is well suited to investigating modulations of perception at early processing stages. The technique is based on the assumption that stimuli presented within an attended region of space elicit enhanced early sensory ERP components compared to stimuli presented within an unattended region of space, irrespective of the task relevance of the stimulus (Heinze et al, 1994).  For instance, enhanced amplitude of early components evoked by task-irrelevant visual probe stimuli have been reliably used as an indication of increased processing resources allocated to a region of space during visual-spatial attention tasks (Hillyard, Vogel &amp; Luck, 1998). </w:t>
      </w:r>
      <w:r w:rsidR="009521CD" w:rsidRPr="0038510C">
        <w:rPr>
          <w:rFonts w:ascii="Times New Roman" w:hAnsi="Times New Roman" w:cs="Times New Roman"/>
          <w:kern w:val="2"/>
          <w:sz w:val="24"/>
          <w:szCs w:val="24"/>
        </w:rPr>
        <w:t>These modulations of sensory processing (within the first 200ms post stimulus) provide supporting evidence for an early mechanism of selection involving the amplification or sensory gain of processing within attended regions.</w:t>
      </w:r>
      <w:r w:rsidR="000F7B1D" w:rsidRPr="0038510C">
        <w:rPr>
          <w:rFonts w:ascii="Times New Roman" w:hAnsi="Times New Roman" w:cs="Times New Roman"/>
          <w:kern w:val="2"/>
          <w:sz w:val="24"/>
          <w:szCs w:val="24"/>
        </w:rPr>
        <w:t xml:space="preserve"> </w:t>
      </w:r>
      <w:r w:rsidR="009521CD" w:rsidRPr="0038510C">
        <w:rPr>
          <w:rFonts w:ascii="Times New Roman" w:hAnsi="Times New Roman" w:cs="Times New Roman"/>
          <w:sz w:val="24"/>
          <w:szCs w:val="24"/>
        </w:rPr>
        <w:t>The probe evoked ERP technique has therefore demonstrated that shifts in visual-spatial attention are not only tightly linked to oculomotor programming, but also to the programming of manual, reaching and pointing movements.</w:t>
      </w:r>
    </w:p>
    <w:p w:rsidR="00524459" w:rsidRPr="0038510C" w:rsidRDefault="00524459" w:rsidP="00625F36">
      <w:pPr>
        <w:spacing w:line="360" w:lineRule="auto"/>
        <w:jc w:val="both"/>
        <w:rPr>
          <w:rFonts w:ascii="Times New Roman" w:hAnsi="Times New Roman" w:cs="Times New Roman"/>
          <w:sz w:val="24"/>
          <w:szCs w:val="24"/>
        </w:rPr>
      </w:pPr>
    </w:p>
    <w:p w:rsidR="0046404F" w:rsidRPr="0038510C" w:rsidRDefault="007A0041"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lastRenderedPageBreak/>
        <w:t xml:space="preserve">The majority of studies </w:t>
      </w:r>
      <w:r w:rsidR="00733906" w:rsidRPr="0038510C">
        <w:rPr>
          <w:rFonts w:ascii="Times New Roman" w:hAnsi="Times New Roman" w:cs="Times New Roman"/>
          <w:sz w:val="24"/>
          <w:szCs w:val="24"/>
        </w:rPr>
        <w:t>investigating</w:t>
      </w:r>
      <w:r w:rsidRPr="0038510C">
        <w:rPr>
          <w:rFonts w:ascii="Times New Roman" w:hAnsi="Times New Roman" w:cs="Times New Roman"/>
          <w:sz w:val="24"/>
          <w:szCs w:val="24"/>
        </w:rPr>
        <w:t xml:space="preserve"> effects of manual movement preparation on sensory processing have taken place in peripersonal space; the area of space around the body but within arms’ re</w:t>
      </w:r>
      <w:r w:rsidR="00733906" w:rsidRPr="0038510C">
        <w:rPr>
          <w:rFonts w:ascii="Times New Roman" w:hAnsi="Times New Roman" w:cs="Times New Roman"/>
          <w:sz w:val="24"/>
          <w:szCs w:val="24"/>
        </w:rPr>
        <w:t>ach. Sensory information in these</w:t>
      </w:r>
      <w:r w:rsidRPr="0038510C">
        <w:rPr>
          <w:rFonts w:ascii="Times New Roman" w:hAnsi="Times New Roman" w:cs="Times New Roman"/>
          <w:sz w:val="24"/>
          <w:szCs w:val="24"/>
        </w:rPr>
        <w:t xml:space="preserve"> area</w:t>
      </w:r>
      <w:r w:rsidR="00733906" w:rsidRPr="0038510C">
        <w:rPr>
          <w:rFonts w:ascii="Times New Roman" w:hAnsi="Times New Roman" w:cs="Times New Roman"/>
          <w:sz w:val="24"/>
          <w:szCs w:val="24"/>
        </w:rPr>
        <w:t>s</w:t>
      </w:r>
      <w:r w:rsidRPr="0038510C">
        <w:rPr>
          <w:rFonts w:ascii="Times New Roman" w:hAnsi="Times New Roman" w:cs="Times New Roman"/>
          <w:sz w:val="24"/>
          <w:szCs w:val="24"/>
        </w:rPr>
        <w:t xml:space="preserve"> of space </w:t>
      </w:r>
      <w:r w:rsidR="00914676" w:rsidRPr="0038510C">
        <w:rPr>
          <w:rFonts w:ascii="Times New Roman" w:hAnsi="Times New Roman" w:cs="Times New Roman"/>
          <w:sz w:val="24"/>
          <w:szCs w:val="24"/>
        </w:rPr>
        <w:t>can arise from</w:t>
      </w:r>
      <w:r w:rsidRPr="0038510C">
        <w:rPr>
          <w:rFonts w:ascii="Times New Roman" w:hAnsi="Times New Roman" w:cs="Times New Roman"/>
          <w:sz w:val="24"/>
          <w:szCs w:val="24"/>
        </w:rPr>
        <w:t xml:space="preserve"> touch, vision and audition and actions</w:t>
      </w:r>
      <w:r w:rsidR="00914676" w:rsidRPr="0038510C">
        <w:rPr>
          <w:rFonts w:ascii="Times New Roman" w:hAnsi="Times New Roman" w:cs="Times New Roman"/>
          <w:sz w:val="24"/>
          <w:szCs w:val="24"/>
        </w:rPr>
        <w:t xml:space="preserve"> made</w:t>
      </w:r>
      <w:r w:rsidRPr="0038510C">
        <w:rPr>
          <w:rFonts w:ascii="Times New Roman" w:hAnsi="Times New Roman" w:cs="Times New Roman"/>
          <w:sz w:val="24"/>
          <w:szCs w:val="24"/>
        </w:rPr>
        <w:t xml:space="preserve"> into </w:t>
      </w:r>
      <w:r w:rsidR="00914676" w:rsidRPr="0038510C">
        <w:rPr>
          <w:rFonts w:ascii="Times New Roman" w:hAnsi="Times New Roman" w:cs="Times New Roman"/>
          <w:sz w:val="24"/>
          <w:szCs w:val="24"/>
        </w:rPr>
        <w:t>peri</w:t>
      </w:r>
      <w:r w:rsidRPr="0038510C">
        <w:rPr>
          <w:rFonts w:ascii="Times New Roman" w:hAnsi="Times New Roman" w:cs="Times New Roman"/>
          <w:sz w:val="24"/>
          <w:szCs w:val="24"/>
        </w:rPr>
        <w:t xml:space="preserve">personal space can involve reaching, grasping as well as eye movements. The demonstrated links between visual processing at action relevant locations and movement preparation establish a profile of spatial processing that facilitates the planned action. This profile is temporally dynamic (Mason, Linnell, Davis &amp; van Velzen, </w:t>
      </w:r>
      <w:r w:rsidR="002502F2" w:rsidRPr="0038510C">
        <w:rPr>
          <w:rFonts w:ascii="Times New Roman" w:hAnsi="Times New Roman" w:cs="Times New Roman"/>
          <w:sz w:val="24"/>
          <w:szCs w:val="24"/>
        </w:rPr>
        <w:t>2015)</w:t>
      </w:r>
      <w:r w:rsidRPr="0038510C">
        <w:rPr>
          <w:rFonts w:ascii="Times New Roman" w:hAnsi="Times New Roman" w:cs="Times New Roman"/>
          <w:sz w:val="24"/>
          <w:szCs w:val="24"/>
        </w:rPr>
        <w:t xml:space="preserve"> and has been shown to highlight goal locations</w:t>
      </w:r>
      <w:r w:rsidR="00456367" w:rsidRPr="0038510C">
        <w:rPr>
          <w:rFonts w:ascii="Times New Roman" w:hAnsi="Times New Roman" w:cs="Times New Roman"/>
          <w:sz w:val="24"/>
          <w:szCs w:val="24"/>
        </w:rPr>
        <w:t xml:space="preserve"> and the location</w:t>
      </w:r>
      <w:r w:rsidRPr="0038510C">
        <w:rPr>
          <w:rFonts w:ascii="Times New Roman" w:hAnsi="Times New Roman" w:cs="Times New Roman"/>
          <w:sz w:val="24"/>
          <w:szCs w:val="24"/>
        </w:rPr>
        <w:t xml:space="preserve"> of the effector, suggesting a mechanism that adaptively facilitates processing at several action-relevant locations ahead of action execution.</w:t>
      </w:r>
      <w:r w:rsidR="00456367" w:rsidRPr="0038510C">
        <w:rPr>
          <w:rFonts w:ascii="Times New Roman" w:hAnsi="Times New Roman" w:cs="Times New Roman"/>
          <w:sz w:val="24"/>
          <w:szCs w:val="24"/>
        </w:rPr>
        <w:t xml:space="preserve"> </w:t>
      </w:r>
    </w:p>
    <w:p w:rsidR="00FF6610" w:rsidRPr="0038510C" w:rsidRDefault="00456367"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An open question remains whether the observed links between action preparation that have been established in peripersonal space can also be observed for personal space; the area of space directly on the body surface. Depending on the area of the body surface, locations in personal space are not always accessible to vision and</w:t>
      </w:r>
      <w:r w:rsidR="00914676" w:rsidRPr="0038510C">
        <w:rPr>
          <w:rFonts w:ascii="Times New Roman" w:hAnsi="Times New Roman" w:cs="Times New Roman"/>
          <w:sz w:val="24"/>
          <w:szCs w:val="24"/>
        </w:rPr>
        <w:t xml:space="preserve"> in this case</w:t>
      </w:r>
      <w:r w:rsidRPr="0038510C">
        <w:rPr>
          <w:rFonts w:ascii="Times New Roman" w:hAnsi="Times New Roman" w:cs="Times New Roman"/>
          <w:sz w:val="24"/>
          <w:szCs w:val="24"/>
        </w:rPr>
        <w:t xml:space="preserve"> information about these areas arises</w:t>
      </w:r>
      <w:r w:rsidR="00914676" w:rsidRPr="0038510C">
        <w:rPr>
          <w:rFonts w:ascii="Times New Roman" w:hAnsi="Times New Roman" w:cs="Times New Roman"/>
          <w:sz w:val="24"/>
          <w:szCs w:val="24"/>
        </w:rPr>
        <w:t xml:space="preserve"> primarily</w:t>
      </w:r>
      <w:r w:rsidRPr="0038510C">
        <w:rPr>
          <w:rFonts w:ascii="Times New Roman" w:hAnsi="Times New Roman" w:cs="Times New Roman"/>
          <w:sz w:val="24"/>
          <w:szCs w:val="24"/>
        </w:rPr>
        <w:t xml:space="preserve"> from touch. Movements </w:t>
      </w:r>
      <w:r w:rsidR="00A40B6A" w:rsidRPr="0038510C">
        <w:rPr>
          <w:rFonts w:ascii="Times New Roman" w:hAnsi="Times New Roman" w:cs="Times New Roman"/>
          <w:sz w:val="24"/>
          <w:szCs w:val="24"/>
        </w:rPr>
        <w:t>towards</w:t>
      </w:r>
      <w:r w:rsidRPr="0038510C">
        <w:rPr>
          <w:rFonts w:ascii="Times New Roman" w:hAnsi="Times New Roman" w:cs="Times New Roman"/>
          <w:sz w:val="24"/>
          <w:szCs w:val="24"/>
        </w:rPr>
        <w:t xml:space="preserve"> </w:t>
      </w:r>
      <w:r w:rsidR="0045428A" w:rsidRPr="0038510C">
        <w:rPr>
          <w:rFonts w:ascii="Times New Roman" w:hAnsi="Times New Roman" w:cs="Times New Roman"/>
          <w:sz w:val="24"/>
          <w:szCs w:val="24"/>
        </w:rPr>
        <w:t xml:space="preserve">these areas of </w:t>
      </w:r>
      <w:r w:rsidRPr="0038510C">
        <w:rPr>
          <w:rFonts w:ascii="Times New Roman" w:hAnsi="Times New Roman" w:cs="Times New Roman"/>
          <w:sz w:val="24"/>
          <w:szCs w:val="24"/>
        </w:rPr>
        <w:t>personal space are functionally different to those in peripersonal space; they often serve to touch the body, e.g. to scratch an itch, or to bring fo</w:t>
      </w:r>
      <w:r w:rsidR="00914676" w:rsidRPr="0038510C">
        <w:rPr>
          <w:rFonts w:ascii="Times New Roman" w:hAnsi="Times New Roman" w:cs="Times New Roman"/>
          <w:sz w:val="24"/>
          <w:szCs w:val="24"/>
        </w:rPr>
        <w:t>od toward the mouth. Further, when</w:t>
      </w:r>
      <w:r w:rsidRPr="0038510C">
        <w:rPr>
          <w:rFonts w:ascii="Times New Roman" w:hAnsi="Times New Roman" w:cs="Times New Roman"/>
          <w:sz w:val="24"/>
          <w:szCs w:val="24"/>
        </w:rPr>
        <w:t xml:space="preserve"> movements are directed toward unseen locations on the body, for example the</w:t>
      </w:r>
      <w:r w:rsidR="00914676" w:rsidRPr="0038510C">
        <w:rPr>
          <w:rFonts w:ascii="Times New Roman" w:hAnsi="Times New Roman" w:cs="Times New Roman"/>
          <w:sz w:val="24"/>
          <w:szCs w:val="24"/>
        </w:rPr>
        <w:t xml:space="preserve"> upper</w:t>
      </w:r>
      <w:r w:rsidRPr="0038510C">
        <w:rPr>
          <w:rFonts w:ascii="Times New Roman" w:hAnsi="Times New Roman" w:cs="Times New Roman"/>
          <w:sz w:val="24"/>
          <w:szCs w:val="24"/>
        </w:rPr>
        <w:t xml:space="preserve"> chest, the</w:t>
      </w:r>
      <w:r w:rsidR="00914676" w:rsidRPr="0038510C">
        <w:rPr>
          <w:rFonts w:ascii="Times New Roman" w:hAnsi="Times New Roman" w:cs="Times New Roman"/>
          <w:sz w:val="24"/>
          <w:szCs w:val="24"/>
        </w:rPr>
        <w:t>se</w:t>
      </w:r>
      <w:r w:rsidRPr="0038510C">
        <w:rPr>
          <w:rFonts w:ascii="Times New Roman" w:hAnsi="Times New Roman" w:cs="Times New Roman"/>
          <w:sz w:val="24"/>
          <w:szCs w:val="24"/>
        </w:rPr>
        <w:t xml:space="preserve"> movements are mainly guided by proprioception. </w:t>
      </w:r>
      <w:r w:rsidR="00A009F6" w:rsidRPr="0038510C">
        <w:rPr>
          <w:rFonts w:ascii="Times New Roman" w:hAnsi="Times New Roman" w:cs="Times New Roman"/>
          <w:sz w:val="24"/>
          <w:szCs w:val="24"/>
        </w:rPr>
        <w:t>There have so far been no systematic investigation</w:t>
      </w:r>
      <w:r w:rsidR="002C7A60" w:rsidRPr="0038510C">
        <w:rPr>
          <w:rFonts w:ascii="Times New Roman" w:hAnsi="Times New Roman" w:cs="Times New Roman"/>
          <w:sz w:val="24"/>
          <w:szCs w:val="24"/>
        </w:rPr>
        <w:t>s into modulation of perception at the goal of movement</w:t>
      </w:r>
      <w:r w:rsidR="00521F7D" w:rsidRPr="0038510C">
        <w:rPr>
          <w:rFonts w:ascii="Times New Roman" w:hAnsi="Times New Roman" w:cs="Times New Roman"/>
          <w:sz w:val="24"/>
          <w:szCs w:val="24"/>
        </w:rPr>
        <w:t>s</w:t>
      </w:r>
      <w:r w:rsidR="002C7A60" w:rsidRPr="0038510C">
        <w:rPr>
          <w:rFonts w:ascii="Times New Roman" w:hAnsi="Times New Roman" w:cs="Times New Roman"/>
          <w:sz w:val="24"/>
          <w:szCs w:val="24"/>
        </w:rPr>
        <w:t xml:space="preserve"> towards </w:t>
      </w:r>
      <w:r w:rsidR="005E3CA1" w:rsidRPr="0038510C">
        <w:rPr>
          <w:rFonts w:ascii="Times New Roman" w:hAnsi="Times New Roman" w:cs="Times New Roman"/>
          <w:sz w:val="24"/>
          <w:szCs w:val="24"/>
        </w:rPr>
        <w:t>the body surface</w:t>
      </w:r>
      <w:r w:rsidR="002C7A60" w:rsidRPr="0038510C">
        <w:rPr>
          <w:rFonts w:ascii="Times New Roman" w:hAnsi="Times New Roman" w:cs="Times New Roman"/>
          <w:sz w:val="24"/>
          <w:szCs w:val="24"/>
        </w:rPr>
        <w:t xml:space="preserve">. Whilst visual input </w:t>
      </w:r>
      <w:r w:rsidRPr="0038510C">
        <w:rPr>
          <w:rFonts w:ascii="Times New Roman" w:hAnsi="Times New Roman" w:cs="Times New Roman"/>
          <w:sz w:val="24"/>
          <w:szCs w:val="24"/>
        </w:rPr>
        <w:t>has an important role to play in preparing</w:t>
      </w:r>
      <w:r w:rsidR="002C7A60" w:rsidRPr="0038510C">
        <w:rPr>
          <w:rFonts w:ascii="Times New Roman" w:hAnsi="Times New Roman" w:cs="Times New Roman"/>
          <w:sz w:val="24"/>
          <w:szCs w:val="24"/>
        </w:rPr>
        <w:t xml:space="preserve"> m</w:t>
      </w:r>
      <w:r w:rsidRPr="0038510C">
        <w:rPr>
          <w:rFonts w:ascii="Times New Roman" w:hAnsi="Times New Roman" w:cs="Times New Roman"/>
          <w:sz w:val="24"/>
          <w:szCs w:val="24"/>
        </w:rPr>
        <w:t>ovements</w:t>
      </w:r>
      <w:r w:rsidR="002C7A60" w:rsidRPr="0038510C">
        <w:rPr>
          <w:rFonts w:ascii="Times New Roman" w:hAnsi="Times New Roman" w:cs="Times New Roman"/>
          <w:sz w:val="24"/>
          <w:szCs w:val="24"/>
        </w:rPr>
        <w:t xml:space="preserve"> toward</w:t>
      </w:r>
      <w:r w:rsidRPr="0038510C">
        <w:rPr>
          <w:rFonts w:ascii="Times New Roman" w:hAnsi="Times New Roman" w:cs="Times New Roman"/>
          <w:sz w:val="24"/>
          <w:szCs w:val="24"/>
        </w:rPr>
        <w:t>s</w:t>
      </w:r>
      <w:r w:rsidR="002C7A60" w:rsidRPr="0038510C">
        <w:rPr>
          <w:rFonts w:ascii="Times New Roman" w:hAnsi="Times New Roman" w:cs="Times New Roman"/>
          <w:sz w:val="24"/>
          <w:szCs w:val="24"/>
        </w:rPr>
        <w:t xml:space="preserve"> peripersonal space, </w:t>
      </w:r>
      <w:r w:rsidR="00841371" w:rsidRPr="0038510C">
        <w:rPr>
          <w:rFonts w:ascii="Times New Roman" w:hAnsi="Times New Roman" w:cs="Times New Roman"/>
          <w:sz w:val="24"/>
          <w:szCs w:val="24"/>
        </w:rPr>
        <w:t>vision</w:t>
      </w:r>
      <w:r w:rsidR="00521F7D" w:rsidRPr="0038510C">
        <w:rPr>
          <w:rFonts w:ascii="Times New Roman" w:hAnsi="Times New Roman" w:cs="Times New Roman"/>
          <w:sz w:val="24"/>
          <w:szCs w:val="24"/>
        </w:rPr>
        <w:t xml:space="preserve"> of the goal location</w:t>
      </w:r>
      <w:r w:rsidR="00841371" w:rsidRPr="0038510C">
        <w:rPr>
          <w:rFonts w:ascii="Times New Roman" w:hAnsi="Times New Roman" w:cs="Times New Roman"/>
          <w:sz w:val="24"/>
          <w:szCs w:val="24"/>
        </w:rPr>
        <w:t xml:space="preserve"> is usually not available for movements into personal space, which rely more on </w:t>
      </w:r>
      <w:r w:rsidR="002C7A60" w:rsidRPr="0038510C">
        <w:rPr>
          <w:rFonts w:ascii="Times New Roman" w:hAnsi="Times New Roman" w:cs="Times New Roman"/>
          <w:sz w:val="24"/>
          <w:szCs w:val="24"/>
        </w:rPr>
        <w:t xml:space="preserve">tactile and proprioceptive information. </w:t>
      </w:r>
    </w:p>
    <w:p w:rsidR="002029FB" w:rsidRPr="0038510C" w:rsidRDefault="00970304"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A number of recent findings have extended the links between movement preparation and perception to include the processing of tactile stimuli, for example</w:t>
      </w:r>
      <w:r w:rsidR="006724FC" w:rsidRPr="0038510C">
        <w:rPr>
          <w:rFonts w:ascii="Times New Roman" w:hAnsi="Times New Roman" w:cs="Times New Roman"/>
          <w:sz w:val="24"/>
          <w:szCs w:val="24"/>
        </w:rPr>
        <w:t xml:space="preserve"> enhanced behavioural performance to tactile </w:t>
      </w:r>
      <w:r w:rsidRPr="0038510C">
        <w:rPr>
          <w:rFonts w:ascii="Times New Roman" w:hAnsi="Times New Roman" w:cs="Times New Roman"/>
          <w:sz w:val="24"/>
          <w:szCs w:val="24"/>
        </w:rPr>
        <w:t>events</w:t>
      </w:r>
      <w:r w:rsidR="006724FC" w:rsidRPr="0038510C">
        <w:rPr>
          <w:rFonts w:ascii="Times New Roman" w:hAnsi="Times New Roman" w:cs="Times New Roman"/>
          <w:sz w:val="24"/>
          <w:szCs w:val="24"/>
        </w:rPr>
        <w:t xml:space="preserve"> presented a</w:t>
      </w:r>
      <w:r w:rsidR="005740E8" w:rsidRPr="0038510C">
        <w:rPr>
          <w:rFonts w:ascii="Times New Roman" w:hAnsi="Times New Roman" w:cs="Times New Roman"/>
          <w:sz w:val="24"/>
          <w:szCs w:val="24"/>
        </w:rPr>
        <w:t xml:space="preserve">t the </w:t>
      </w:r>
      <w:r w:rsidR="00456367" w:rsidRPr="0038510C">
        <w:rPr>
          <w:rFonts w:ascii="Times New Roman" w:hAnsi="Times New Roman" w:cs="Times New Roman"/>
          <w:sz w:val="24"/>
          <w:szCs w:val="24"/>
        </w:rPr>
        <w:t>location of an upcoming saccade</w:t>
      </w:r>
      <w:r w:rsidR="006724FC" w:rsidRPr="0038510C">
        <w:rPr>
          <w:rFonts w:ascii="Times New Roman" w:hAnsi="Times New Roman" w:cs="Times New Roman"/>
          <w:sz w:val="24"/>
          <w:szCs w:val="24"/>
        </w:rPr>
        <w:t xml:space="preserve"> has been reported (Rorden, 2002; Juravle &amp; Deubel, 2009)</w:t>
      </w:r>
      <w:r w:rsidR="00456367" w:rsidRPr="0038510C">
        <w:rPr>
          <w:rFonts w:ascii="Times New Roman" w:hAnsi="Times New Roman" w:cs="Times New Roman"/>
          <w:sz w:val="24"/>
          <w:szCs w:val="24"/>
        </w:rPr>
        <w:t xml:space="preserve">. </w:t>
      </w:r>
      <w:r w:rsidR="004C5C35" w:rsidRPr="0038510C">
        <w:rPr>
          <w:rFonts w:ascii="Times New Roman" w:hAnsi="Times New Roman" w:cs="Times New Roman"/>
          <w:sz w:val="24"/>
          <w:szCs w:val="24"/>
        </w:rPr>
        <w:t xml:space="preserve">Gherri </w:t>
      </w:r>
      <w:r w:rsidR="0046404F" w:rsidRPr="0038510C">
        <w:rPr>
          <w:rFonts w:ascii="Times New Roman" w:hAnsi="Times New Roman" w:cs="Times New Roman"/>
          <w:sz w:val="24"/>
          <w:szCs w:val="24"/>
        </w:rPr>
        <w:t xml:space="preserve">and </w:t>
      </w:r>
      <w:r w:rsidR="004C5C35" w:rsidRPr="0038510C">
        <w:rPr>
          <w:rFonts w:ascii="Times New Roman" w:hAnsi="Times New Roman" w:cs="Times New Roman"/>
          <w:sz w:val="24"/>
          <w:szCs w:val="24"/>
        </w:rPr>
        <w:t>Eimer (2008)</w:t>
      </w:r>
      <w:r w:rsidR="002926B3" w:rsidRPr="0038510C">
        <w:rPr>
          <w:rFonts w:ascii="Times New Roman" w:hAnsi="Times New Roman" w:cs="Times New Roman"/>
          <w:sz w:val="24"/>
          <w:szCs w:val="24"/>
        </w:rPr>
        <w:t xml:space="preserve"> also</w:t>
      </w:r>
      <w:r w:rsidR="004C5C35" w:rsidRPr="0038510C">
        <w:rPr>
          <w:rFonts w:ascii="Times New Roman" w:hAnsi="Times New Roman" w:cs="Times New Roman"/>
          <w:sz w:val="24"/>
          <w:szCs w:val="24"/>
        </w:rPr>
        <w:t xml:space="preserve"> provided</w:t>
      </w:r>
      <w:r w:rsidR="00FC72E7" w:rsidRPr="0038510C">
        <w:rPr>
          <w:rFonts w:ascii="Times New Roman" w:hAnsi="Times New Roman" w:cs="Times New Roman"/>
          <w:sz w:val="24"/>
          <w:szCs w:val="24"/>
        </w:rPr>
        <w:t xml:space="preserve"> electrophysiological evidence</w:t>
      </w:r>
      <w:r w:rsidR="00456367" w:rsidRPr="0038510C">
        <w:rPr>
          <w:rFonts w:ascii="Times New Roman" w:hAnsi="Times New Roman" w:cs="Times New Roman"/>
          <w:sz w:val="24"/>
          <w:szCs w:val="24"/>
        </w:rPr>
        <w:t xml:space="preserve"> for enhanced processing of </w:t>
      </w:r>
      <w:r w:rsidR="006724FC" w:rsidRPr="0038510C">
        <w:rPr>
          <w:rFonts w:ascii="Times New Roman" w:hAnsi="Times New Roman" w:cs="Times New Roman"/>
          <w:sz w:val="24"/>
          <w:szCs w:val="24"/>
        </w:rPr>
        <w:t>tactile</w:t>
      </w:r>
      <w:r w:rsidR="00456367" w:rsidRPr="0038510C">
        <w:rPr>
          <w:rFonts w:ascii="Times New Roman" w:hAnsi="Times New Roman" w:cs="Times New Roman"/>
          <w:sz w:val="24"/>
          <w:szCs w:val="24"/>
        </w:rPr>
        <w:t xml:space="preserve"> stimuli presented at the goal</w:t>
      </w:r>
      <w:r w:rsidR="00A40B6A" w:rsidRPr="0038510C">
        <w:rPr>
          <w:rFonts w:ascii="Times New Roman" w:hAnsi="Times New Roman" w:cs="Times New Roman"/>
          <w:sz w:val="24"/>
          <w:szCs w:val="24"/>
        </w:rPr>
        <w:t xml:space="preserve"> location</w:t>
      </w:r>
      <w:r w:rsidR="00456367" w:rsidRPr="0038510C">
        <w:rPr>
          <w:rFonts w:ascii="Times New Roman" w:hAnsi="Times New Roman" w:cs="Times New Roman"/>
          <w:sz w:val="24"/>
          <w:szCs w:val="24"/>
        </w:rPr>
        <w:t xml:space="preserve"> of a saccade, as demonstra</w:t>
      </w:r>
      <w:r w:rsidR="00DD3D0A" w:rsidRPr="0038510C">
        <w:rPr>
          <w:rFonts w:ascii="Times New Roman" w:hAnsi="Times New Roman" w:cs="Times New Roman"/>
          <w:sz w:val="24"/>
          <w:szCs w:val="24"/>
        </w:rPr>
        <w:t>ted</w:t>
      </w:r>
      <w:r w:rsidR="002926B3" w:rsidRPr="0038510C">
        <w:rPr>
          <w:rFonts w:ascii="Times New Roman" w:hAnsi="Times New Roman" w:cs="Times New Roman"/>
          <w:sz w:val="24"/>
          <w:szCs w:val="24"/>
        </w:rPr>
        <w:t xml:space="preserve"> by</w:t>
      </w:r>
      <w:r w:rsidR="00DD3D0A" w:rsidRPr="0038510C">
        <w:rPr>
          <w:rFonts w:ascii="Times New Roman" w:hAnsi="Times New Roman" w:cs="Times New Roman"/>
          <w:sz w:val="24"/>
          <w:szCs w:val="24"/>
        </w:rPr>
        <w:t xml:space="preserve"> </w:t>
      </w:r>
      <w:r w:rsidRPr="0038510C">
        <w:rPr>
          <w:rFonts w:ascii="Times New Roman" w:hAnsi="Times New Roman" w:cs="Times New Roman"/>
          <w:sz w:val="24"/>
          <w:szCs w:val="24"/>
        </w:rPr>
        <w:t>increased</w:t>
      </w:r>
      <w:r w:rsidR="00456367" w:rsidRPr="0038510C">
        <w:rPr>
          <w:rFonts w:ascii="Times New Roman" w:hAnsi="Times New Roman" w:cs="Times New Roman"/>
          <w:sz w:val="24"/>
          <w:szCs w:val="24"/>
        </w:rPr>
        <w:t xml:space="preserve"> </w:t>
      </w:r>
      <w:r w:rsidR="002926B3" w:rsidRPr="0038510C">
        <w:rPr>
          <w:rFonts w:ascii="Times New Roman" w:hAnsi="Times New Roman" w:cs="Times New Roman"/>
          <w:sz w:val="24"/>
          <w:szCs w:val="24"/>
        </w:rPr>
        <w:t>amplitude of the somatosensory</w:t>
      </w:r>
      <w:r w:rsidR="00456367" w:rsidRPr="0038510C">
        <w:rPr>
          <w:rFonts w:ascii="Times New Roman" w:hAnsi="Times New Roman" w:cs="Times New Roman"/>
          <w:sz w:val="24"/>
          <w:szCs w:val="24"/>
        </w:rPr>
        <w:t xml:space="preserve"> N140 component </w:t>
      </w:r>
      <w:r w:rsidR="002926B3" w:rsidRPr="0038510C">
        <w:rPr>
          <w:rFonts w:ascii="Times New Roman" w:hAnsi="Times New Roman" w:cs="Times New Roman"/>
          <w:sz w:val="24"/>
          <w:szCs w:val="24"/>
        </w:rPr>
        <w:t>elicited by</w:t>
      </w:r>
      <w:r w:rsidR="00456367" w:rsidRPr="0038510C">
        <w:rPr>
          <w:rFonts w:ascii="Times New Roman" w:hAnsi="Times New Roman" w:cs="Times New Roman"/>
          <w:sz w:val="24"/>
          <w:szCs w:val="24"/>
        </w:rPr>
        <w:t xml:space="preserve"> </w:t>
      </w:r>
      <w:r w:rsidR="00DD3D0A" w:rsidRPr="0038510C">
        <w:rPr>
          <w:rFonts w:ascii="Times New Roman" w:hAnsi="Times New Roman" w:cs="Times New Roman"/>
          <w:sz w:val="24"/>
          <w:szCs w:val="24"/>
        </w:rPr>
        <w:t xml:space="preserve">tactile </w:t>
      </w:r>
      <w:r w:rsidRPr="0038510C">
        <w:rPr>
          <w:rFonts w:ascii="Times New Roman" w:hAnsi="Times New Roman" w:cs="Times New Roman"/>
          <w:sz w:val="24"/>
          <w:szCs w:val="24"/>
        </w:rPr>
        <w:t xml:space="preserve">stimuli </w:t>
      </w:r>
      <w:r w:rsidR="00456367" w:rsidRPr="0038510C">
        <w:rPr>
          <w:rFonts w:ascii="Times New Roman" w:hAnsi="Times New Roman" w:cs="Times New Roman"/>
          <w:sz w:val="24"/>
          <w:szCs w:val="24"/>
        </w:rPr>
        <w:t xml:space="preserve">presented </w:t>
      </w:r>
      <w:r w:rsidR="002926B3" w:rsidRPr="0038510C">
        <w:rPr>
          <w:rFonts w:ascii="Times New Roman" w:hAnsi="Times New Roman" w:cs="Times New Roman"/>
          <w:sz w:val="24"/>
          <w:szCs w:val="24"/>
        </w:rPr>
        <w:t>at the location of an upcoming saccade, relative to the opposite location</w:t>
      </w:r>
      <w:r w:rsidR="00456367" w:rsidRPr="0038510C">
        <w:rPr>
          <w:rFonts w:ascii="Times New Roman" w:hAnsi="Times New Roman" w:cs="Times New Roman"/>
          <w:sz w:val="24"/>
          <w:szCs w:val="24"/>
        </w:rPr>
        <w:t>.</w:t>
      </w:r>
      <w:r w:rsidR="006724FC" w:rsidRPr="0038510C">
        <w:rPr>
          <w:rFonts w:ascii="Times New Roman" w:hAnsi="Times New Roman" w:cs="Times New Roman"/>
          <w:sz w:val="24"/>
          <w:szCs w:val="24"/>
        </w:rPr>
        <w:t xml:space="preserve"> </w:t>
      </w:r>
      <w:r w:rsidR="00D16489" w:rsidRPr="0038510C">
        <w:rPr>
          <w:rFonts w:ascii="Times New Roman" w:hAnsi="Times New Roman" w:cs="Times New Roman"/>
          <w:sz w:val="24"/>
          <w:szCs w:val="24"/>
        </w:rPr>
        <w:t xml:space="preserve">The preparation of </w:t>
      </w:r>
      <w:r w:rsidR="002C73E8" w:rsidRPr="0038510C">
        <w:rPr>
          <w:rFonts w:ascii="Times New Roman" w:hAnsi="Times New Roman" w:cs="Times New Roman"/>
          <w:sz w:val="24"/>
          <w:szCs w:val="24"/>
        </w:rPr>
        <w:t xml:space="preserve">manual movements also modulates </w:t>
      </w:r>
      <w:r w:rsidR="002926B3" w:rsidRPr="0038510C">
        <w:rPr>
          <w:rFonts w:ascii="Times New Roman" w:hAnsi="Times New Roman" w:cs="Times New Roman"/>
          <w:sz w:val="24"/>
          <w:szCs w:val="24"/>
        </w:rPr>
        <w:t xml:space="preserve"> t</w:t>
      </w:r>
      <w:r w:rsidR="006724FC" w:rsidRPr="0038510C">
        <w:rPr>
          <w:rFonts w:ascii="Times New Roman" w:hAnsi="Times New Roman" w:cs="Times New Roman"/>
          <w:sz w:val="24"/>
          <w:szCs w:val="24"/>
        </w:rPr>
        <w:t>he somatosensory N140 elicited by tactile stimuli presented to the effector hand</w:t>
      </w:r>
      <w:r w:rsidR="00D16489" w:rsidRPr="0038510C">
        <w:rPr>
          <w:rFonts w:ascii="Times New Roman" w:hAnsi="Times New Roman" w:cs="Times New Roman"/>
          <w:sz w:val="24"/>
          <w:szCs w:val="24"/>
        </w:rPr>
        <w:t xml:space="preserve"> (Forster &amp; Eimer, 2007). </w:t>
      </w:r>
      <w:r w:rsidR="00E1763E" w:rsidRPr="0038510C">
        <w:rPr>
          <w:rFonts w:ascii="Times New Roman" w:hAnsi="Times New Roman" w:cs="Times New Roman"/>
          <w:sz w:val="24"/>
          <w:szCs w:val="24"/>
        </w:rPr>
        <w:t xml:space="preserve">Although </w:t>
      </w:r>
      <w:r w:rsidR="005740E8" w:rsidRPr="0038510C">
        <w:rPr>
          <w:rFonts w:ascii="Times New Roman" w:hAnsi="Times New Roman" w:cs="Times New Roman"/>
          <w:sz w:val="24"/>
          <w:szCs w:val="24"/>
        </w:rPr>
        <w:t xml:space="preserve">tactile processing on the hands was investigated in these studies </w:t>
      </w:r>
      <w:r w:rsidR="005740E8" w:rsidRPr="0038510C">
        <w:rPr>
          <w:rFonts w:ascii="Times New Roman" w:hAnsi="Times New Roman" w:cs="Times New Roman"/>
          <w:sz w:val="24"/>
          <w:szCs w:val="24"/>
        </w:rPr>
        <w:lastRenderedPageBreak/>
        <w:t>(Rorden, 2002; Gherri &amp; Eimer, 2008)</w:t>
      </w:r>
      <w:r w:rsidR="00E1763E" w:rsidRPr="0038510C">
        <w:rPr>
          <w:rFonts w:ascii="Times New Roman" w:hAnsi="Times New Roman" w:cs="Times New Roman"/>
          <w:sz w:val="24"/>
          <w:szCs w:val="24"/>
        </w:rPr>
        <w:t>, the</w:t>
      </w:r>
      <w:r w:rsidR="00E7440A" w:rsidRPr="0038510C">
        <w:rPr>
          <w:rFonts w:ascii="Times New Roman" w:hAnsi="Times New Roman" w:cs="Times New Roman"/>
          <w:sz w:val="24"/>
          <w:szCs w:val="24"/>
        </w:rPr>
        <w:t xml:space="preserve"> stimulated</w:t>
      </w:r>
      <w:r w:rsidR="00E1763E" w:rsidRPr="0038510C">
        <w:rPr>
          <w:rFonts w:ascii="Times New Roman" w:hAnsi="Times New Roman" w:cs="Times New Roman"/>
          <w:sz w:val="24"/>
          <w:szCs w:val="24"/>
        </w:rPr>
        <w:t xml:space="preserve"> hands were positioned in peripersonal space in front of participants</w:t>
      </w:r>
      <w:r w:rsidR="00E7440A" w:rsidRPr="0038510C">
        <w:rPr>
          <w:rFonts w:ascii="Times New Roman" w:hAnsi="Times New Roman" w:cs="Times New Roman"/>
          <w:sz w:val="24"/>
          <w:szCs w:val="24"/>
        </w:rPr>
        <w:t xml:space="preserve"> and thus occupied a region of </w:t>
      </w:r>
      <w:r w:rsidR="00A40B6A" w:rsidRPr="0038510C">
        <w:rPr>
          <w:rFonts w:ascii="Times New Roman" w:hAnsi="Times New Roman" w:cs="Times New Roman"/>
          <w:sz w:val="24"/>
          <w:szCs w:val="24"/>
        </w:rPr>
        <w:t xml:space="preserve">space </w:t>
      </w:r>
      <w:r w:rsidR="00876AE8" w:rsidRPr="0038510C">
        <w:rPr>
          <w:rFonts w:ascii="Times New Roman" w:hAnsi="Times New Roman" w:cs="Times New Roman"/>
          <w:sz w:val="24"/>
          <w:szCs w:val="24"/>
        </w:rPr>
        <w:t>that is also accessible to vision</w:t>
      </w:r>
      <w:r w:rsidR="00E1763E" w:rsidRPr="0038510C">
        <w:rPr>
          <w:rFonts w:ascii="Times New Roman" w:hAnsi="Times New Roman" w:cs="Times New Roman"/>
          <w:sz w:val="24"/>
          <w:szCs w:val="24"/>
        </w:rPr>
        <w:t xml:space="preserve">. </w:t>
      </w:r>
    </w:p>
    <w:p w:rsidR="00B100B7" w:rsidRPr="0038510C" w:rsidRDefault="00876AE8"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 xml:space="preserve">An unanswered question remains whether tactile processing </w:t>
      </w:r>
      <w:r w:rsidR="002029FB" w:rsidRPr="0038510C">
        <w:rPr>
          <w:rFonts w:ascii="Times New Roman" w:hAnsi="Times New Roman" w:cs="Times New Roman"/>
          <w:sz w:val="24"/>
          <w:szCs w:val="24"/>
        </w:rPr>
        <w:t xml:space="preserve">in personal space </w:t>
      </w:r>
      <w:r w:rsidRPr="0038510C">
        <w:rPr>
          <w:rFonts w:ascii="Times New Roman" w:hAnsi="Times New Roman" w:cs="Times New Roman"/>
          <w:sz w:val="24"/>
          <w:szCs w:val="24"/>
        </w:rPr>
        <w:t>is modulated</w:t>
      </w:r>
      <w:r w:rsidR="001F703D" w:rsidRPr="0038510C">
        <w:rPr>
          <w:rFonts w:ascii="Times New Roman" w:hAnsi="Times New Roman" w:cs="Times New Roman"/>
          <w:sz w:val="24"/>
          <w:szCs w:val="24"/>
        </w:rPr>
        <w:t xml:space="preserve"> by movement preparation </w:t>
      </w:r>
      <w:r w:rsidR="002029FB" w:rsidRPr="0038510C">
        <w:rPr>
          <w:rFonts w:ascii="Times New Roman" w:hAnsi="Times New Roman" w:cs="Times New Roman"/>
          <w:sz w:val="24"/>
          <w:szCs w:val="24"/>
        </w:rPr>
        <w:t xml:space="preserve">toward the body, in a similar fashion to visual processing in peripersonal space.  </w:t>
      </w:r>
      <w:r w:rsidR="00C17E93" w:rsidRPr="0038510C">
        <w:rPr>
          <w:rFonts w:ascii="Times New Roman" w:hAnsi="Times New Roman" w:cs="Times New Roman"/>
          <w:sz w:val="24"/>
          <w:szCs w:val="24"/>
        </w:rPr>
        <w:t xml:space="preserve">If the </w:t>
      </w:r>
      <w:r w:rsidR="00852FE1" w:rsidRPr="0038510C">
        <w:rPr>
          <w:rFonts w:ascii="Times New Roman" w:hAnsi="Times New Roman" w:cs="Times New Roman"/>
          <w:sz w:val="24"/>
          <w:szCs w:val="24"/>
        </w:rPr>
        <w:t>programming of all spatially directed movements results</w:t>
      </w:r>
      <w:r w:rsidR="00C17E93" w:rsidRPr="0038510C">
        <w:rPr>
          <w:rFonts w:ascii="Times New Roman" w:hAnsi="Times New Roman" w:cs="Times New Roman"/>
          <w:sz w:val="24"/>
          <w:szCs w:val="24"/>
        </w:rPr>
        <w:t xml:space="preserve"> in shifts of attention, then the preparation of a movement towards personal space should modulate tactile processing at the goal location</w:t>
      </w:r>
      <w:r w:rsidR="00841371" w:rsidRPr="0038510C">
        <w:rPr>
          <w:rFonts w:ascii="Times New Roman" w:hAnsi="Times New Roman" w:cs="Times New Roman"/>
          <w:sz w:val="24"/>
          <w:szCs w:val="24"/>
        </w:rPr>
        <w:t>, irrespective of the availability of visual information about the goal location</w:t>
      </w:r>
      <w:r w:rsidR="00C17E93" w:rsidRPr="0038510C">
        <w:rPr>
          <w:rFonts w:ascii="Times New Roman" w:hAnsi="Times New Roman" w:cs="Times New Roman"/>
          <w:sz w:val="24"/>
          <w:szCs w:val="24"/>
        </w:rPr>
        <w:t xml:space="preserve">. </w:t>
      </w:r>
      <w:r w:rsidR="005740E8" w:rsidRPr="0038510C">
        <w:rPr>
          <w:rFonts w:ascii="Times New Roman" w:hAnsi="Times New Roman" w:cs="Times New Roman"/>
          <w:sz w:val="24"/>
          <w:szCs w:val="24"/>
        </w:rPr>
        <w:t>This</w:t>
      </w:r>
      <w:r w:rsidR="00733906" w:rsidRPr="0038510C">
        <w:rPr>
          <w:rFonts w:ascii="Times New Roman" w:hAnsi="Times New Roman" w:cs="Times New Roman"/>
          <w:sz w:val="24"/>
          <w:szCs w:val="24"/>
        </w:rPr>
        <w:t xml:space="preserve"> hypothesis is addressed </w:t>
      </w:r>
      <w:r w:rsidR="00E7440A" w:rsidRPr="0038510C">
        <w:rPr>
          <w:rFonts w:ascii="Times New Roman" w:hAnsi="Times New Roman" w:cs="Times New Roman"/>
          <w:sz w:val="24"/>
          <w:szCs w:val="24"/>
        </w:rPr>
        <w:t>with the use of event-related potentials in response to stimuli delivered during the planning of goal-</w:t>
      </w:r>
      <w:r w:rsidR="004C5C35" w:rsidRPr="0038510C">
        <w:rPr>
          <w:rFonts w:ascii="Times New Roman" w:hAnsi="Times New Roman" w:cs="Times New Roman"/>
          <w:sz w:val="24"/>
          <w:szCs w:val="24"/>
        </w:rPr>
        <w:t>d</w:t>
      </w:r>
      <w:r w:rsidR="00E7440A" w:rsidRPr="0038510C">
        <w:rPr>
          <w:rFonts w:ascii="Times New Roman" w:hAnsi="Times New Roman" w:cs="Times New Roman"/>
          <w:sz w:val="24"/>
          <w:szCs w:val="24"/>
        </w:rPr>
        <w:t>irected movements</w:t>
      </w:r>
      <w:r w:rsidR="004C5C35" w:rsidRPr="0038510C">
        <w:rPr>
          <w:rFonts w:ascii="Times New Roman" w:hAnsi="Times New Roman" w:cs="Times New Roman"/>
          <w:sz w:val="24"/>
          <w:szCs w:val="24"/>
        </w:rPr>
        <w:t xml:space="preserve"> towards personal and peripersonal space.</w:t>
      </w:r>
      <w:r w:rsidR="00C17E93" w:rsidRPr="0038510C">
        <w:rPr>
          <w:rFonts w:ascii="Times New Roman" w:hAnsi="Times New Roman" w:cs="Times New Roman"/>
          <w:sz w:val="24"/>
          <w:szCs w:val="24"/>
        </w:rPr>
        <w:t xml:space="preserve"> </w:t>
      </w:r>
      <w:r w:rsidR="00167B92" w:rsidRPr="0038510C">
        <w:rPr>
          <w:rFonts w:ascii="Times New Roman" w:hAnsi="Times New Roman" w:cs="Times New Roman"/>
          <w:sz w:val="24"/>
          <w:szCs w:val="24"/>
        </w:rPr>
        <w:t xml:space="preserve">This study employs a motor task in which participants are cued to prepare a reaching movement to a goal location </w:t>
      </w:r>
      <w:r w:rsidR="00841371" w:rsidRPr="0038510C">
        <w:rPr>
          <w:rFonts w:ascii="Times New Roman" w:hAnsi="Times New Roman" w:cs="Times New Roman"/>
          <w:sz w:val="24"/>
          <w:szCs w:val="24"/>
        </w:rPr>
        <w:t xml:space="preserve">in </w:t>
      </w:r>
      <w:r w:rsidR="00167B92" w:rsidRPr="0038510C">
        <w:rPr>
          <w:rFonts w:ascii="Times New Roman" w:hAnsi="Times New Roman" w:cs="Times New Roman"/>
          <w:sz w:val="24"/>
          <w:szCs w:val="24"/>
        </w:rPr>
        <w:t>either personal or peripersonal space. Tactile processing in an unseen area of personal space is assessed during movement preparation using task-irrelevant tactile probes delivered to the sternum area of the chest. Tactile probe</w:t>
      </w:r>
      <w:r w:rsidR="00924034">
        <w:rPr>
          <w:rFonts w:ascii="Times New Roman" w:hAnsi="Times New Roman" w:cs="Times New Roman"/>
          <w:sz w:val="24"/>
          <w:szCs w:val="24"/>
        </w:rPr>
        <w:t>-</w:t>
      </w:r>
      <w:r w:rsidR="00167B92" w:rsidRPr="0038510C">
        <w:rPr>
          <w:rFonts w:ascii="Times New Roman" w:hAnsi="Times New Roman" w:cs="Times New Roman"/>
          <w:sz w:val="24"/>
          <w:szCs w:val="24"/>
        </w:rPr>
        <w:t xml:space="preserve">evoked ERPs elicited during personal movement preparation are compared to ERPs elicited by the same tactile stimulus during peripersonal movement preparation. </w:t>
      </w:r>
      <w:r w:rsidR="00033F5C" w:rsidRPr="0038510C">
        <w:rPr>
          <w:rFonts w:ascii="Times New Roman" w:hAnsi="Times New Roman" w:cs="Times New Roman"/>
          <w:sz w:val="24"/>
          <w:szCs w:val="24"/>
        </w:rPr>
        <w:t xml:space="preserve">The somatosensory N140 ERP component is expected to show </w:t>
      </w:r>
      <w:r w:rsidR="009521CD" w:rsidRPr="0038510C">
        <w:rPr>
          <w:rFonts w:ascii="Times New Roman" w:hAnsi="Times New Roman" w:cs="Times New Roman"/>
          <w:sz w:val="24"/>
          <w:szCs w:val="24"/>
        </w:rPr>
        <w:t>enhanced</w:t>
      </w:r>
      <w:r w:rsidR="00033F5C" w:rsidRPr="0038510C">
        <w:rPr>
          <w:rFonts w:ascii="Times New Roman" w:hAnsi="Times New Roman" w:cs="Times New Roman"/>
          <w:sz w:val="24"/>
          <w:szCs w:val="24"/>
        </w:rPr>
        <w:t xml:space="preserve"> amplitude during the preparation of a movement towards personal space,</w:t>
      </w:r>
      <w:r w:rsidR="00A40B6A" w:rsidRPr="0038510C">
        <w:rPr>
          <w:rFonts w:ascii="Times New Roman" w:hAnsi="Times New Roman" w:cs="Times New Roman"/>
          <w:sz w:val="24"/>
          <w:szCs w:val="24"/>
        </w:rPr>
        <w:t xml:space="preserve"> relative to peripersonal space</w:t>
      </w:r>
      <w:r w:rsidR="00CE010D" w:rsidRPr="0038510C">
        <w:rPr>
          <w:rFonts w:ascii="Times New Roman" w:hAnsi="Times New Roman" w:cs="Times New Roman"/>
          <w:sz w:val="24"/>
          <w:szCs w:val="24"/>
        </w:rPr>
        <w:t>.</w:t>
      </w:r>
      <w:r w:rsidR="007257D9" w:rsidRPr="0038510C">
        <w:rPr>
          <w:rFonts w:ascii="Times New Roman" w:hAnsi="Times New Roman" w:cs="Times New Roman"/>
          <w:sz w:val="24"/>
          <w:szCs w:val="24"/>
        </w:rPr>
        <w:t xml:space="preserve"> Similarly, task-irrelevant visual probes are presented at the goal location of the peripersonal movement. Visual probe evoked </w:t>
      </w:r>
      <w:r w:rsidR="00D87DCB" w:rsidRPr="0038510C">
        <w:rPr>
          <w:rFonts w:ascii="Times New Roman" w:hAnsi="Times New Roman" w:cs="Times New Roman"/>
          <w:sz w:val="24"/>
          <w:szCs w:val="24"/>
        </w:rPr>
        <w:t>ERPs</w:t>
      </w:r>
      <w:r w:rsidR="007257D9" w:rsidRPr="0038510C">
        <w:rPr>
          <w:rFonts w:ascii="Times New Roman" w:hAnsi="Times New Roman" w:cs="Times New Roman"/>
          <w:sz w:val="24"/>
          <w:szCs w:val="24"/>
        </w:rPr>
        <w:t xml:space="preserve"> elicited during peripersonal movement preparation are compared to </w:t>
      </w:r>
      <w:r w:rsidR="00D87DCB" w:rsidRPr="0038510C">
        <w:rPr>
          <w:rFonts w:ascii="Times New Roman" w:hAnsi="Times New Roman" w:cs="Times New Roman"/>
          <w:sz w:val="24"/>
          <w:szCs w:val="24"/>
        </w:rPr>
        <w:t>ERPs</w:t>
      </w:r>
      <w:r w:rsidR="007257D9" w:rsidRPr="0038510C">
        <w:rPr>
          <w:rFonts w:ascii="Times New Roman" w:hAnsi="Times New Roman" w:cs="Times New Roman"/>
          <w:sz w:val="24"/>
          <w:szCs w:val="24"/>
        </w:rPr>
        <w:t xml:space="preserve"> elicited during personal movement preparation. </w:t>
      </w:r>
      <w:r w:rsidR="009521CD" w:rsidRPr="0038510C">
        <w:rPr>
          <w:rFonts w:ascii="Times New Roman" w:hAnsi="Times New Roman" w:cs="Times New Roman"/>
          <w:sz w:val="24"/>
          <w:szCs w:val="24"/>
        </w:rPr>
        <w:t>Early visual ERP components such as the</w:t>
      </w:r>
      <w:r w:rsidR="00CE52E8">
        <w:rPr>
          <w:rFonts w:ascii="Times New Roman" w:hAnsi="Times New Roman" w:cs="Times New Roman"/>
          <w:sz w:val="24"/>
          <w:szCs w:val="24"/>
        </w:rPr>
        <w:t xml:space="preserve"> P1 and </w:t>
      </w:r>
      <w:r w:rsidR="009521CD" w:rsidRPr="0038510C">
        <w:rPr>
          <w:rFonts w:ascii="Times New Roman" w:hAnsi="Times New Roman" w:cs="Times New Roman"/>
          <w:sz w:val="24"/>
          <w:szCs w:val="24"/>
        </w:rPr>
        <w:t xml:space="preserve">N1 are expected to be enhanced during movement preparation towards peripersonal space relative to personal space, </w:t>
      </w:r>
      <w:r w:rsidR="00924034">
        <w:rPr>
          <w:rFonts w:ascii="Times New Roman" w:hAnsi="Times New Roman" w:cs="Times New Roman"/>
          <w:sz w:val="24"/>
          <w:szCs w:val="24"/>
        </w:rPr>
        <w:t>similar to</w:t>
      </w:r>
      <w:r w:rsidR="009521CD" w:rsidRPr="0038510C">
        <w:rPr>
          <w:rFonts w:ascii="Times New Roman" w:hAnsi="Times New Roman" w:cs="Times New Roman"/>
          <w:sz w:val="24"/>
          <w:szCs w:val="24"/>
        </w:rPr>
        <w:t xml:space="preserve"> previously reported</w:t>
      </w:r>
      <w:r w:rsidR="00924034">
        <w:rPr>
          <w:rFonts w:ascii="Times New Roman" w:hAnsi="Times New Roman" w:cs="Times New Roman"/>
          <w:sz w:val="24"/>
          <w:szCs w:val="24"/>
        </w:rPr>
        <w:t xml:space="preserve"> findings</w:t>
      </w:r>
      <w:r w:rsidR="009521CD" w:rsidRPr="0038510C">
        <w:rPr>
          <w:rFonts w:ascii="Times New Roman" w:hAnsi="Times New Roman" w:cs="Times New Roman"/>
          <w:sz w:val="24"/>
          <w:szCs w:val="24"/>
        </w:rPr>
        <w:t xml:space="preserve"> (Eimer et al, 2006; Gherri et al, 2009, Gherri &amp; Eimer, 2010).</w:t>
      </w:r>
      <w:r w:rsidR="00CE52E8">
        <w:rPr>
          <w:rFonts w:ascii="Times New Roman" w:hAnsi="Times New Roman" w:cs="Times New Roman"/>
          <w:sz w:val="24"/>
          <w:szCs w:val="24"/>
        </w:rPr>
        <w:t xml:space="preserve"> </w:t>
      </w:r>
      <w:r w:rsidR="00167B92" w:rsidRPr="0038510C">
        <w:rPr>
          <w:rFonts w:ascii="Times New Roman" w:hAnsi="Times New Roman" w:cs="Times New Roman"/>
          <w:sz w:val="24"/>
          <w:szCs w:val="24"/>
        </w:rPr>
        <w:t>Thus, this study will address for the first time whether the previously observed effects of movement preparation on visual processing in peripersonal space extend to tactile processing in unseen space.</w:t>
      </w:r>
    </w:p>
    <w:p w:rsidR="004C5C35" w:rsidRPr="0038510C" w:rsidRDefault="004C5C35" w:rsidP="00625F36">
      <w:pPr>
        <w:numPr>
          <w:ilvl w:val="0"/>
          <w:numId w:val="1"/>
        </w:numPr>
        <w:spacing w:line="360" w:lineRule="auto"/>
        <w:jc w:val="center"/>
        <w:rPr>
          <w:rFonts w:ascii="Times New Roman" w:hAnsi="Times New Roman" w:cs="Times New Roman"/>
          <w:b/>
          <w:sz w:val="24"/>
          <w:szCs w:val="24"/>
        </w:rPr>
      </w:pPr>
      <w:r w:rsidRPr="0038510C">
        <w:rPr>
          <w:rFonts w:ascii="Times New Roman" w:hAnsi="Times New Roman" w:cs="Times New Roman"/>
          <w:b/>
          <w:sz w:val="24"/>
          <w:szCs w:val="24"/>
        </w:rPr>
        <w:t>Method</w:t>
      </w:r>
    </w:p>
    <w:p w:rsidR="004C5C35" w:rsidRPr="0038510C" w:rsidRDefault="004C5C35" w:rsidP="00625F36">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Participants</w:t>
      </w:r>
    </w:p>
    <w:p w:rsidR="004C5C35" w:rsidRPr="0038510C" w:rsidRDefault="004C5C35"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Sixteen participants volunteered to take part in the experiment (five male and eleven female aged between 22 and 33 years old, M = 25.5</w:t>
      </w:r>
      <w:r w:rsidR="00C650DF">
        <w:rPr>
          <w:rFonts w:ascii="Times New Roman" w:hAnsi="Times New Roman" w:cs="Times New Roman"/>
          <w:sz w:val="24"/>
          <w:szCs w:val="24"/>
        </w:rPr>
        <w:t>, SD = 3.9</w:t>
      </w:r>
      <w:r w:rsidRPr="0038510C">
        <w:rPr>
          <w:rFonts w:ascii="Times New Roman" w:hAnsi="Times New Roman" w:cs="Times New Roman"/>
          <w:sz w:val="24"/>
          <w:szCs w:val="24"/>
        </w:rPr>
        <w:t>). All participants were right handed and reported norma</w:t>
      </w:r>
      <w:r w:rsidR="00A43ED5" w:rsidRPr="0038510C">
        <w:rPr>
          <w:rFonts w:ascii="Times New Roman" w:hAnsi="Times New Roman" w:cs="Times New Roman"/>
          <w:sz w:val="24"/>
          <w:szCs w:val="24"/>
        </w:rPr>
        <w:t>l or corrected to normal vision</w:t>
      </w:r>
      <w:r w:rsidRPr="0038510C">
        <w:rPr>
          <w:rFonts w:ascii="Times New Roman" w:hAnsi="Times New Roman" w:cs="Times New Roman"/>
          <w:sz w:val="24"/>
          <w:szCs w:val="24"/>
        </w:rPr>
        <w:t xml:space="preserve">. All participants provided written informed consent in accordance with the ethical guidelines presented in the 1964 declaration of </w:t>
      </w:r>
      <w:r w:rsidRPr="0038510C">
        <w:rPr>
          <w:rFonts w:ascii="Times New Roman" w:hAnsi="Times New Roman" w:cs="Times New Roman"/>
          <w:sz w:val="24"/>
          <w:szCs w:val="24"/>
        </w:rPr>
        <w:lastRenderedPageBreak/>
        <w:t xml:space="preserve">Helsinki and approved by the Department of Psychology at Goldsmiths, University of London. </w:t>
      </w:r>
    </w:p>
    <w:p w:rsidR="004C5C35" w:rsidRPr="0038510C" w:rsidRDefault="004C5C35" w:rsidP="00625F36">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Stimuli and Task</w:t>
      </w:r>
    </w:p>
    <w:p w:rsidR="004C5C35" w:rsidRPr="0038510C" w:rsidRDefault="00A40B6A"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A</w:t>
      </w:r>
      <w:r w:rsidR="004C5C35" w:rsidRPr="0038510C">
        <w:rPr>
          <w:rFonts w:ascii="Times New Roman" w:hAnsi="Times New Roman" w:cs="Times New Roman"/>
          <w:sz w:val="24"/>
          <w:szCs w:val="24"/>
        </w:rPr>
        <w:t xml:space="preserve"> GO/NOGO task was implemented using E-Prime software </w:t>
      </w:r>
      <w:r w:rsidR="00CE010D" w:rsidRPr="0038510C">
        <w:rPr>
          <w:rFonts w:ascii="Times New Roman" w:hAnsi="Times New Roman" w:cs="Times New Roman"/>
          <w:sz w:val="24"/>
          <w:szCs w:val="24"/>
        </w:rPr>
        <w:t xml:space="preserve">(Schneider, Eschman &amp; Zuccolotto, 2002) </w:t>
      </w:r>
      <w:r w:rsidR="004C5C35" w:rsidRPr="0038510C">
        <w:rPr>
          <w:rFonts w:ascii="Times New Roman" w:hAnsi="Times New Roman" w:cs="Times New Roman"/>
          <w:sz w:val="24"/>
          <w:szCs w:val="24"/>
        </w:rPr>
        <w:t>and consisted of auditory cues presented through speakers</w:t>
      </w:r>
      <w:r w:rsidR="00DD3D0A" w:rsidRPr="0038510C">
        <w:rPr>
          <w:rFonts w:ascii="Times New Roman" w:hAnsi="Times New Roman" w:cs="Times New Roman"/>
          <w:sz w:val="24"/>
          <w:szCs w:val="24"/>
        </w:rPr>
        <w:t xml:space="preserve"> symmetrically</w:t>
      </w:r>
      <w:r w:rsidR="004C5C35" w:rsidRPr="0038510C">
        <w:rPr>
          <w:rFonts w:ascii="Times New Roman" w:hAnsi="Times New Roman" w:cs="Times New Roman"/>
          <w:sz w:val="24"/>
          <w:szCs w:val="24"/>
        </w:rPr>
        <w:t xml:space="preserve"> aligned</w:t>
      </w:r>
      <w:r w:rsidR="00DD3D0A" w:rsidRPr="0038510C">
        <w:rPr>
          <w:rFonts w:ascii="Times New Roman" w:hAnsi="Times New Roman" w:cs="Times New Roman"/>
          <w:sz w:val="24"/>
          <w:szCs w:val="24"/>
        </w:rPr>
        <w:t xml:space="preserve"> 35cm in front of participants</w:t>
      </w:r>
      <w:r w:rsidR="004C5C35" w:rsidRPr="0038510C">
        <w:rPr>
          <w:rFonts w:ascii="Times New Roman" w:hAnsi="Times New Roman" w:cs="Times New Roman"/>
          <w:sz w:val="24"/>
          <w:szCs w:val="24"/>
        </w:rPr>
        <w:t>. The auditory cue and the response required were counterb</w:t>
      </w:r>
      <w:r w:rsidR="00DD3D0A" w:rsidRPr="0038510C">
        <w:rPr>
          <w:rFonts w:ascii="Times New Roman" w:hAnsi="Times New Roman" w:cs="Times New Roman"/>
          <w:sz w:val="24"/>
          <w:szCs w:val="24"/>
        </w:rPr>
        <w:t>alanced across participants; h</w:t>
      </w:r>
      <w:r w:rsidRPr="0038510C">
        <w:rPr>
          <w:rFonts w:ascii="Times New Roman" w:hAnsi="Times New Roman" w:cs="Times New Roman"/>
          <w:sz w:val="24"/>
          <w:szCs w:val="24"/>
        </w:rPr>
        <w:t>alf</w:t>
      </w:r>
      <w:r w:rsidR="00DD3D0A" w:rsidRPr="0038510C">
        <w:rPr>
          <w:rFonts w:ascii="Times New Roman" w:hAnsi="Times New Roman" w:cs="Times New Roman"/>
          <w:sz w:val="24"/>
          <w:szCs w:val="24"/>
        </w:rPr>
        <w:t xml:space="preserve"> of participants </w:t>
      </w:r>
      <w:r w:rsidR="004C5C35" w:rsidRPr="0038510C">
        <w:rPr>
          <w:rFonts w:ascii="Times New Roman" w:hAnsi="Times New Roman" w:cs="Times New Roman"/>
          <w:sz w:val="24"/>
          <w:szCs w:val="24"/>
        </w:rPr>
        <w:t>prep</w:t>
      </w:r>
      <w:r w:rsidR="008A05EE" w:rsidRPr="0038510C">
        <w:rPr>
          <w:rFonts w:ascii="Times New Roman" w:hAnsi="Times New Roman" w:cs="Times New Roman"/>
          <w:sz w:val="24"/>
          <w:szCs w:val="24"/>
        </w:rPr>
        <w:t>are</w:t>
      </w:r>
      <w:r w:rsidR="00DD3D0A" w:rsidRPr="0038510C">
        <w:rPr>
          <w:rFonts w:ascii="Times New Roman" w:hAnsi="Times New Roman" w:cs="Times New Roman"/>
          <w:sz w:val="24"/>
          <w:szCs w:val="24"/>
        </w:rPr>
        <w:t>d</w:t>
      </w:r>
      <w:r w:rsidR="008A05EE" w:rsidRPr="0038510C">
        <w:rPr>
          <w:rFonts w:ascii="Times New Roman" w:hAnsi="Times New Roman" w:cs="Times New Roman"/>
          <w:sz w:val="24"/>
          <w:szCs w:val="24"/>
        </w:rPr>
        <w:t xml:space="preserve"> a movement towards the peri</w:t>
      </w:r>
      <w:r w:rsidR="004C5C35" w:rsidRPr="0038510C">
        <w:rPr>
          <w:rFonts w:ascii="Times New Roman" w:hAnsi="Times New Roman" w:cs="Times New Roman"/>
          <w:sz w:val="24"/>
          <w:szCs w:val="24"/>
        </w:rPr>
        <w:t>personal goal after the presentation of a high tone</w:t>
      </w:r>
      <w:r w:rsidR="00A43ED5" w:rsidRPr="0038510C">
        <w:rPr>
          <w:rFonts w:ascii="Times New Roman" w:hAnsi="Times New Roman" w:cs="Times New Roman"/>
          <w:sz w:val="24"/>
          <w:szCs w:val="24"/>
        </w:rPr>
        <w:t xml:space="preserve"> (</w:t>
      </w:r>
      <w:r w:rsidR="002000BB" w:rsidRPr="0038510C">
        <w:rPr>
          <w:rFonts w:ascii="Times New Roman" w:hAnsi="Times New Roman" w:cs="Times New Roman"/>
          <w:sz w:val="24"/>
          <w:szCs w:val="24"/>
        </w:rPr>
        <w:t>1 kHz)</w:t>
      </w:r>
      <w:r w:rsidR="004C5C35" w:rsidRPr="0038510C">
        <w:rPr>
          <w:rFonts w:ascii="Times New Roman" w:hAnsi="Times New Roman" w:cs="Times New Roman"/>
          <w:sz w:val="24"/>
          <w:szCs w:val="24"/>
        </w:rPr>
        <w:t xml:space="preserve"> </w:t>
      </w:r>
      <w:r w:rsidR="00022F8F" w:rsidRPr="0038510C">
        <w:rPr>
          <w:rFonts w:ascii="Times New Roman" w:hAnsi="Times New Roman" w:cs="Times New Roman"/>
          <w:sz w:val="24"/>
          <w:szCs w:val="24"/>
        </w:rPr>
        <w:t>and</w:t>
      </w:r>
      <w:r w:rsidR="004C5C35" w:rsidRPr="0038510C">
        <w:rPr>
          <w:rFonts w:ascii="Times New Roman" w:hAnsi="Times New Roman" w:cs="Times New Roman"/>
          <w:sz w:val="24"/>
          <w:szCs w:val="24"/>
        </w:rPr>
        <w:t xml:space="preserve"> a movement towards a personal goal following a low tone</w:t>
      </w:r>
      <w:r w:rsidR="0083512F" w:rsidRPr="0038510C">
        <w:rPr>
          <w:rFonts w:ascii="Times New Roman" w:hAnsi="Times New Roman" w:cs="Times New Roman"/>
          <w:sz w:val="24"/>
          <w:szCs w:val="24"/>
        </w:rPr>
        <w:t xml:space="preserve"> (</w:t>
      </w:r>
      <w:r w:rsidR="002000BB" w:rsidRPr="0038510C">
        <w:rPr>
          <w:rFonts w:ascii="Times New Roman" w:hAnsi="Times New Roman" w:cs="Times New Roman"/>
          <w:sz w:val="24"/>
          <w:szCs w:val="24"/>
        </w:rPr>
        <w:t>0.4 kHz</w:t>
      </w:r>
      <w:r w:rsidR="0083512F" w:rsidRPr="0038510C">
        <w:rPr>
          <w:rFonts w:ascii="Times New Roman" w:hAnsi="Times New Roman" w:cs="Times New Roman"/>
          <w:sz w:val="24"/>
          <w:szCs w:val="24"/>
        </w:rPr>
        <w:t>)</w:t>
      </w:r>
      <w:r w:rsidR="00DD3D0A" w:rsidRPr="0038510C">
        <w:rPr>
          <w:rFonts w:ascii="Times New Roman" w:hAnsi="Times New Roman" w:cs="Times New Roman"/>
          <w:sz w:val="24"/>
          <w:szCs w:val="24"/>
        </w:rPr>
        <w:t xml:space="preserve"> and t</w:t>
      </w:r>
      <w:r w:rsidR="004C5C35" w:rsidRPr="0038510C">
        <w:rPr>
          <w:rFonts w:ascii="Times New Roman" w:hAnsi="Times New Roman" w:cs="Times New Roman"/>
          <w:sz w:val="24"/>
          <w:szCs w:val="24"/>
        </w:rPr>
        <w:t xml:space="preserve">he reverse was true for the remaining </w:t>
      </w:r>
      <w:r w:rsidRPr="0038510C">
        <w:rPr>
          <w:rFonts w:ascii="Times New Roman" w:hAnsi="Times New Roman" w:cs="Times New Roman"/>
          <w:sz w:val="24"/>
          <w:szCs w:val="24"/>
        </w:rPr>
        <w:t>half</w:t>
      </w:r>
      <w:r w:rsidR="004C5C35" w:rsidRPr="0038510C">
        <w:rPr>
          <w:rFonts w:ascii="Times New Roman" w:hAnsi="Times New Roman" w:cs="Times New Roman"/>
          <w:sz w:val="24"/>
          <w:szCs w:val="24"/>
        </w:rPr>
        <w:t xml:space="preserve"> of participants. </w:t>
      </w:r>
      <w:r w:rsidR="009521CD" w:rsidRPr="0038510C">
        <w:rPr>
          <w:rFonts w:ascii="Times New Roman" w:hAnsi="Times New Roman" w:cs="Times New Roman"/>
          <w:sz w:val="24"/>
          <w:szCs w:val="24"/>
        </w:rPr>
        <w:t xml:space="preserve">Eight hundred milliseconds </w:t>
      </w:r>
      <w:r w:rsidR="004C5C35" w:rsidRPr="0038510C">
        <w:rPr>
          <w:rFonts w:ascii="Times New Roman" w:hAnsi="Times New Roman" w:cs="Times New Roman"/>
          <w:sz w:val="24"/>
          <w:szCs w:val="24"/>
        </w:rPr>
        <w:t xml:space="preserve">after the presentation of the </w:t>
      </w:r>
      <w:r w:rsidR="002E6D3E" w:rsidRPr="0038510C">
        <w:rPr>
          <w:rFonts w:ascii="Times New Roman" w:hAnsi="Times New Roman" w:cs="Times New Roman"/>
          <w:sz w:val="24"/>
          <w:szCs w:val="24"/>
        </w:rPr>
        <w:t xml:space="preserve">auditory </w:t>
      </w:r>
      <w:r w:rsidR="004C5C35" w:rsidRPr="0038510C">
        <w:rPr>
          <w:rFonts w:ascii="Times New Roman" w:hAnsi="Times New Roman" w:cs="Times New Roman"/>
          <w:sz w:val="24"/>
          <w:szCs w:val="24"/>
        </w:rPr>
        <w:t xml:space="preserve">cue either a visual </w:t>
      </w:r>
      <w:r w:rsidR="008A05EE" w:rsidRPr="0038510C">
        <w:rPr>
          <w:rFonts w:ascii="Times New Roman" w:hAnsi="Times New Roman" w:cs="Times New Roman"/>
          <w:sz w:val="24"/>
          <w:szCs w:val="24"/>
        </w:rPr>
        <w:t>probe was delivered at the peri</w:t>
      </w:r>
      <w:r w:rsidR="004C5C35" w:rsidRPr="0038510C">
        <w:rPr>
          <w:rFonts w:ascii="Times New Roman" w:hAnsi="Times New Roman" w:cs="Times New Roman"/>
          <w:sz w:val="24"/>
          <w:szCs w:val="24"/>
        </w:rPr>
        <w:t>personal goal or a tactile probe was delivered</w:t>
      </w:r>
      <w:r w:rsidR="00DD3D0A" w:rsidRPr="0038510C">
        <w:rPr>
          <w:rFonts w:ascii="Times New Roman" w:hAnsi="Times New Roman" w:cs="Times New Roman"/>
          <w:sz w:val="24"/>
          <w:szCs w:val="24"/>
        </w:rPr>
        <w:t xml:space="preserve"> at the personal goal</w:t>
      </w:r>
      <w:r w:rsidR="004C5C35" w:rsidRPr="0038510C">
        <w:rPr>
          <w:rFonts w:ascii="Times New Roman" w:hAnsi="Times New Roman" w:cs="Times New Roman"/>
          <w:sz w:val="24"/>
          <w:szCs w:val="24"/>
        </w:rPr>
        <w:t xml:space="preserve"> (see </w:t>
      </w:r>
      <w:r w:rsidR="002E6D3E" w:rsidRPr="0038510C">
        <w:rPr>
          <w:rFonts w:ascii="Times New Roman" w:hAnsi="Times New Roman" w:cs="Times New Roman"/>
          <w:sz w:val="24"/>
          <w:szCs w:val="24"/>
        </w:rPr>
        <w:t>F</w:t>
      </w:r>
      <w:r w:rsidR="004C5C35" w:rsidRPr="0038510C">
        <w:rPr>
          <w:rFonts w:ascii="Times New Roman" w:hAnsi="Times New Roman" w:cs="Times New Roman"/>
          <w:sz w:val="24"/>
          <w:szCs w:val="24"/>
        </w:rPr>
        <w:t>igure 1 for</w:t>
      </w:r>
      <w:r w:rsidR="00D338A9" w:rsidRPr="0038510C">
        <w:rPr>
          <w:rFonts w:ascii="Times New Roman" w:hAnsi="Times New Roman" w:cs="Times New Roman"/>
          <w:sz w:val="24"/>
          <w:szCs w:val="24"/>
        </w:rPr>
        <w:t xml:space="preserve"> illustration of</w:t>
      </w:r>
      <w:r w:rsidR="004C5C35" w:rsidRPr="0038510C">
        <w:rPr>
          <w:rFonts w:ascii="Times New Roman" w:hAnsi="Times New Roman" w:cs="Times New Roman"/>
          <w:sz w:val="24"/>
          <w:szCs w:val="24"/>
        </w:rPr>
        <w:t xml:space="preserve"> trial procedure). The visual probe consisted of an LED</w:t>
      </w:r>
      <w:r w:rsidR="00A43ED5" w:rsidRPr="0038510C">
        <w:rPr>
          <w:rFonts w:ascii="Times New Roman" w:hAnsi="Times New Roman" w:cs="Times New Roman"/>
          <w:sz w:val="24"/>
          <w:szCs w:val="24"/>
        </w:rPr>
        <w:t xml:space="preserve"> (</w:t>
      </w:r>
      <w:r w:rsidR="0083512F" w:rsidRPr="0038510C">
        <w:rPr>
          <w:rFonts w:ascii="Times New Roman" w:hAnsi="Times New Roman" w:cs="Times New Roman"/>
          <w:sz w:val="24"/>
          <w:szCs w:val="24"/>
        </w:rPr>
        <w:t xml:space="preserve">2cm </w:t>
      </w:r>
      <w:r w:rsidR="005C3675" w:rsidRPr="0038510C">
        <w:rPr>
          <w:rFonts w:ascii="Times New Roman" w:hAnsi="Times New Roman" w:cs="Times New Roman"/>
          <w:sz w:val="24"/>
          <w:szCs w:val="24"/>
        </w:rPr>
        <w:t xml:space="preserve">in </w:t>
      </w:r>
      <w:r w:rsidR="0083512F" w:rsidRPr="0038510C">
        <w:rPr>
          <w:rFonts w:ascii="Times New Roman" w:hAnsi="Times New Roman" w:cs="Times New Roman"/>
          <w:sz w:val="24"/>
          <w:szCs w:val="24"/>
        </w:rPr>
        <w:t>diameter</w:t>
      </w:r>
      <w:r w:rsidR="004D07B6" w:rsidRPr="0038510C">
        <w:rPr>
          <w:rFonts w:ascii="Times New Roman" w:hAnsi="Times New Roman" w:cs="Times New Roman"/>
          <w:sz w:val="24"/>
          <w:szCs w:val="24"/>
        </w:rPr>
        <w:t xml:space="preserve">, </w:t>
      </w:r>
      <w:r w:rsidR="003E4503" w:rsidRPr="0038510C">
        <w:rPr>
          <w:rFonts w:ascii="Times New Roman" w:hAnsi="Times New Roman" w:cs="Times New Roman"/>
          <w:sz w:val="24"/>
          <w:szCs w:val="24"/>
        </w:rPr>
        <w:t>subtending</w:t>
      </w:r>
      <w:r w:rsidR="004D07B6" w:rsidRPr="0038510C">
        <w:rPr>
          <w:rFonts w:ascii="Times New Roman" w:hAnsi="Times New Roman" w:cs="Times New Roman"/>
          <w:sz w:val="24"/>
          <w:szCs w:val="24"/>
        </w:rPr>
        <w:t xml:space="preserve"> </w:t>
      </w:r>
      <w:r w:rsidR="003E4503" w:rsidRPr="0038510C">
        <w:rPr>
          <w:rFonts w:ascii="Times New Roman" w:hAnsi="Times New Roman" w:cs="Times New Roman"/>
          <w:sz w:val="24"/>
          <w:szCs w:val="24"/>
        </w:rPr>
        <w:t>1.91</w:t>
      </w:r>
      <w:r w:rsidR="004D07B6" w:rsidRPr="0038510C">
        <w:rPr>
          <w:rFonts w:ascii="Times New Roman" w:hAnsi="Times New Roman" w:cs="Times New Roman"/>
          <w:sz w:val="24"/>
          <w:szCs w:val="24"/>
        </w:rPr>
        <w:t xml:space="preserve">° in </w:t>
      </w:r>
      <w:r w:rsidR="00A43ED5" w:rsidRPr="0038510C">
        <w:rPr>
          <w:rFonts w:ascii="Times New Roman" w:hAnsi="Times New Roman" w:cs="Times New Roman"/>
          <w:sz w:val="24"/>
          <w:szCs w:val="24"/>
        </w:rPr>
        <w:t>visual angle)</w:t>
      </w:r>
      <w:r w:rsidR="004C5C35" w:rsidRPr="0038510C">
        <w:rPr>
          <w:rFonts w:ascii="Times New Roman" w:hAnsi="Times New Roman" w:cs="Times New Roman"/>
          <w:sz w:val="24"/>
          <w:szCs w:val="24"/>
        </w:rPr>
        <w:t xml:space="preserve"> presented for 200ms. The tactile probe </w:t>
      </w:r>
      <w:r w:rsidR="00E3593F" w:rsidRPr="0038510C">
        <w:rPr>
          <w:rFonts w:ascii="Times New Roman" w:hAnsi="Times New Roman" w:cs="Times New Roman"/>
          <w:sz w:val="24"/>
          <w:szCs w:val="24"/>
        </w:rPr>
        <w:t xml:space="preserve">was delivered by two </w:t>
      </w:r>
      <w:r w:rsidR="004C5C35" w:rsidRPr="0038510C">
        <w:rPr>
          <w:rFonts w:ascii="Times New Roman" w:hAnsi="Times New Roman" w:cs="Times New Roman"/>
          <w:sz w:val="24"/>
          <w:szCs w:val="24"/>
        </w:rPr>
        <w:t>solenoid</w:t>
      </w:r>
      <w:r w:rsidR="00E3593F" w:rsidRPr="0038510C">
        <w:rPr>
          <w:rFonts w:ascii="Times New Roman" w:hAnsi="Times New Roman" w:cs="Times New Roman"/>
          <w:sz w:val="24"/>
          <w:szCs w:val="24"/>
        </w:rPr>
        <w:t>s</w:t>
      </w:r>
      <w:r w:rsidR="004C5C35" w:rsidRPr="0038510C">
        <w:rPr>
          <w:rFonts w:ascii="Times New Roman" w:hAnsi="Times New Roman" w:cs="Times New Roman"/>
          <w:sz w:val="24"/>
          <w:szCs w:val="24"/>
        </w:rPr>
        <w:t xml:space="preserve">, driving a blunt ended metal rod that contacted the skin when a current was passed through them. The tactile device was attached with an adhesive sticker to the </w:t>
      </w:r>
      <w:r w:rsidR="00E3593F" w:rsidRPr="0038510C">
        <w:rPr>
          <w:rFonts w:ascii="Times New Roman" w:hAnsi="Times New Roman" w:cs="Times New Roman"/>
          <w:sz w:val="24"/>
          <w:szCs w:val="24"/>
        </w:rPr>
        <w:t>upper sternum</w:t>
      </w:r>
      <w:r w:rsidR="004C5C35" w:rsidRPr="0038510C">
        <w:rPr>
          <w:rFonts w:ascii="Times New Roman" w:hAnsi="Times New Roman" w:cs="Times New Roman"/>
          <w:sz w:val="24"/>
          <w:szCs w:val="24"/>
        </w:rPr>
        <w:t xml:space="preserve">. White noise (62 dB SPL) was played throughout the experiment in order to mask any sounds made by the tactile device. Recorded vocalisations of </w:t>
      </w:r>
      <w:r w:rsidR="00890A80" w:rsidRPr="0038510C">
        <w:rPr>
          <w:rFonts w:ascii="Times New Roman" w:hAnsi="Times New Roman" w:cs="Times New Roman"/>
          <w:sz w:val="24"/>
          <w:szCs w:val="24"/>
        </w:rPr>
        <w:t>“</w:t>
      </w:r>
      <w:r w:rsidR="004C5C35" w:rsidRPr="0038510C">
        <w:rPr>
          <w:rFonts w:ascii="Times New Roman" w:hAnsi="Times New Roman" w:cs="Times New Roman"/>
          <w:sz w:val="24"/>
          <w:szCs w:val="24"/>
        </w:rPr>
        <w:t>Go</w:t>
      </w:r>
      <w:r w:rsidR="00890A80"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and </w:t>
      </w:r>
      <w:r w:rsidR="00890A80" w:rsidRPr="0038510C">
        <w:rPr>
          <w:rFonts w:ascii="Times New Roman" w:hAnsi="Times New Roman" w:cs="Times New Roman"/>
          <w:sz w:val="24"/>
          <w:szCs w:val="24"/>
        </w:rPr>
        <w:t>“</w:t>
      </w:r>
      <w:r w:rsidR="004C5C35" w:rsidRPr="0038510C">
        <w:rPr>
          <w:rFonts w:ascii="Times New Roman" w:hAnsi="Times New Roman" w:cs="Times New Roman"/>
          <w:sz w:val="24"/>
          <w:szCs w:val="24"/>
        </w:rPr>
        <w:t>Stop</w:t>
      </w:r>
      <w:r w:rsidR="00890A80"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served as Go and Nogo stimuli. </w:t>
      </w:r>
      <w:r w:rsidR="00E3593F" w:rsidRPr="0038510C">
        <w:rPr>
          <w:rFonts w:ascii="Times New Roman" w:hAnsi="Times New Roman" w:cs="Times New Roman"/>
          <w:sz w:val="24"/>
          <w:szCs w:val="24"/>
        </w:rPr>
        <w:t xml:space="preserve">Responses were collected using a custom-made response panel. This panel consisted of two infrared response devices </w:t>
      </w:r>
      <w:r w:rsidR="000A44C0" w:rsidRPr="0038510C">
        <w:rPr>
          <w:rFonts w:ascii="Times New Roman" w:hAnsi="Times New Roman" w:cs="Times New Roman"/>
          <w:sz w:val="24"/>
          <w:szCs w:val="24"/>
        </w:rPr>
        <w:t>embedded</w:t>
      </w:r>
      <w:r w:rsidR="00E3593F" w:rsidRPr="0038510C">
        <w:rPr>
          <w:rFonts w:ascii="Times New Roman" w:hAnsi="Times New Roman" w:cs="Times New Roman"/>
          <w:sz w:val="24"/>
          <w:szCs w:val="24"/>
        </w:rPr>
        <w:t xml:space="preserve"> at </w:t>
      </w:r>
      <w:r w:rsidR="0083512F" w:rsidRPr="0038510C">
        <w:rPr>
          <w:rFonts w:ascii="Times New Roman" w:hAnsi="Times New Roman" w:cs="Times New Roman"/>
          <w:sz w:val="24"/>
          <w:szCs w:val="24"/>
        </w:rPr>
        <w:t>3</w:t>
      </w:r>
      <w:r w:rsidR="009521CD" w:rsidRPr="0038510C">
        <w:rPr>
          <w:rFonts w:ascii="Times New Roman" w:hAnsi="Times New Roman" w:cs="Times New Roman"/>
          <w:sz w:val="24"/>
          <w:szCs w:val="24"/>
        </w:rPr>
        <w:t>0</w:t>
      </w:r>
      <w:r w:rsidR="0083512F" w:rsidRPr="0038510C">
        <w:rPr>
          <w:rFonts w:ascii="Times New Roman" w:hAnsi="Times New Roman" w:cs="Times New Roman"/>
          <w:sz w:val="24"/>
          <w:szCs w:val="24"/>
        </w:rPr>
        <w:t>cm</w:t>
      </w:r>
      <w:r w:rsidR="00E3593F" w:rsidRPr="0038510C">
        <w:rPr>
          <w:rFonts w:ascii="Times New Roman" w:hAnsi="Times New Roman" w:cs="Times New Roman"/>
          <w:sz w:val="24"/>
          <w:szCs w:val="24"/>
        </w:rPr>
        <w:t xml:space="preserve"> and </w:t>
      </w:r>
      <w:r w:rsidR="0083512F" w:rsidRPr="0038510C">
        <w:rPr>
          <w:rFonts w:ascii="Times New Roman" w:hAnsi="Times New Roman" w:cs="Times New Roman"/>
          <w:sz w:val="24"/>
          <w:szCs w:val="24"/>
        </w:rPr>
        <w:t>60</w:t>
      </w:r>
      <w:r w:rsidR="00E3593F" w:rsidRPr="0038510C">
        <w:rPr>
          <w:rFonts w:ascii="Times New Roman" w:hAnsi="Times New Roman" w:cs="Times New Roman"/>
          <w:sz w:val="24"/>
          <w:szCs w:val="24"/>
        </w:rPr>
        <w:t>cm</w:t>
      </w:r>
      <w:r w:rsidR="000A44C0" w:rsidRPr="0038510C">
        <w:rPr>
          <w:rFonts w:ascii="Times New Roman" w:hAnsi="Times New Roman" w:cs="Times New Roman"/>
          <w:sz w:val="24"/>
          <w:szCs w:val="24"/>
        </w:rPr>
        <w:t xml:space="preserve"> from the panel’s</w:t>
      </w:r>
      <w:r w:rsidR="00E3593F" w:rsidRPr="0038510C">
        <w:rPr>
          <w:rFonts w:ascii="Times New Roman" w:hAnsi="Times New Roman" w:cs="Times New Roman"/>
          <w:sz w:val="24"/>
          <w:szCs w:val="24"/>
        </w:rPr>
        <w:t xml:space="preserve"> edge. The infrared device situated closest to the body</w:t>
      </w:r>
      <w:r w:rsidR="000A44C0" w:rsidRPr="0038510C">
        <w:rPr>
          <w:rFonts w:ascii="Times New Roman" w:hAnsi="Times New Roman" w:cs="Times New Roman"/>
          <w:sz w:val="24"/>
          <w:szCs w:val="24"/>
        </w:rPr>
        <w:t xml:space="preserve"> (3</w:t>
      </w:r>
      <w:r w:rsidR="009521CD" w:rsidRPr="0038510C">
        <w:rPr>
          <w:rFonts w:ascii="Times New Roman" w:hAnsi="Times New Roman" w:cs="Times New Roman"/>
          <w:sz w:val="24"/>
          <w:szCs w:val="24"/>
        </w:rPr>
        <w:t>0</w:t>
      </w:r>
      <w:r w:rsidR="000A44C0" w:rsidRPr="0038510C">
        <w:rPr>
          <w:rFonts w:ascii="Times New Roman" w:hAnsi="Times New Roman" w:cs="Times New Roman"/>
          <w:sz w:val="24"/>
          <w:szCs w:val="24"/>
        </w:rPr>
        <w:t>cm)</w:t>
      </w:r>
      <w:r w:rsidR="00E3593F" w:rsidRPr="0038510C">
        <w:rPr>
          <w:rFonts w:ascii="Times New Roman" w:hAnsi="Times New Roman" w:cs="Times New Roman"/>
          <w:sz w:val="24"/>
          <w:szCs w:val="24"/>
        </w:rPr>
        <w:t xml:space="preserve"> acted as the starting point for movements and as the fixation point. The device registered the moment the hand was lifted from the central starting point of the movement. Responses made towards periperson</w:t>
      </w:r>
      <w:r w:rsidR="000A44C0" w:rsidRPr="0038510C">
        <w:rPr>
          <w:rFonts w:ascii="Times New Roman" w:hAnsi="Times New Roman" w:cs="Times New Roman"/>
          <w:sz w:val="24"/>
          <w:szCs w:val="24"/>
        </w:rPr>
        <w:t xml:space="preserve">al space were recorded using </w:t>
      </w:r>
      <w:r w:rsidR="00890A80" w:rsidRPr="0038510C">
        <w:rPr>
          <w:rFonts w:ascii="Times New Roman" w:hAnsi="Times New Roman" w:cs="Times New Roman"/>
          <w:sz w:val="24"/>
          <w:szCs w:val="24"/>
        </w:rPr>
        <w:t xml:space="preserve">the </w:t>
      </w:r>
      <w:r w:rsidR="000A44C0" w:rsidRPr="0038510C">
        <w:rPr>
          <w:rFonts w:ascii="Times New Roman" w:hAnsi="Times New Roman" w:cs="Times New Roman"/>
          <w:sz w:val="24"/>
          <w:szCs w:val="24"/>
        </w:rPr>
        <w:t>further</w:t>
      </w:r>
      <w:r w:rsidR="00E3593F" w:rsidRPr="0038510C">
        <w:rPr>
          <w:rFonts w:ascii="Times New Roman" w:hAnsi="Times New Roman" w:cs="Times New Roman"/>
          <w:sz w:val="24"/>
          <w:szCs w:val="24"/>
        </w:rPr>
        <w:t xml:space="preserve"> infrared respons</w:t>
      </w:r>
      <w:r w:rsidRPr="0038510C">
        <w:rPr>
          <w:rFonts w:ascii="Times New Roman" w:hAnsi="Times New Roman" w:cs="Times New Roman"/>
          <w:sz w:val="24"/>
          <w:szCs w:val="24"/>
        </w:rPr>
        <w:t>e device</w:t>
      </w:r>
      <w:r w:rsidR="000A44C0" w:rsidRPr="0038510C">
        <w:rPr>
          <w:rFonts w:ascii="Times New Roman" w:hAnsi="Times New Roman" w:cs="Times New Roman"/>
          <w:sz w:val="24"/>
          <w:szCs w:val="24"/>
        </w:rPr>
        <w:t xml:space="preserve"> (60cm from the participant)</w:t>
      </w:r>
      <w:r w:rsidRPr="0038510C">
        <w:rPr>
          <w:rFonts w:ascii="Times New Roman" w:hAnsi="Times New Roman" w:cs="Times New Roman"/>
          <w:sz w:val="24"/>
          <w:szCs w:val="24"/>
        </w:rPr>
        <w:t>,</w:t>
      </w:r>
      <w:r w:rsidR="00E3593F" w:rsidRPr="0038510C">
        <w:rPr>
          <w:rFonts w:ascii="Times New Roman" w:hAnsi="Times New Roman" w:cs="Times New Roman"/>
          <w:sz w:val="24"/>
          <w:szCs w:val="24"/>
        </w:rPr>
        <w:t xml:space="preserve"> which registered a response when the hand landed on the device. A </w:t>
      </w:r>
      <w:r w:rsidR="004C5C35" w:rsidRPr="0038510C">
        <w:rPr>
          <w:rFonts w:ascii="Times New Roman" w:hAnsi="Times New Roman" w:cs="Times New Roman"/>
          <w:sz w:val="24"/>
          <w:szCs w:val="24"/>
        </w:rPr>
        <w:t xml:space="preserve">touch sensitive device attached to the </w:t>
      </w:r>
      <w:r w:rsidR="00E3593F" w:rsidRPr="0038510C">
        <w:rPr>
          <w:rFonts w:ascii="Times New Roman" w:hAnsi="Times New Roman" w:cs="Times New Roman"/>
          <w:sz w:val="24"/>
          <w:szCs w:val="24"/>
        </w:rPr>
        <w:t>chest</w:t>
      </w:r>
      <w:r w:rsidR="004C5C35" w:rsidRPr="0038510C">
        <w:rPr>
          <w:rFonts w:ascii="Times New Roman" w:hAnsi="Times New Roman" w:cs="Times New Roman"/>
          <w:sz w:val="24"/>
          <w:szCs w:val="24"/>
        </w:rPr>
        <w:t xml:space="preserve"> recorde</w:t>
      </w:r>
      <w:r w:rsidR="00E3593F" w:rsidRPr="0038510C">
        <w:rPr>
          <w:rFonts w:ascii="Times New Roman" w:hAnsi="Times New Roman" w:cs="Times New Roman"/>
          <w:sz w:val="24"/>
          <w:szCs w:val="24"/>
        </w:rPr>
        <w:t>d the time at which the hand arrived at</w:t>
      </w:r>
      <w:r w:rsidR="004C5C35" w:rsidRPr="0038510C">
        <w:rPr>
          <w:rFonts w:ascii="Times New Roman" w:hAnsi="Times New Roman" w:cs="Times New Roman"/>
          <w:sz w:val="24"/>
          <w:szCs w:val="24"/>
        </w:rPr>
        <w:t xml:space="preserve"> the personal goal. A total of 480 trials divided into blocks of 60 trials</w:t>
      </w:r>
      <w:r w:rsidR="000A44C0" w:rsidRPr="0038510C">
        <w:rPr>
          <w:rFonts w:ascii="Times New Roman" w:hAnsi="Times New Roman" w:cs="Times New Roman"/>
          <w:sz w:val="24"/>
          <w:szCs w:val="24"/>
        </w:rPr>
        <w:t xml:space="preserve"> </w:t>
      </w:r>
      <w:r w:rsidR="004C5C35" w:rsidRPr="0038510C">
        <w:rPr>
          <w:rFonts w:ascii="Times New Roman" w:hAnsi="Times New Roman" w:cs="Times New Roman"/>
          <w:sz w:val="24"/>
          <w:szCs w:val="24"/>
        </w:rPr>
        <w:t xml:space="preserve">were run with self-timed breaks between blocks. </w:t>
      </w:r>
      <w:r w:rsidR="001C6E37" w:rsidRPr="0038510C">
        <w:rPr>
          <w:rFonts w:ascii="Times New Roman" w:hAnsi="Times New Roman" w:cs="Times New Roman"/>
          <w:sz w:val="24"/>
          <w:szCs w:val="24"/>
        </w:rPr>
        <w:t>There were 120 trials</w:t>
      </w:r>
      <w:r w:rsidR="00890A80" w:rsidRPr="0038510C">
        <w:rPr>
          <w:rFonts w:ascii="Times New Roman" w:hAnsi="Times New Roman" w:cs="Times New Roman"/>
          <w:sz w:val="24"/>
          <w:szCs w:val="24"/>
        </w:rPr>
        <w:t xml:space="preserve"> per condition (p</w:t>
      </w:r>
      <w:r w:rsidR="001C6E37" w:rsidRPr="0038510C">
        <w:rPr>
          <w:rFonts w:ascii="Times New Roman" w:hAnsi="Times New Roman" w:cs="Times New Roman"/>
          <w:sz w:val="24"/>
          <w:szCs w:val="24"/>
        </w:rPr>
        <w:t>eripersonal/</w:t>
      </w:r>
      <w:r w:rsidR="00890A80" w:rsidRPr="0038510C">
        <w:rPr>
          <w:rFonts w:ascii="Times New Roman" w:hAnsi="Times New Roman" w:cs="Times New Roman"/>
          <w:sz w:val="24"/>
          <w:szCs w:val="24"/>
        </w:rPr>
        <w:t>v</w:t>
      </w:r>
      <w:r w:rsidR="001C6E37" w:rsidRPr="0038510C">
        <w:rPr>
          <w:rFonts w:ascii="Times New Roman" w:hAnsi="Times New Roman" w:cs="Times New Roman"/>
          <w:sz w:val="24"/>
          <w:szCs w:val="24"/>
        </w:rPr>
        <w:t xml:space="preserve">isual </w:t>
      </w:r>
      <w:r w:rsidR="00890A80" w:rsidRPr="0038510C">
        <w:rPr>
          <w:rFonts w:ascii="Times New Roman" w:hAnsi="Times New Roman" w:cs="Times New Roman"/>
          <w:sz w:val="24"/>
          <w:szCs w:val="24"/>
        </w:rPr>
        <w:t>p</w:t>
      </w:r>
      <w:r w:rsidR="001C6E37" w:rsidRPr="0038510C">
        <w:rPr>
          <w:rFonts w:ascii="Times New Roman" w:hAnsi="Times New Roman" w:cs="Times New Roman"/>
          <w:sz w:val="24"/>
          <w:szCs w:val="24"/>
        </w:rPr>
        <w:t xml:space="preserve">robe, </w:t>
      </w:r>
      <w:r w:rsidR="00890A80" w:rsidRPr="0038510C">
        <w:rPr>
          <w:rFonts w:ascii="Times New Roman" w:hAnsi="Times New Roman" w:cs="Times New Roman"/>
          <w:sz w:val="24"/>
          <w:szCs w:val="24"/>
        </w:rPr>
        <w:t>p</w:t>
      </w:r>
      <w:r w:rsidR="001C6E37" w:rsidRPr="0038510C">
        <w:rPr>
          <w:rFonts w:ascii="Times New Roman" w:hAnsi="Times New Roman" w:cs="Times New Roman"/>
          <w:sz w:val="24"/>
          <w:szCs w:val="24"/>
        </w:rPr>
        <w:t>eripersonal/</w:t>
      </w:r>
      <w:r w:rsidR="003C2B0C" w:rsidRPr="0038510C">
        <w:rPr>
          <w:rFonts w:ascii="Times New Roman" w:hAnsi="Times New Roman" w:cs="Times New Roman"/>
          <w:sz w:val="24"/>
          <w:szCs w:val="24"/>
        </w:rPr>
        <w:t>t</w:t>
      </w:r>
      <w:r w:rsidR="001C6E37" w:rsidRPr="0038510C">
        <w:rPr>
          <w:rFonts w:ascii="Times New Roman" w:hAnsi="Times New Roman" w:cs="Times New Roman"/>
          <w:sz w:val="24"/>
          <w:szCs w:val="24"/>
        </w:rPr>
        <w:t xml:space="preserve">actile </w:t>
      </w:r>
      <w:r w:rsidR="00890A80" w:rsidRPr="0038510C">
        <w:rPr>
          <w:rFonts w:ascii="Times New Roman" w:hAnsi="Times New Roman" w:cs="Times New Roman"/>
          <w:sz w:val="24"/>
          <w:szCs w:val="24"/>
        </w:rPr>
        <w:t>p</w:t>
      </w:r>
      <w:r w:rsidR="001C6E37" w:rsidRPr="0038510C">
        <w:rPr>
          <w:rFonts w:ascii="Times New Roman" w:hAnsi="Times New Roman" w:cs="Times New Roman"/>
          <w:sz w:val="24"/>
          <w:szCs w:val="24"/>
        </w:rPr>
        <w:t xml:space="preserve">robe, </w:t>
      </w:r>
      <w:r w:rsidR="00890A80" w:rsidRPr="0038510C">
        <w:rPr>
          <w:rFonts w:ascii="Times New Roman" w:hAnsi="Times New Roman" w:cs="Times New Roman"/>
          <w:sz w:val="24"/>
          <w:szCs w:val="24"/>
        </w:rPr>
        <w:t>p</w:t>
      </w:r>
      <w:r w:rsidR="001C6E37" w:rsidRPr="0038510C">
        <w:rPr>
          <w:rFonts w:ascii="Times New Roman" w:hAnsi="Times New Roman" w:cs="Times New Roman"/>
          <w:sz w:val="24"/>
          <w:szCs w:val="24"/>
        </w:rPr>
        <w:t>ersonal/</w:t>
      </w:r>
      <w:r w:rsidR="003C2B0C" w:rsidRPr="0038510C">
        <w:rPr>
          <w:rFonts w:ascii="Times New Roman" w:hAnsi="Times New Roman" w:cs="Times New Roman"/>
          <w:sz w:val="24"/>
          <w:szCs w:val="24"/>
        </w:rPr>
        <w:t>v</w:t>
      </w:r>
      <w:r w:rsidR="001C6E37" w:rsidRPr="0038510C">
        <w:rPr>
          <w:rFonts w:ascii="Times New Roman" w:hAnsi="Times New Roman" w:cs="Times New Roman"/>
          <w:sz w:val="24"/>
          <w:szCs w:val="24"/>
        </w:rPr>
        <w:t xml:space="preserve">isual </w:t>
      </w:r>
      <w:r w:rsidR="00890A80" w:rsidRPr="0038510C">
        <w:rPr>
          <w:rFonts w:ascii="Times New Roman" w:hAnsi="Times New Roman" w:cs="Times New Roman"/>
          <w:sz w:val="24"/>
          <w:szCs w:val="24"/>
        </w:rPr>
        <w:t>p</w:t>
      </w:r>
      <w:r w:rsidR="001C6E37" w:rsidRPr="0038510C">
        <w:rPr>
          <w:rFonts w:ascii="Times New Roman" w:hAnsi="Times New Roman" w:cs="Times New Roman"/>
          <w:sz w:val="24"/>
          <w:szCs w:val="24"/>
        </w:rPr>
        <w:t xml:space="preserve">robe, and </w:t>
      </w:r>
      <w:r w:rsidR="00890A80" w:rsidRPr="0038510C">
        <w:rPr>
          <w:rFonts w:ascii="Times New Roman" w:hAnsi="Times New Roman" w:cs="Times New Roman"/>
          <w:sz w:val="24"/>
          <w:szCs w:val="24"/>
        </w:rPr>
        <w:t>p</w:t>
      </w:r>
      <w:r w:rsidR="001C6E37" w:rsidRPr="0038510C">
        <w:rPr>
          <w:rFonts w:ascii="Times New Roman" w:hAnsi="Times New Roman" w:cs="Times New Roman"/>
          <w:sz w:val="24"/>
          <w:szCs w:val="24"/>
        </w:rPr>
        <w:t>ersonal/</w:t>
      </w:r>
      <w:r w:rsidR="00890A80" w:rsidRPr="0038510C">
        <w:rPr>
          <w:rFonts w:ascii="Times New Roman" w:hAnsi="Times New Roman" w:cs="Times New Roman"/>
          <w:sz w:val="24"/>
          <w:szCs w:val="24"/>
        </w:rPr>
        <w:t>t</w:t>
      </w:r>
      <w:r w:rsidR="001C6E37" w:rsidRPr="0038510C">
        <w:rPr>
          <w:rFonts w:ascii="Times New Roman" w:hAnsi="Times New Roman" w:cs="Times New Roman"/>
          <w:sz w:val="24"/>
          <w:szCs w:val="24"/>
        </w:rPr>
        <w:t xml:space="preserve">actile </w:t>
      </w:r>
      <w:r w:rsidR="00890A80" w:rsidRPr="0038510C">
        <w:rPr>
          <w:rFonts w:ascii="Times New Roman" w:hAnsi="Times New Roman" w:cs="Times New Roman"/>
          <w:sz w:val="24"/>
          <w:szCs w:val="24"/>
        </w:rPr>
        <w:t>p</w:t>
      </w:r>
      <w:r w:rsidR="001C6E37" w:rsidRPr="0038510C">
        <w:rPr>
          <w:rFonts w:ascii="Times New Roman" w:hAnsi="Times New Roman" w:cs="Times New Roman"/>
          <w:sz w:val="24"/>
          <w:szCs w:val="24"/>
        </w:rPr>
        <w:t xml:space="preserve">robe. Within each condition, there were 96 Go trials and 24 No-Go trials. </w:t>
      </w:r>
      <w:r w:rsidR="004C5C35" w:rsidRPr="0038510C">
        <w:rPr>
          <w:rFonts w:ascii="Times New Roman" w:hAnsi="Times New Roman" w:cs="Times New Roman"/>
          <w:sz w:val="24"/>
          <w:szCs w:val="24"/>
        </w:rPr>
        <w:t>The arm with which participants complete</w:t>
      </w:r>
      <w:r w:rsidR="000A44C0" w:rsidRPr="0038510C">
        <w:rPr>
          <w:rFonts w:ascii="Times New Roman" w:hAnsi="Times New Roman" w:cs="Times New Roman"/>
          <w:sz w:val="24"/>
          <w:szCs w:val="24"/>
        </w:rPr>
        <w:t>d</w:t>
      </w:r>
      <w:r w:rsidR="004C5C35" w:rsidRPr="0038510C">
        <w:rPr>
          <w:rFonts w:ascii="Times New Roman" w:hAnsi="Times New Roman" w:cs="Times New Roman"/>
          <w:sz w:val="24"/>
          <w:szCs w:val="24"/>
        </w:rPr>
        <w:t xml:space="preserve"> the movement was also counterbalanced across the eight blocks of trials. The total duration of the experiment was approximately 45 minutes.</w:t>
      </w:r>
      <w:r w:rsidR="004C5C35" w:rsidRPr="0038510C">
        <w:rPr>
          <w:rFonts w:ascii="Times New Roman" w:hAnsi="Times New Roman" w:cs="Times New Roman"/>
          <w:sz w:val="28"/>
          <w:szCs w:val="24"/>
        </w:rPr>
        <w:t xml:space="preserve"> </w:t>
      </w:r>
    </w:p>
    <w:p w:rsidR="004C5C35" w:rsidRPr="0038510C" w:rsidRDefault="004C5C35" w:rsidP="00625F36">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Procedure</w:t>
      </w:r>
    </w:p>
    <w:p w:rsidR="004C5C35" w:rsidRPr="0038510C" w:rsidRDefault="004C5C35" w:rsidP="00625F36">
      <w:pPr>
        <w:spacing w:line="360" w:lineRule="auto"/>
        <w:jc w:val="both"/>
        <w:rPr>
          <w:rFonts w:ascii="Times New Roman" w:hAnsi="Times New Roman" w:cs="Times New Roman"/>
        </w:rPr>
      </w:pPr>
      <w:r w:rsidRPr="0038510C">
        <w:rPr>
          <w:rFonts w:ascii="Times New Roman" w:hAnsi="Times New Roman" w:cs="Times New Roman"/>
          <w:sz w:val="24"/>
          <w:szCs w:val="24"/>
        </w:rPr>
        <w:lastRenderedPageBreak/>
        <w:t>Participants were seated in a sound</w:t>
      </w:r>
      <w:r w:rsidR="00BF77F4" w:rsidRPr="0038510C">
        <w:rPr>
          <w:rFonts w:ascii="Times New Roman" w:hAnsi="Times New Roman" w:cs="Times New Roman"/>
          <w:sz w:val="24"/>
          <w:szCs w:val="24"/>
        </w:rPr>
        <w:t>-</w:t>
      </w:r>
      <w:r w:rsidRPr="0038510C">
        <w:rPr>
          <w:rFonts w:ascii="Times New Roman" w:hAnsi="Times New Roman" w:cs="Times New Roman"/>
          <w:sz w:val="24"/>
          <w:szCs w:val="24"/>
        </w:rPr>
        <w:t>attenuated</w:t>
      </w:r>
      <w:r w:rsidR="00BF77F4" w:rsidRPr="0038510C">
        <w:rPr>
          <w:rFonts w:ascii="Times New Roman" w:hAnsi="Times New Roman" w:cs="Times New Roman"/>
          <w:sz w:val="24"/>
          <w:szCs w:val="24"/>
        </w:rPr>
        <w:t>,</w:t>
      </w:r>
      <w:r w:rsidRPr="0038510C">
        <w:rPr>
          <w:rFonts w:ascii="Times New Roman" w:hAnsi="Times New Roman" w:cs="Times New Roman"/>
          <w:sz w:val="24"/>
          <w:szCs w:val="24"/>
        </w:rPr>
        <w:t xml:space="preserve"> dimly lit</w:t>
      </w:r>
      <w:r w:rsidR="000A44C0" w:rsidRPr="0038510C">
        <w:rPr>
          <w:rFonts w:ascii="Times New Roman" w:hAnsi="Times New Roman" w:cs="Times New Roman"/>
          <w:sz w:val="24"/>
          <w:szCs w:val="24"/>
        </w:rPr>
        <w:t xml:space="preserve"> and</w:t>
      </w:r>
      <w:r w:rsidRPr="0038510C">
        <w:rPr>
          <w:rFonts w:ascii="Times New Roman" w:hAnsi="Times New Roman" w:cs="Times New Roman"/>
          <w:sz w:val="24"/>
          <w:szCs w:val="24"/>
        </w:rPr>
        <w:t xml:space="preserve"> electrically shielded chamber. Responses were made with an arm movement to a cued goal</w:t>
      </w:r>
      <w:r w:rsidR="00A40B6A" w:rsidRPr="0038510C">
        <w:rPr>
          <w:rFonts w:ascii="Times New Roman" w:hAnsi="Times New Roman" w:cs="Times New Roman"/>
          <w:sz w:val="24"/>
          <w:szCs w:val="24"/>
        </w:rPr>
        <w:t xml:space="preserve"> location</w:t>
      </w:r>
      <w:r w:rsidRPr="0038510C">
        <w:rPr>
          <w:rFonts w:ascii="Times New Roman" w:hAnsi="Times New Roman" w:cs="Times New Roman"/>
          <w:sz w:val="24"/>
          <w:szCs w:val="24"/>
        </w:rPr>
        <w:t xml:space="preserve"> in front of the</w:t>
      </w:r>
      <w:r w:rsidR="001C6E37" w:rsidRPr="0038510C">
        <w:rPr>
          <w:rFonts w:ascii="Times New Roman" w:hAnsi="Times New Roman" w:cs="Times New Roman"/>
          <w:sz w:val="24"/>
          <w:szCs w:val="24"/>
        </w:rPr>
        <w:t xml:space="preserve"> participant</w:t>
      </w:r>
      <w:r w:rsidRPr="0038510C">
        <w:rPr>
          <w:rFonts w:ascii="Times New Roman" w:hAnsi="Times New Roman" w:cs="Times New Roman"/>
          <w:sz w:val="24"/>
          <w:szCs w:val="24"/>
        </w:rPr>
        <w:t xml:space="preserve"> or on their chest whilst fixating their eyes on a central </w:t>
      </w:r>
      <w:r w:rsidR="00E3593F" w:rsidRPr="0038510C">
        <w:rPr>
          <w:rFonts w:ascii="Times New Roman" w:hAnsi="Times New Roman" w:cs="Times New Roman"/>
          <w:sz w:val="24"/>
          <w:szCs w:val="24"/>
        </w:rPr>
        <w:t>starting location</w:t>
      </w:r>
      <w:r w:rsidRPr="0038510C">
        <w:rPr>
          <w:rFonts w:ascii="Times New Roman" w:hAnsi="Times New Roman" w:cs="Times New Roman"/>
          <w:sz w:val="24"/>
          <w:szCs w:val="24"/>
        </w:rPr>
        <w:t xml:space="preserve"> between th</w:t>
      </w:r>
      <w:r w:rsidR="000A44C0" w:rsidRPr="0038510C">
        <w:rPr>
          <w:rFonts w:ascii="Times New Roman" w:hAnsi="Times New Roman" w:cs="Times New Roman"/>
          <w:sz w:val="24"/>
          <w:szCs w:val="24"/>
        </w:rPr>
        <w:t xml:space="preserve">e two goals (see </w:t>
      </w:r>
      <w:r w:rsidR="001C6E37" w:rsidRPr="0038510C">
        <w:rPr>
          <w:rFonts w:ascii="Times New Roman" w:hAnsi="Times New Roman" w:cs="Times New Roman"/>
          <w:sz w:val="24"/>
          <w:szCs w:val="24"/>
        </w:rPr>
        <w:t>F</w:t>
      </w:r>
      <w:r w:rsidR="000A44C0" w:rsidRPr="0038510C">
        <w:rPr>
          <w:rFonts w:ascii="Times New Roman" w:hAnsi="Times New Roman" w:cs="Times New Roman"/>
          <w:sz w:val="24"/>
          <w:szCs w:val="24"/>
        </w:rPr>
        <w:t>igure</w:t>
      </w:r>
      <w:r w:rsidRPr="0038510C">
        <w:rPr>
          <w:rFonts w:ascii="Times New Roman" w:hAnsi="Times New Roman" w:cs="Times New Roman"/>
          <w:sz w:val="24"/>
          <w:szCs w:val="24"/>
        </w:rPr>
        <w:t xml:space="preserve"> 1). </w:t>
      </w:r>
      <w:r w:rsidR="009521CD" w:rsidRPr="0038510C">
        <w:rPr>
          <w:rFonts w:ascii="Times New Roman" w:hAnsi="Times New Roman" w:cs="Times New Roman"/>
          <w:sz w:val="24"/>
          <w:szCs w:val="24"/>
        </w:rPr>
        <w:t xml:space="preserve">Participants were asked to prepare a movement according to the auditory cue and to subsequently execute the movement as fast and accurately as possible following the auditory GO signal. They were instructed to return their hand to the middle location after reaching the goal location </w:t>
      </w:r>
      <w:r w:rsidR="00924034">
        <w:rPr>
          <w:rFonts w:ascii="Times New Roman" w:hAnsi="Times New Roman" w:cs="Times New Roman"/>
          <w:sz w:val="24"/>
          <w:szCs w:val="24"/>
        </w:rPr>
        <w:t>and</w:t>
      </w:r>
      <w:r w:rsidR="009521CD" w:rsidRPr="0038510C">
        <w:rPr>
          <w:rFonts w:ascii="Times New Roman" w:hAnsi="Times New Roman" w:cs="Times New Roman"/>
          <w:sz w:val="24"/>
          <w:szCs w:val="24"/>
        </w:rPr>
        <w:t xml:space="preserve"> await the next trial</w:t>
      </w:r>
      <w:r w:rsidRPr="0038510C">
        <w:rPr>
          <w:rFonts w:ascii="Times New Roman" w:hAnsi="Times New Roman" w:cs="Times New Roman"/>
          <w:sz w:val="24"/>
          <w:szCs w:val="24"/>
        </w:rPr>
        <w:t>. Participants first completed a practice block of 40 randomised trials, followed by a block of 480 trials with a pause every 60 trials after which participants verbally informed the experimenter to continue with t</w:t>
      </w:r>
      <w:r w:rsidR="000A44C0" w:rsidRPr="0038510C">
        <w:rPr>
          <w:rFonts w:ascii="Times New Roman" w:hAnsi="Times New Roman" w:cs="Times New Roman"/>
          <w:sz w:val="24"/>
          <w:szCs w:val="24"/>
        </w:rPr>
        <w:t>he next 60 trials</w:t>
      </w:r>
      <w:r w:rsidRPr="0038510C">
        <w:rPr>
          <w:rFonts w:ascii="Times New Roman" w:hAnsi="Times New Roman" w:cs="Times New Roman"/>
          <w:sz w:val="24"/>
          <w:szCs w:val="24"/>
        </w:rPr>
        <w:t>. With each block of 60 trials participants were instructed to change the arm with which they complete</w:t>
      </w:r>
      <w:r w:rsidR="000A44C0" w:rsidRPr="0038510C">
        <w:rPr>
          <w:rFonts w:ascii="Times New Roman" w:hAnsi="Times New Roman" w:cs="Times New Roman"/>
          <w:sz w:val="24"/>
          <w:szCs w:val="24"/>
        </w:rPr>
        <w:t>d</w:t>
      </w:r>
      <w:r w:rsidRPr="0038510C">
        <w:rPr>
          <w:rFonts w:ascii="Times New Roman" w:hAnsi="Times New Roman" w:cs="Times New Roman"/>
          <w:sz w:val="24"/>
          <w:szCs w:val="24"/>
        </w:rPr>
        <w:t xml:space="preserve"> the </w:t>
      </w:r>
      <w:r w:rsidR="00D338A9" w:rsidRPr="0038510C">
        <w:rPr>
          <w:rFonts w:ascii="Times New Roman" w:hAnsi="Times New Roman" w:cs="Times New Roman"/>
          <w:sz w:val="24"/>
          <w:szCs w:val="24"/>
        </w:rPr>
        <w:t xml:space="preserve">movement. </w:t>
      </w:r>
      <w:r w:rsidRPr="0038510C">
        <w:rPr>
          <w:rFonts w:ascii="Times New Roman" w:hAnsi="Times New Roman" w:cs="Times New Roman"/>
          <w:sz w:val="24"/>
          <w:szCs w:val="24"/>
        </w:rPr>
        <w:t xml:space="preserve">Stimulus onset asynchrony (SOA) between the response and the cue of the following trial was varied to be 1000ms, 1100ms or 1200ms. </w:t>
      </w:r>
    </w:p>
    <w:p w:rsidR="00002613" w:rsidRPr="0038510C" w:rsidRDefault="00347742" w:rsidP="00625F36">
      <w:pPr>
        <w:keepNext/>
        <w:spacing w:line="360" w:lineRule="auto"/>
        <w:jc w:val="both"/>
        <w:rPr>
          <w:rFonts w:ascii="Times New Roman" w:hAnsi="Times New Roman" w:cs="Times New Roman"/>
        </w:rPr>
      </w:pPr>
      <w:r>
        <w:rPr>
          <w:rFonts w:ascii="Times New Roman" w:hAnsi="Times New Roman" w:cs="Times New Roman"/>
          <w:noProof/>
          <w:lang w:eastAsia="en-GB"/>
        </w:rPr>
        <w:drawing>
          <wp:inline distT="0" distB="0" distL="0" distR="0">
            <wp:extent cx="5464810" cy="3386455"/>
            <wp:effectExtent l="0" t="0" r="2540" b="0"/>
            <wp:docPr id="1" name="Picture 1" descr="trial_pr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al_proc"/>
                    <pic:cNvPicPr>
                      <a:picLocks noChangeAspect="1" noChangeArrowheads="1"/>
                    </pic:cNvPicPr>
                  </pic:nvPicPr>
                  <pic:blipFill>
                    <a:blip r:embed="rId8"/>
                    <a:srcRect/>
                    <a:stretch>
                      <a:fillRect/>
                    </a:stretch>
                  </pic:blipFill>
                  <pic:spPr bwMode="auto">
                    <a:xfrm>
                      <a:off x="0" y="0"/>
                      <a:ext cx="5464810" cy="3386455"/>
                    </a:xfrm>
                    <a:prstGeom prst="rect">
                      <a:avLst/>
                    </a:prstGeom>
                    <a:noFill/>
                    <a:ln w="9525">
                      <a:noFill/>
                      <a:miter lim="800000"/>
                      <a:headEnd/>
                      <a:tailEnd/>
                    </a:ln>
                  </pic:spPr>
                </pic:pic>
              </a:graphicData>
            </a:graphic>
          </wp:inline>
        </w:drawing>
      </w:r>
    </w:p>
    <w:p w:rsidR="004C5C35" w:rsidRPr="0038510C" w:rsidRDefault="009521CD" w:rsidP="00D37AAC">
      <w:pPr>
        <w:pStyle w:val="Caption"/>
        <w:spacing w:line="360" w:lineRule="auto"/>
        <w:jc w:val="both"/>
        <w:rPr>
          <w:rFonts w:ascii="Times New Roman" w:hAnsi="Times New Roman" w:cs="Times New Roman"/>
        </w:rPr>
      </w:pPr>
      <w:r w:rsidRPr="0038510C">
        <w:rPr>
          <w:rFonts w:ascii="Times New Roman" w:hAnsi="Times New Roman" w:cs="Times New Roman"/>
          <w:b/>
          <w:i w:val="0"/>
        </w:rPr>
        <w:t xml:space="preserve">Figure </w:t>
      </w:r>
      <w:r w:rsidRPr="0038510C">
        <w:rPr>
          <w:rFonts w:ascii="Times New Roman" w:hAnsi="Times New Roman" w:cs="Times New Roman"/>
          <w:b/>
          <w:i w:val="0"/>
        </w:rPr>
        <w:fldChar w:fldCharType="begin"/>
      </w:r>
      <w:r w:rsidRPr="0038510C">
        <w:rPr>
          <w:rFonts w:ascii="Times New Roman" w:hAnsi="Times New Roman" w:cs="Times New Roman"/>
          <w:b/>
          <w:i w:val="0"/>
        </w:rPr>
        <w:instrText xml:space="preserve"> SEQ Figure \* ARABIC </w:instrText>
      </w:r>
      <w:r w:rsidRPr="0038510C">
        <w:rPr>
          <w:rFonts w:ascii="Times New Roman" w:hAnsi="Times New Roman" w:cs="Times New Roman"/>
          <w:b/>
          <w:i w:val="0"/>
        </w:rPr>
        <w:fldChar w:fldCharType="separate"/>
      </w:r>
      <w:r w:rsidR="00CE52E8">
        <w:rPr>
          <w:rFonts w:ascii="Times New Roman" w:hAnsi="Times New Roman" w:cs="Times New Roman"/>
          <w:b/>
          <w:i w:val="0"/>
          <w:noProof/>
        </w:rPr>
        <w:t>1</w:t>
      </w:r>
      <w:r w:rsidRPr="0038510C">
        <w:rPr>
          <w:rFonts w:ascii="Times New Roman" w:hAnsi="Times New Roman" w:cs="Times New Roman"/>
          <w:b/>
          <w:i w:val="0"/>
        </w:rPr>
        <w:fldChar w:fldCharType="end"/>
      </w:r>
      <w:r w:rsidRPr="0038510C">
        <w:rPr>
          <w:rFonts w:ascii="Times New Roman" w:hAnsi="Times New Roman" w:cs="Times New Roman"/>
          <w:b/>
          <w:i w:val="0"/>
        </w:rPr>
        <w:t xml:space="preserve">. Schematic illustration of the movement goal locations (lower left) and trial procedure. At 200ms an auditory movement cue was presented, followed by either a visual or a tactile probe at 800ms. At 1000ms a GO/Stop stimulus signalled movement execution after which participants returned their hand to the middle location. Visual and tactile probes were delivered to the peripersonal and personal goal locations, respectively. </w:t>
      </w:r>
    </w:p>
    <w:p w:rsidR="004C5C35" w:rsidRPr="0038510C" w:rsidRDefault="004C5C35" w:rsidP="00625F36">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EEG recording and processing</w:t>
      </w:r>
    </w:p>
    <w:p w:rsidR="004C5C35" w:rsidRPr="0038510C" w:rsidRDefault="004C5C35"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lastRenderedPageBreak/>
        <w:t>EEG was recorded from 64 Ag–AgCl electrodes</w:t>
      </w:r>
      <w:r w:rsidR="00E3593F" w:rsidRPr="0038510C">
        <w:rPr>
          <w:rFonts w:ascii="Times New Roman" w:hAnsi="Times New Roman" w:cs="Times New Roman"/>
          <w:sz w:val="24"/>
          <w:szCs w:val="24"/>
        </w:rPr>
        <w:t xml:space="preserve"> </w:t>
      </w:r>
      <w:r w:rsidRPr="0038510C">
        <w:rPr>
          <w:rFonts w:ascii="Times New Roman" w:hAnsi="Times New Roman" w:cs="Times New Roman"/>
          <w:sz w:val="24"/>
          <w:szCs w:val="24"/>
        </w:rPr>
        <w:t>at a digitisation rate of 512Hz and referenced to the average of electrodes placed on the left and right earlobes. Activity from horizontal eye movements was recorded from pairs of electrodes placed on the outer canthi of the eyes. Vertical eye movement activity was recorded from electrodes placed above and below the left eye. All electrode impedances were kept below 5 k Ω.</w:t>
      </w:r>
    </w:p>
    <w:p w:rsidR="004C5C35" w:rsidRPr="0038510C" w:rsidRDefault="00E3593F"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Horizontal eye movement artefacts</w:t>
      </w:r>
      <w:r w:rsidR="004C5C35" w:rsidRPr="0038510C">
        <w:rPr>
          <w:rFonts w:ascii="Times New Roman" w:hAnsi="Times New Roman" w:cs="Times New Roman"/>
          <w:sz w:val="24"/>
          <w:szCs w:val="24"/>
        </w:rPr>
        <w:t xml:space="preserve"> were identified as a difference exceeding +30 μV between the electrodes placed above and below the left eye. Epochs including </w:t>
      </w:r>
      <w:r w:rsidR="00581318" w:rsidRPr="0038510C">
        <w:rPr>
          <w:rFonts w:ascii="Times New Roman" w:hAnsi="Times New Roman" w:cs="Times New Roman"/>
          <w:sz w:val="24"/>
          <w:szCs w:val="24"/>
        </w:rPr>
        <w:t>eye blink arte</w:t>
      </w:r>
      <w:r w:rsidR="004C5C35" w:rsidRPr="0038510C">
        <w:rPr>
          <w:rFonts w:ascii="Times New Roman" w:hAnsi="Times New Roman" w:cs="Times New Roman"/>
          <w:sz w:val="24"/>
          <w:szCs w:val="24"/>
        </w:rPr>
        <w:t>facts or voltages exceeding + and/or - 100 μV as well as trials where an error was</w:t>
      </w:r>
      <w:r w:rsidR="00D338A9" w:rsidRPr="0038510C">
        <w:rPr>
          <w:rFonts w:ascii="Times New Roman" w:hAnsi="Times New Roman" w:cs="Times New Roman"/>
          <w:sz w:val="24"/>
          <w:szCs w:val="24"/>
        </w:rPr>
        <w:t xml:space="preserve"> </w:t>
      </w:r>
      <w:r w:rsidR="004C5C35" w:rsidRPr="0038510C">
        <w:rPr>
          <w:rFonts w:ascii="Times New Roman" w:hAnsi="Times New Roman" w:cs="Times New Roman"/>
          <w:sz w:val="24"/>
          <w:szCs w:val="24"/>
        </w:rPr>
        <w:t xml:space="preserve">recorded were automatically rejected prior to analysis. </w:t>
      </w:r>
    </w:p>
    <w:p w:rsidR="00002613" w:rsidRPr="0038510C" w:rsidRDefault="004C5C35" w:rsidP="00B100B7">
      <w:pPr>
        <w:spacing w:line="360" w:lineRule="auto"/>
        <w:jc w:val="both"/>
        <w:rPr>
          <w:rFonts w:ascii="Times New Roman" w:hAnsi="Times New Roman" w:cs="Times New Roman"/>
        </w:rPr>
      </w:pPr>
      <w:r w:rsidRPr="0038510C">
        <w:rPr>
          <w:rFonts w:ascii="Times New Roman" w:hAnsi="Times New Roman" w:cs="Times New Roman"/>
          <w:sz w:val="24"/>
          <w:szCs w:val="24"/>
        </w:rPr>
        <w:t>ERPs were segmented into 700ms epochs including a 200ms pre-stimulus baseline. Segmentations were made by condition</w:t>
      </w:r>
      <w:r w:rsidR="008B1BA5" w:rsidRPr="0038510C">
        <w:rPr>
          <w:rFonts w:ascii="Times New Roman" w:hAnsi="Times New Roman" w:cs="Times New Roman"/>
          <w:sz w:val="24"/>
          <w:szCs w:val="24"/>
        </w:rPr>
        <w:t xml:space="preserve">: 1) </w:t>
      </w:r>
      <w:r w:rsidRPr="0038510C">
        <w:rPr>
          <w:rFonts w:ascii="Times New Roman" w:hAnsi="Times New Roman" w:cs="Times New Roman"/>
          <w:sz w:val="24"/>
          <w:szCs w:val="24"/>
        </w:rPr>
        <w:t>visual probe dur</w:t>
      </w:r>
      <w:r w:rsidR="008A05EE" w:rsidRPr="0038510C">
        <w:rPr>
          <w:rFonts w:ascii="Times New Roman" w:hAnsi="Times New Roman" w:cs="Times New Roman"/>
          <w:sz w:val="24"/>
          <w:szCs w:val="24"/>
        </w:rPr>
        <w:t>ing peri</w:t>
      </w:r>
      <w:r w:rsidR="008B1BA5" w:rsidRPr="0038510C">
        <w:rPr>
          <w:rFonts w:ascii="Times New Roman" w:hAnsi="Times New Roman" w:cs="Times New Roman"/>
          <w:sz w:val="24"/>
          <w:szCs w:val="24"/>
        </w:rPr>
        <w:t xml:space="preserve">personal movement preparation 2) </w:t>
      </w:r>
      <w:r w:rsidRPr="0038510C">
        <w:rPr>
          <w:rFonts w:ascii="Times New Roman" w:hAnsi="Times New Roman" w:cs="Times New Roman"/>
          <w:sz w:val="24"/>
          <w:szCs w:val="24"/>
        </w:rPr>
        <w:t>visual probe during personal movement prepara</w:t>
      </w:r>
      <w:r w:rsidR="008B1BA5" w:rsidRPr="0038510C">
        <w:rPr>
          <w:rFonts w:ascii="Times New Roman" w:hAnsi="Times New Roman" w:cs="Times New Roman"/>
          <w:sz w:val="24"/>
          <w:szCs w:val="24"/>
        </w:rPr>
        <w:t>tion 3)</w:t>
      </w:r>
      <w:r w:rsidR="008A05EE" w:rsidRPr="0038510C">
        <w:rPr>
          <w:rFonts w:ascii="Times New Roman" w:hAnsi="Times New Roman" w:cs="Times New Roman"/>
          <w:sz w:val="24"/>
          <w:szCs w:val="24"/>
        </w:rPr>
        <w:t xml:space="preserve"> tactile probe during peri</w:t>
      </w:r>
      <w:r w:rsidRPr="0038510C">
        <w:rPr>
          <w:rFonts w:ascii="Times New Roman" w:hAnsi="Times New Roman" w:cs="Times New Roman"/>
          <w:sz w:val="24"/>
          <w:szCs w:val="24"/>
        </w:rPr>
        <w:t>personal movement preparation and</w:t>
      </w:r>
      <w:r w:rsidR="008B1BA5" w:rsidRPr="0038510C">
        <w:rPr>
          <w:rFonts w:ascii="Times New Roman" w:hAnsi="Times New Roman" w:cs="Times New Roman"/>
          <w:sz w:val="24"/>
          <w:szCs w:val="24"/>
        </w:rPr>
        <w:t xml:space="preserve"> 4)</w:t>
      </w:r>
      <w:r w:rsidRPr="0038510C">
        <w:rPr>
          <w:rFonts w:ascii="Times New Roman" w:hAnsi="Times New Roman" w:cs="Times New Roman"/>
          <w:sz w:val="24"/>
          <w:szCs w:val="24"/>
        </w:rPr>
        <w:t xml:space="preserve"> tactile probe durin</w:t>
      </w:r>
      <w:r w:rsidR="008B1BA5" w:rsidRPr="0038510C">
        <w:rPr>
          <w:rFonts w:ascii="Times New Roman" w:hAnsi="Times New Roman" w:cs="Times New Roman"/>
          <w:sz w:val="24"/>
          <w:szCs w:val="24"/>
        </w:rPr>
        <w:t>g personal movement preparation</w:t>
      </w:r>
      <w:r w:rsidRPr="0038510C">
        <w:rPr>
          <w:rFonts w:ascii="Times New Roman" w:hAnsi="Times New Roman" w:cs="Times New Roman"/>
          <w:sz w:val="24"/>
          <w:szCs w:val="24"/>
        </w:rPr>
        <w:t>. The peak amplitudes of ERP components were automatically detected using pre-defined time windows. For the visual probe a</w:t>
      </w:r>
      <w:r w:rsidR="00597FAD" w:rsidRPr="0038510C">
        <w:rPr>
          <w:rFonts w:ascii="Times New Roman" w:hAnsi="Times New Roman" w:cs="Times New Roman"/>
          <w:sz w:val="24"/>
          <w:szCs w:val="24"/>
        </w:rPr>
        <w:t xml:space="preserve"> time window of 50 – 150</w:t>
      </w:r>
      <w:r w:rsidRPr="0038510C">
        <w:rPr>
          <w:rFonts w:ascii="Times New Roman" w:hAnsi="Times New Roman" w:cs="Times New Roman"/>
          <w:sz w:val="24"/>
          <w:szCs w:val="24"/>
        </w:rPr>
        <w:t>ms was used to detect the positive (P1) pea</w:t>
      </w:r>
      <w:r w:rsidR="00597FAD" w:rsidRPr="0038510C">
        <w:rPr>
          <w:rFonts w:ascii="Times New Roman" w:hAnsi="Times New Roman" w:cs="Times New Roman"/>
          <w:sz w:val="24"/>
          <w:szCs w:val="24"/>
        </w:rPr>
        <w:t>k and a time window of 100 – 200</w:t>
      </w:r>
      <w:r w:rsidRPr="0038510C">
        <w:rPr>
          <w:rFonts w:ascii="Times New Roman" w:hAnsi="Times New Roman" w:cs="Times New Roman"/>
          <w:sz w:val="24"/>
          <w:szCs w:val="24"/>
        </w:rPr>
        <w:t>ms was used to detect the negative (N1) peak. The tactile N140 peak was detected using a time window of 80 – 170ms.</w:t>
      </w:r>
    </w:p>
    <w:p w:rsidR="004C5C35" w:rsidRPr="0038510C" w:rsidRDefault="00383619" w:rsidP="00625F36">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Statistical a</w:t>
      </w:r>
      <w:r w:rsidR="004C5C35" w:rsidRPr="0038510C">
        <w:rPr>
          <w:rFonts w:ascii="Times New Roman" w:hAnsi="Times New Roman" w:cs="Times New Roman"/>
          <w:b/>
          <w:sz w:val="24"/>
          <w:szCs w:val="24"/>
        </w:rPr>
        <w:t>nalysis</w:t>
      </w:r>
    </w:p>
    <w:p w:rsidR="009521CD" w:rsidRPr="0038510C" w:rsidRDefault="009521CD" w:rsidP="009521CD">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 xml:space="preserve">For behavioural data, the time elapsed between the onset of the GO signal and the time at which the hand left the central position (reaction time) was recorded. In addition to the reaction times, the time elapsed between the hand leaving the central position and the landing at the goal location (movement duration) was also recorded. These behavioural measures were analysed with separate two-way repeated measures ANOVAs with factors of movement goal (personal/peripersonal) and probe (visual/tactile). </w:t>
      </w:r>
    </w:p>
    <w:p w:rsidR="00A40B6A" w:rsidRPr="0038510C" w:rsidRDefault="004C5C35" w:rsidP="00625F36">
      <w:pPr>
        <w:spacing w:line="360" w:lineRule="auto"/>
        <w:jc w:val="both"/>
        <w:rPr>
          <w:rFonts w:ascii="Times New Roman" w:hAnsi="Times New Roman" w:cs="Times New Roman"/>
        </w:rPr>
      </w:pPr>
      <w:r w:rsidRPr="0038510C">
        <w:rPr>
          <w:rFonts w:ascii="Times New Roman" w:hAnsi="Times New Roman" w:cs="Times New Roman"/>
          <w:sz w:val="24"/>
          <w:szCs w:val="24"/>
        </w:rPr>
        <w:t xml:space="preserve">For ERP component analysis the average peak amplitude values were </w:t>
      </w:r>
      <w:r w:rsidR="00D04198" w:rsidRPr="0038510C">
        <w:rPr>
          <w:rFonts w:ascii="Times New Roman" w:hAnsi="Times New Roman" w:cs="Times New Roman"/>
          <w:sz w:val="24"/>
          <w:szCs w:val="24"/>
        </w:rPr>
        <w:t>analysed</w:t>
      </w:r>
      <w:r w:rsidRPr="0038510C">
        <w:rPr>
          <w:rFonts w:ascii="Times New Roman" w:hAnsi="Times New Roman" w:cs="Times New Roman"/>
          <w:sz w:val="24"/>
          <w:szCs w:val="24"/>
        </w:rPr>
        <w:t>.</w:t>
      </w:r>
      <w:r w:rsidR="00D338A9" w:rsidRPr="0038510C">
        <w:rPr>
          <w:rFonts w:ascii="Times New Roman" w:hAnsi="Times New Roman" w:cs="Times New Roman"/>
          <w:sz w:val="24"/>
          <w:szCs w:val="24"/>
        </w:rPr>
        <w:t xml:space="preserve"> Electrodes were divided into </w:t>
      </w:r>
      <w:r w:rsidR="005C145C" w:rsidRPr="0038510C">
        <w:rPr>
          <w:rFonts w:ascii="Times New Roman" w:hAnsi="Times New Roman" w:cs="Times New Roman"/>
          <w:sz w:val="24"/>
          <w:szCs w:val="24"/>
        </w:rPr>
        <w:t xml:space="preserve">three </w:t>
      </w:r>
      <w:r w:rsidR="00D338A9" w:rsidRPr="0038510C">
        <w:rPr>
          <w:rFonts w:ascii="Times New Roman" w:hAnsi="Times New Roman" w:cs="Times New Roman"/>
          <w:sz w:val="24"/>
          <w:szCs w:val="24"/>
        </w:rPr>
        <w:t xml:space="preserve">regions </w:t>
      </w:r>
      <w:r w:rsidR="005C145C" w:rsidRPr="0038510C">
        <w:rPr>
          <w:rFonts w:ascii="Times New Roman" w:hAnsi="Times New Roman" w:cs="Times New Roman"/>
          <w:sz w:val="24"/>
          <w:szCs w:val="24"/>
        </w:rPr>
        <w:t xml:space="preserve">(posterior-occipital, central and frontal) </w:t>
      </w:r>
      <w:r w:rsidR="00D338A9" w:rsidRPr="0038510C">
        <w:rPr>
          <w:rFonts w:ascii="Times New Roman" w:hAnsi="Times New Roman" w:cs="Times New Roman"/>
          <w:sz w:val="24"/>
          <w:szCs w:val="24"/>
        </w:rPr>
        <w:t>and pooled for analysis of the distribution of ERP components.</w:t>
      </w:r>
      <w:r w:rsidRPr="0038510C">
        <w:rPr>
          <w:rFonts w:ascii="Times New Roman" w:hAnsi="Times New Roman" w:cs="Times New Roman"/>
          <w:sz w:val="24"/>
          <w:szCs w:val="24"/>
        </w:rPr>
        <w:t xml:space="preserve"> </w:t>
      </w:r>
      <w:r w:rsidR="004C0BB5" w:rsidRPr="0038510C">
        <w:rPr>
          <w:rFonts w:ascii="Times New Roman" w:hAnsi="Times New Roman" w:cs="Times New Roman"/>
          <w:sz w:val="24"/>
          <w:szCs w:val="24"/>
        </w:rPr>
        <w:t xml:space="preserve">Visual and tactile ERPs </w:t>
      </w:r>
      <w:r w:rsidR="008338C6" w:rsidRPr="0038510C">
        <w:rPr>
          <w:rFonts w:ascii="Times New Roman" w:hAnsi="Times New Roman" w:cs="Times New Roman"/>
          <w:sz w:val="24"/>
          <w:szCs w:val="24"/>
        </w:rPr>
        <w:t>we</w:t>
      </w:r>
      <w:r w:rsidR="004C0BB5" w:rsidRPr="0038510C">
        <w:rPr>
          <w:rFonts w:ascii="Times New Roman" w:hAnsi="Times New Roman" w:cs="Times New Roman"/>
          <w:sz w:val="24"/>
          <w:szCs w:val="24"/>
        </w:rPr>
        <w:t xml:space="preserve">re analysed separately in </w:t>
      </w:r>
      <w:r w:rsidR="006548AF" w:rsidRPr="0038510C">
        <w:rPr>
          <w:rFonts w:ascii="Times New Roman" w:hAnsi="Times New Roman" w:cs="Times New Roman"/>
          <w:sz w:val="24"/>
          <w:szCs w:val="24"/>
        </w:rPr>
        <w:t>t</w:t>
      </w:r>
      <w:r w:rsidRPr="0038510C">
        <w:rPr>
          <w:rFonts w:ascii="Times New Roman" w:hAnsi="Times New Roman" w:cs="Times New Roman"/>
          <w:sz w:val="24"/>
          <w:szCs w:val="24"/>
        </w:rPr>
        <w:t>hree-way repeated measures ANOVAs</w:t>
      </w:r>
      <w:r w:rsidR="004C0BB5" w:rsidRPr="0038510C">
        <w:rPr>
          <w:rFonts w:ascii="Times New Roman" w:hAnsi="Times New Roman" w:cs="Times New Roman"/>
          <w:sz w:val="24"/>
          <w:szCs w:val="24"/>
        </w:rPr>
        <w:t xml:space="preserve"> </w:t>
      </w:r>
      <w:r w:rsidRPr="0038510C">
        <w:rPr>
          <w:rFonts w:ascii="Times New Roman" w:hAnsi="Times New Roman" w:cs="Times New Roman"/>
          <w:sz w:val="24"/>
          <w:szCs w:val="24"/>
        </w:rPr>
        <w:t>with factors of moveme</w:t>
      </w:r>
      <w:r w:rsidR="008A05EE" w:rsidRPr="0038510C">
        <w:rPr>
          <w:rFonts w:ascii="Times New Roman" w:hAnsi="Times New Roman" w:cs="Times New Roman"/>
          <w:sz w:val="24"/>
          <w:szCs w:val="24"/>
        </w:rPr>
        <w:t>nt preparation (personal</w:t>
      </w:r>
      <w:r w:rsidR="004C0BB5" w:rsidRPr="0038510C">
        <w:rPr>
          <w:rFonts w:ascii="Times New Roman" w:hAnsi="Times New Roman" w:cs="Times New Roman"/>
          <w:sz w:val="24"/>
          <w:szCs w:val="24"/>
        </w:rPr>
        <w:t>/</w:t>
      </w:r>
      <w:r w:rsidR="008A05EE" w:rsidRPr="0038510C">
        <w:rPr>
          <w:rFonts w:ascii="Times New Roman" w:hAnsi="Times New Roman" w:cs="Times New Roman"/>
          <w:sz w:val="24"/>
          <w:szCs w:val="24"/>
        </w:rPr>
        <w:t>peri</w:t>
      </w:r>
      <w:r w:rsidRPr="0038510C">
        <w:rPr>
          <w:rFonts w:ascii="Times New Roman" w:hAnsi="Times New Roman" w:cs="Times New Roman"/>
          <w:sz w:val="24"/>
          <w:szCs w:val="24"/>
        </w:rPr>
        <w:t>personal) electrode hemisphere (lef</w:t>
      </w:r>
      <w:r w:rsidR="004C0BB5" w:rsidRPr="0038510C">
        <w:rPr>
          <w:rFonts w:ascii="Times New Roman" w:hAnsi="Times New Roman" w:cs="Times New Roman"/>
          <w:sz w:val="24"/>
          <w:szCs w:val="24"/>
        </w:rPr>
        <w:t>t/</w:t>
      </w:r>
      <w:r w:rsidRPr="0038510C">
        <w:rPr>
          <w:rFonts w:ascii="Times New Roman" w:hAnsi="Times New Roman" w:cs="Times New Roman"/>
          <w:sz w:val="24"/>
          <w:szCs w:val="24"/>
        </w:rPr>
        <w:t>right) and region (posterior-occipital</w:t>
      </w:r>
      <w:r w:rsidR="004C0BB5" w:rsidRPr="0038510C">
        <w:rPr>
          <w:rFonts w:ascii="Times New Roman" w:hAnsi="Times New Roman" w:cs="Times New Roman"/>
          <w:sz w:val="24"/>
          <w:szCs w:val="24"/>
        </w:rPr>
        <w:t>/c</w:t>
      </w:r>
      <w:r w:rsidRPr="0038510C">
        <w:rPr>
          <w:rFonts w:ascii="Times New Roman" w:hAnsi="Times New Roman" w:cs="Times New Roman"/>
          <w:sz w:val="24"/>
          <w:szCs w:val="24"/>
        </w:rPr>
        <w:t>entral</w:t>
      </w:r>
      <w:r w:rsidR="004C0BB5" w:rsidRPr="0038510C">
        <w:rPr>
          <w:rFonts w:ascii="Times New Roman" w:hAnsi="Times New Roman" w:cs="Times New Roman"/>
          <w:sz w:val="24"/>
          <w:szCs w:val="24"/>
        </w:rPr>
        <w:t>/</w:t>
      </w:r>
      <w:r w:rsidRPr="0038510C">
        <w:rPr>
          <w:rFonts w:ascii="Times New Roman" w:hAnsi="Times New Roman" w:cs="Times New Roman"/>
          <w:sz w:val="24"/>
          <w:szCs w:val="24"/>
        </w:rPr>
        <w:t xml:space="preserve">frontal). </w:t>
      </w:r>
      <w:r w:rsidR="009521CD" w:rsidRPr="0038510C">
        <w:rPr>
          <w:rFonts w:ascii="Times New Roman" w:hAnsi="Times New Roman" w:cs="Times New Roman"/>
          <w:sz w:val="24"/>
          <w:szCs w:val="24"/>
        </w:rPr>
        <w:t>Conditional on identifying significant main effects and interactions with the factor of electrode region s</w:t>
      </w:r>
      <w:r w:rsidRPr="0038510C">
        <w:rPr>
          <w:rFonts w:ascii="Times New Roman" w:hAnsi="Times New Roman" w:cs="Times New Roman"/>
          <w:sz w:val="24"/>
          <w:szCs w:val="24"/>
        </w:rPr>
        <w:t>eparate repeated measures ANOVAs were then run for each region with factors of moveme</w:t>
      </w:r>
      <w:r w:rsidR="008A05EE" w:rsidRPr="0038510C">
        <w:rPr>
          <w:rFonts w:ascii="Times New Roman" w:hAnsi="Times New Roman" w:cs="Times New Roman"/>
          <w:sz w:val="24"/>
          <w:szCs w:val="24"/>
        </w:rPr>
        <w:t>nt preparation (personal</w:t>
      </w:r>
      <w:r w:rsidR="004C0BB5" w:rsidRPr="0038510C">
        <w:rPr>
          <w:rFonts w:ascii="Times New Roman" w:hAnsi="Times New Roman" w:cs="Times New Roman"/>
          <w:sz w:val="24"/>
          <w:szCs w:val="24"/>
        </w:rPr>
        <w:t>/</w:t>
      </w:r>
      <w:r w:rsidR="008A05EE" w:rsidRPr="0038510C">
        <w:rPr>
          <w:rFonts w:ascii="Times New Roman" w:hAnsi="Times New Roman" w:cs="Times New Roman"/>
          <w:sz w:val="24"/>
          <w:szCs w:val="24"/>
        </w:rPr>
        <w:t>peri</w:t>
      </w:r>
      <w:r w:rsidRPr="0038510C">
        <w:rPr>
          <w:rFonts w:ascii="Times New Roman" w:hAnsi="Times New Roman" w:cs="Times New Roman"/>
          <w:sz w:val="24"/>
          <w:szCs w:val="24"/>
        </w:rPr>
        <w:t xml:space="preserve">personal) and hemisphere </w:t>
      </w:r>
      <w:r w:rsidRPr="0038510C">
        <w:rPr>
          <w:rFonts w:ascii="Times New Roman" w:hAnsi="Times New Roman" w:cs="Times New Roman"/>
          <w:sz w:val="24"/>
          <w:szCs w:val="24"/>
        </w:rPr>
        <w:lastRenderedPageBreak/>
        <w:t>(left</w:t>
      </w:r>
      <w:r w:rsidR="004C0BB5" w:rsidRPr="0038510C">
        <w:rPr>
          <w:rFonts w:ascii="Times New Roman" w:hAnsi="Times New Roman" w:cs="Times New Roman"/>
          <w:sz w:val="24"/>
          <w:szCs w:val="24"/>
        </w:rPr>
        <w:t>/</w:t>
      </w:r>
      <w:r w:rsidRPr="0038510C">
        <w:rPr>
          <w:rFonts w:ascii="Times New Roman" w:hAnsi="Times New Roman" w:cs="Times New Roman"/>
          <w:sz w:val="24"/>
          <w:szCs w:val="24"/>
        </w:rPr>
        <w:t xml:space="preserve">right). </w:t>
      </w:r>
      <w:r w:rsidR="005C145C" w:rsidRPr="0038510C">
        <w:rPr>
          <w:rFonts w:ascii="Times New Roman" w:hAnsi="Times New Roman" w:cs="Times New Roman"/>
          <w:sz w:val="24"/>
          <w:szCs w:val="24"/>
        </w:rPr>
        <w:t>Greenhouse-Geisser estimates were</w:t>
      </w:r>
      <w:r w:rsidRPr="0038510C">
        <w:rPr>
          <w:rFonts w:ascii="Times New Roman" w:hAnsi="Times New Roman" w:cs="Times New Roman"/>
          <w:sz w:val="24"/>
          <w:szCs w:val="24"/>
        </w:rPr>
        <w:t xml:space="preserve"> used where the assump</w:t>
      </w:r>
      <w:r w:rsidR="00597FAD" w:rsidRPr="0038510C">
        <w:rPr>
          <w:rFonts w:ascii="Times New Roman" w:hAnsi="Times New Roman" w:cs="Times New Roman"/>
          <w:sz w:val="24"/>
          <w:szCs w:val="24"/>
        </w:rPr>
        <w:t xml:space="preserve">tion of </w:t>
      </w:r>
      <w:r w:rsidR="009F5B8E" w:rsidRPr="0038510C">
        <w:rPr>
          <w:rFonts w:ascii="Times New Roman" w:hAnsi="Times New Roman" w:cs="Times New Roman"/>
          <w:sz w:val="24"/>
          <w:szCs w:val="24"/>
        </w:rPr>
        <w:t>sphericity</w:t>
      </w:r>
      <w:r w:rsidR="00597FAD" w:rsidRPr="0038510C">
        <w:rPr>
          <w:rFonts w:ascii="Times New Roman" w:hAnsi="Times New Roman" w:cs="Times New Roman"/>
          <w:sz w:val="24"/>
          <w:szCs w:val="24"/>
        </w:rPr>
        <w:t xml:space="preserve"> was violated and corrections for multiple comparisons were made using Bonferroni adjustment</w:t>
      </w:r>
      <w:r w:rsidR="009F5B8E" w:rsidRPr="0038510C">
        <w:rPr>
          <w:rFonts w:ascii="Times New Roman" w:hAnsi="Times New Roman" w:cs="Times New Roman"/>
          <w:sz w:val="24"/>
          <w:szCs w:val="24"/>
        </w:rPr>
        <w:t xml:space="preserve"> for post-hoc t-tests</w:t>
      </w:r>
      <w:r w:rsidR="00597FAD" w:rsidRPr="0038510C">
        <w:rPr>
          <w:rFonts w:ascii="Times New Roman" w:hAnsi="Times New Roman" w:cs="Times New Roman"/>
          <w:sz w:val="24"/>
          <w:szCs w:val="24"/>
        </w:rPr>
        <w:t>.</w:t>
      </w:r>
    </w:p>
    <w:p w:rsidR="004C5C35" w:rsidRPr="0038510C" w:rsidRDefault="004C5C35" w:rsidP="00625F36">
      <w:pPr>
        <w:numPr>
          <w:ilvl w:val="0"/>
          <w:numId w:val="1"/>
        </w:numPr>
        <w:spacing w:line="360" w:lineRule="auto"/>
        <w:jc w:val="center"/>
        <w:rPr>
          <w:rFonts w:ascii="Times New Roman" w:hAnsi="Times New Roman" w:cs="Times New Roman"/>
          <w:b/>
          <w:sz w:val="24"/>
          <w:szCs w:val="24"/>
        </w:rPr>
      </w:pPr>
      <w:r w:rsidRPr="0038510C">
        <w:rPr>
          <w:rFonts w:ascii="Times New Roman" w:hAnsi="Times New Roman" w:cs="Times New Roman"/>
          <w:b/>
          <w:sz w:val="24"/>
          <w:szCs w:val="24"/>
        </w:rPr>
        <w:t>Results</w:t>
      </w:r>
    </w:p>
    <w:p w:rsidR="006C6EFB" w:rsidRPr="0038510C" w:rsidRDefault="00094B78" w:rsidP="006C6EFB">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Behavioural</w:t>
      </w:r>
    </w:p>
    <w:p w:rsidR="009F5B8E" w:rsidRPr="0038510C" w:rsidRDefault="009F5B8E" w:rsidP="009F5B8E">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 xml:space="preserve">The mean time (milliseconds) from the onset of the Go signal to the participant’s hand leaving the central fixation area (reaction time) was faster for movements towards personal space (M = 519, SD = 77) compared to movements towards peripersonal space (M = 549, SD = 64, </w:t>
      </w:r>
      <w:r w:rsidRPr="0038510C">
        <w:rPr>
          <w:rFonts w:ascii="Times New Roman" w:hAnsi="Times New Roman" w:cs="Times New Roman"/>
          <w:i/>
          <w:sz w:val="24"/>
          <w:szCs w:val="24"/>
        </w:rPr>
        <w:t>F</w:t>
      </w:r>
      <w:r w:rsidRPr="0038510C">
        <w:rPr>
          <w:rFonts w:ascii="Times New Roman" w:hAnsi="Times New Roman" w:cs="Times New Roman"/>
          <w:sz w:val="24"/>
          <w:szCs w:val="24"/>
        </w:rPr>
        <w:t xml:space="preserve">(1, 15) = 18.02, </w:t>
      </w:r>
      <w:r w:rsidRPr="0038510C">
        <w:rPr>
          <w:rFonts w:ascii="Times New Roman" w:hAnsi="Times New Roman" w:cs="Times New Roman"/>
          <w:i/>
          <w:sz w:val="24"/>
          <w:szCs w:val="24"/>
        </w:rPr>
        <w:t>p =</w:t>
      </w:r>
      <w:r w:rsidRPr="0038510C">
        <w:rPr>
          <w:rFonts w:ascii="Times New Roman" w:hAnsi="Times New Roman" w:cs="Times New Roman"/>
          <w:sz w:val="24"/>
          <w:szCs w:val="24"/>
        </w:rPr>
        <w:t xml:space="preserve"> .001, η</w:t>
      </w:r>
      <w:r w:rsidRPr="0038510C">
        <w:rPr>
          <w:rFonts w:ascii="Times New Roman" w:hAnsi="Times New Roman" w:cs="Times New Roman"/>
          <w:sz w:val="24"/>
          <w:szCs w:val="24"/>
          <w:vertAlign w:val="subscript"/>
        </w:rPr>
        <w:t>p</w:t>
      </w:r>
      <w:r w:rsidRPr="0038510C">
        <w:rPr>
          <w:rFonts w:ascii="Times New Roman" w:hAnsi="Times New Roman" w:cs="Times New Roman"/>
          <w:sz w:val="24"/>
          <w:szCs w:val="24"/>
          <w:vertAlign w:val="superscript"/>
        </w:rPr>
        <w:t>2</w:t>
      </w:r>
      <w:r w:rsidRPr="0038510C">
        <w:rPr>
          <w:rFonts w:ascii="Times New Roman" w:hAnsi="Times New Roman" w:cs="Times New Roman"/>
          <w:sz w:val="24"/>
          <w:szCs w:val="24"/>
        </w:rPr>
        <w:t xml:space="preserve"> = .546 ). Mean movement durations (milliseconds) were faster for movements towards personal (M = 277, SD = 222) compared to peripersonal (M = 510, SD = 168) space (</w:t>
      </w:r>
      <w:r w:rsidRPr="0038510C">
        <w:rPr>
          <w:rFonts w:ascii="Times New Roman" w:hAnsi="Times New Roman" w:cs="Times New Roman"/>
          <w:i/>
          <w:sz w:val="24"/>
          <w:szCs w:val="24"/>
        </w:rPr>
        <w:t>F</w:t>
      </w:r>
      <w:r w:rsidRPr="0038510C">
        <w:rPr>
          <w:rFonts w:ascii="Times New Roman" w:hAnsi="Times New Roman" w:cs="Times New Roman"/>
          <w:sz w:val="24"/>
          <w:szCs w:val="24"/>
        </w:rPr>
        <w:t xml:space="preserve">(1, 15) = 28.36, </w:t>
      </w:r>
      <w:r w:rsidRPr="0038510C">
        <w:rPr>
          <w:rFonts w:ascii="Times New Roman" w:hAnsi="Times New Roman" w:cs="Times New Roman"/>
          <w:i/>
          <w:sz w:val="24"/>
          <w:szCs w:val="24"/>
        </w:rPr>
        <w:t>p</w:t>
      </w:r>
      <w:r w:rsidRPr="0038510C">
        <w:rPr>
          <w:rFonts w:ascii="Times New Roman" w:hAnsi="Times New Roman" w:cs="Times New Roman"/>
          <w:sz w:val="24"/>
          <w:szCs w:val="24"/>
        </w:rPr>
        <w:t xml:space="preserve"> &lt; .001</w:t>
      </w:r>
      <w:r w:rsidR="009946B8">
        <w:rPr>
          <w:rFonts w:ascii="Times New Roman" w:hAnsi="Times New Roman" w:cs="Times New Roman"/>
          <w:sz w:val="24"/>
          <w:szCs w:val="24"/>
        </w:rPr>
        <w:t xml:space="preserve">, </w:t>
      </w:r>
      <w:r w:rsidR="009946B8" w:rsidRPr="0038510C">
        <w:rPr>
          <w:rFonts w:ascii="Times New Roman" w:hAnsi="Times New Roman" w:cs="Times New Roman"/>
          <w:sz w:val="24"/>
          <w:szCs w:val="24"/>
        </w:rPr>
        <w:t>η</w:t>
      </w:r>
      <w:r w:rsidR="009946B8" w:rsidRPr="0038510C">
        <w:rPr>
          <w:rFonts w:ascii="Times New Roman" w:hAnsi="Times New Roman" w:cs="Times New Roman"/>
          <w:sz w:val="24"/>
          <w:szCs w:val="24"/>
          <w:vertAlign w:val="subscript"/>
        </w:rPr>
        <w:t>p</w:t>
      </w:r>
      <w:r w:rsidR="009946B8" w:rsidRPr="0038510C">
        <w:rPr>
          <w:rFonts w:ascii="Times New Roman" w:hAnsi="Times New Roman" w:cs="Times New Roman"/>
          <w:sz w:val="24"/>
          <w:szCs w:val="24"/>
          <w:vertAlign w:val="superscript"/>
        </w:rPr>
        <w:t>2</w:t>
      </w:r>
      <w:r w:rsidR="009946B8" w:rsidRPr="0038510C">
        <w:rPr>
          <w:rFonts w:ascii="Times New Roman" w:hAnsi="Times New Roman" w:cs="Times New Roman"/>
          <w:sz w:val="24"/>
          <w:szCs w:val="24"/>
        </w:rPr>
        <w:t xml:space="preserve"> = .</w:t>
      </w:r>
      <w:r w:rsidR="009946B8">
        <w:rPr>
          <w:rFonts w:ascii="Times New Roman" w:hAnsi="Times New Roman" w:cs="Times New Roman"/>
          <w:sz w:val="24"/>
          <w:szCs w:val="24"/>
        </w:rPr>
        <w:t>654</w:t>
      </w:r>
      <w:r w:rsidRPr="0038510C">
        <w:rPr>
          <w:rFonts w:ascii="Times New Roman" w:hAnsi="Times New Roman" w:cs="Times New Roman"/>
          <w:sz w:val="24"/>
          <w:szCs w:val="24"/>
        </w:rPr>
        <w:t>). Mean error rates (ER) did not significantly differ between movements towards personal (ER = 0.78%, SD = 1.35) and peripersonal (ER = 0.72%, SD = 1.06) space (</w:t>
      </w:r>
      <w:r w:rsidRPr="0038510C">
        <w:rPr>
          <w:rFonts w:ascii="Times New Roman" w:hAnsi="Times New Roman" w:cs="Times New Roman"/>
          <w:i/>
          <w:sz w:val="24"/>
          <w:szCs w:val="24"/>
        </w:rPr>
        <w:t>F</w:t>
      </w:r>
      <w:r w:rsidRPr="0038510C">
        <w:rPr>
          <w:rFonts w:ascii="Times New Roman" w:hAnsi="Times New Roman" w:cs="Times New Roman"/>
          <w:sz w:val="24"/>
          <w:szCs w:val="24"/>
        </w:rPr>
        <w:t xml:space="preserve">(1, 15) = .05, </w:t>
      </w:r>
      <w:r w:rsidRPr="0038510C">
        <w:rPr>
          <w:rFonts w:ascii="Times New Roman" w:hAnsi="Times New Roman" w:cs="Times New Roman"/>
          <w:i/>
          <w:sz w:val="24"/>
          <w:szCs w:val="24"/>
        </w:rPr>
        <w:t>p =</w:t>
      </w:r>
      <w:r w:rsidRPr="0038510C">
        <w:rPr>
          <w:rFonts w:ascii="Times New Roman" w:hAnsi="Times New Roman" w:cs="Times New Roman"/>
          <w:sz w:val="24"/>
          <w:szCs w:val="24"/>
        </w:rPr>
        <w:t xml:space="preserve"> .822</w:t>
      </w:r>
      <w:r w:rsidR="009946B8">
        <w:rPr>
          <w:rFonts w:ascii="Times New Roman" w:hAnsi="Times New Roman" w:cs="Times New Roman"/>
          <w:sz w:val="24"/>
          <w:szCs w:val="24"/>
        </w:rPr>
        <w:t xml:space="preserve">, </w:t>
      </w:r>
      <w:r w:rsidR="009946B8" w:rsidRPr="0038510C">
        <w:rPr>
          <w:rFonts w:ascii="Times New Roman" w:hAnsi="Times New Roman" w:cs="Times New Roman"/>
          <w:sz w:val="24"/>
          <w:szCs w:val="24"/>
        </w:rPr>
        <w:t>η</w:t>
      </w:r>
      <w:r w:rsidR="009946B8" w:rsidRPr="0038510C">
        <w:rPr>
          <w:rFonts w:ascii="Times New Roman" w:hAnsi="Times New Roman" w:cs="Times New Roman"/>
          <w:sz w:val="24"/>
          <w:szCs w:val="24"/>
          <w:vertAlign w:val="subscript"/>
        </w:rPr>
        <w:t>p</w:t>
      </w:r>
      <w:r w:rsidR="009946B8" w:rsidRPr="0038510C">
        <w:rPr>
          <w:rFonts w:ascii="Times New Roman" w:hAnsi="Times New Roman" w:cs="Times New Roman"/>
          <w:sz w:val="24"/>
          <w:szCs w:val="24"/>
          <w:vertAlign w:val="superscript"/>
        </w:rPr>
        <w:t>2</w:t>
      </w:r>
      <w:r w:rsidR="009946B8" w:rsidRPr="0038510C">
        <w:rPr>
          <w:rFonts w:ascii="Times New Roman" w:hAnsi="Times New Roman" w:cs="Times New Roman"/>
          <w:sz w:val="24"/>
          <w:szCs w:val="24"/>
        </w:rPr>
        <w:t xml:space="preserve"> = .</w:t>
      </w:r>
      <w:r w:rsidR="009946B8">
        <w:rPr>
          <w:rFonts w:ascii="Times New Roman" w:hAnsi="Times New Roman" w:cs="Times New Roman"/>
          <w:sz w:val="24"/>
          <w:szCs w:val="24"/>
        </w:rPr>
        <w:t>003</w:t>
      </w:r>
      <w:r w:rsidRPr="0038510C">
        <w:rPr>
          <w:rFonts w:ascii="Times New Roman" w:hAnsi="Times New Roman" w:cs="Times New Roman"/>
          <w:sz w:val="24"/>
          <w:szCs w:val="24"/>
        </w:rPr>
        <w:t xml:space="preserve">). Participants were therefore </w:t>
      </w:r>
      <w:r w:rsidR="0016370A">
        <w:rPr>
          <w:rFonts w:ascii="Times New Roman" w:hAnsi="Times New Roman" w:cs="Times New Roman"/>
          <w:sz w:val="24"/>
          <w:szCs w:val="24"/>
        </w:rPr>
        <w:t>somewhat</w:t>
      </w:r>
      <w:r w:rsidRPr="0038510C">
        <w:rPr>
          <w:rFonts w:ascii="Times New Roman" w:hAnsi="Times New Roman" w:cs="Times New Roman"/>
          <w:sz w:val="24"/>
          <w:szCs w:val="24"/>
        </w:rPr>
        <w:t xml:space="preserve"> faster to respond to the Go signal for a personal movement relative to a peripersonal movement (~30ms), while their movement durations were considerably faster for personal movements (~230ms). </w:t>
      </w:r>
    </w:p>
    <w:p w:rsidR="009F5B8E" w:rsidRPr="0038510C" w:rsidRDefault="009F5B8E" w:rsidP="009F5B8E">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Unsurprisingly, the presentation of a probe at the goal location of the upcoming movement facilitated performance relative to presenting a probe at the opposite (non-goal) location. This was reflected by a significant interaction between movement goal and probe on reaction times (</w:t>
      </w:r>
      <w:r w:rsidRPr="0038510C">
        <w:rPr>
          <w:rFonts w:ascii="Times New Roman" w:hAnsi="Times New Roman" w:cs="Times New Roman"/>
          <w:i/>
          <w:sz w:val="24"/>
          <w:szCs w:val="24"/>
        </w:rPr>
        <w:t>F</w:t>
      </w:r>
      <w:r w:rsidRPr="0038510C">
        <w:rPr>
          <w:rFonts w:ascii="Times New Roman" w:hAnsi="Times New Roman" w:cs="Times New Roman"/>
          <w:sz w:val="24"/>
          <w:szCs w:val="24"/>
        </w:rPr>
        <w:t xml:space="preserve">(1, 15) = 11.46, </w:t>
      </w:r>
      <w:r w:rsidRPr="0038510C">
        <w:rPr>
          <w:rFonts w:ascii="Times New Roman" w:hAnsi="Times New Roman" w:cs="Times New Roman"/>
          <w:i/>
          <w:sz w:val="24"/>
          <w:szCs w:val="24"/>
        </w:rPr>
        <w:t>p =</w:t>
      </w:r>
      <w:r w:rsidRPr="0038510C">
        <w:rPr>
          <w:rFonts w:ascii="Times New Roman" w:hAnsi="Times New Roman" w:cs="Times New Roman"/>
          <w:sz w:val="24"/>
          <w:szCs w:val="24"/>
        </w:rPr>
        <w:t xml:space="preserve"> .004, η</w:t>
      </w:r>
      <w:r w:rsidRPr="0038510C">
        <w:rPr>
          <w:rFonts w:ascii="Times New Roman" w:hAnsi="Times New Roman" w:cs="Times New Roman"/>
          <w:sz w:val="24"/>
          <w:szCs w:val="24"/>
          <w:vertAlign w:val="subscript"/>
        </w:rPr>
        <w:t>p</w:t>
      </w:r>
      <w:r w:rsidRPr="0038510C">
        <w:rPr>
          <w:rFonts w:ascii="Times New Roman" w:hAnsi="Times New Roman" w:cs="Times New Roman"/>
          <w:sz w:val="24"/>
          <w:szCs w:val="24"/>
          <w:vertAlign w:val="superscript"/>
        </w:rPr>
        <w:t>2</w:t>
      </w:r>
      <w:r w:rsidRPr="0038510C">
        <w:rPr>
          <w:rFonts w:ascii="Times New Roman" w:hAnsi="Times New Roman" w:cs="Times New Roman"/>
          <w:sz w:val="24"/>
          <w:szCs w:val="24"/>
        </w:rPr>
        <w:t xml:space="preserve"> = .433). Reaction times were faster when a</w:t>
      </w:r>
      <w:r w:rsidR="00F32E01">
        <w:rPr>
          <w:rFonts w:ascii="Times New Roman" w:hAnsi="Times New Roman" w:cs="Times New Roman"/>
          <w:sz w:val="24"/>
          <w:szCs w:val="24"/>
        </w:rPr>
        <w:t xml:space="preserve"> tactile or visual</w:t>
      </w:r>
      <w:r w:rsidRPr="0038510C">
        <w:rPr>
          <w:rFonts w:ascii="Times New Roman" w:hAnsi="Times New Roman" w:cs="Times New Roman"/>
          <w:sz w:val="24"/>
          <w:szCs w:val="24"/>
        </w:rPr>
        <w:t xml:space="preserve"> probe was presented at the goal location (M = 529, SD = 72) relative to the opposite location (M = 540, SD = 71). Although this interaction was not present for the movement durations (</w:t>
      </w:r>
      <w:r w:rsidRPr="0038510C">
        <w:rPr>
          <w:rFonts w:ascii="Times New Roman" w:hAnsi="Times New Roman" w:cs="Times New Roman"/>
          <w:i/>
          <w:sz w:val="24"/>
          <w:szCs w:val="24"/>
        </w:rPr>
        <w:t>F</w:t>
      </w:r>
      <w:r w:rsidRPr="0038510C">
        <w:rPr>
          <w:rFonts w:ascii="Times New Roman" w:hAnsi="Times New Roman" w:cs="Times New Roman"/>
          <w:sz w:val="24"/>
          <w:szCs w:val="24"/>
        </w:rPr>
        <w:t xml:space="preserve">(1, 15) = 2.52, </w:t>
      </w:r>
      <w:r w:rsidRPr="0038510C">
        <w:rPr>
          <w:rFonts w:ascii="Times New Roman" w:hAnsi="Times New Roman" w:cs="Times New Roman"/>
          <w:i/>
          <w:sz w:val="24"/>
          <w:szCs w:val="24"/>
        </w:rPr>
        <w:t>p =</w:t>
      </w:r>
      <w:r w:rsidRPr="0038510C">
        <w:rPr>
          <w:rFonts w:ascii="Times New Roman" w:hAnsi="Times New Roman" w:cs="Times New Roman"/>
          <w:sz w:val="24"/>
          <w:szCs w:val="24"/>
        </w:rPr>
        <w:t xml:space="preserve"> .113, η</w:t>
      </w:r>
      <w:r w:rsidRPr="0038510C">
        <w:rPr>
          <w:rFonts w:ascii="Times New Roman" w:hAnsi="Times New Roman" w:cs="Times New Roman"/>
          <w:sz w:val="24"/>
          <w:szCs w:val="24"/>
          <w:vertAlign w:val="subscript"/>
        </w:rPr>
        <w:t>p</w:t>
      </w:r>
      <w:r w:rsidRPr="0038510C">
        <w:rPr>
          <w:rFonts w:ascii="Times New Roman" w:hAnsi="Times New Roman" w:cs="Times New Roman"/>
          <w:sz w:val="24"/>
          <w:szCs w:val="24"/>
          <w:vertAlign w:val="superscript"/>
        </w:rPr>
        <w:t>2</w:t>
      </w:r>
      <w:r w:rsidRPr="0038510C">
        <w:rPr>
          <w:rFonts w:ascii="Times New Roman" w:hAnsi="Times New Roman" w:cs="Times New Roman"/>
          <w:sz w:val="24"/>
          <w:szCs w:val="24"/>
        </w:rPr>
        <w:t xml:space="preserve"> = .144), error rates were significantly lower when a probe was presented at the goal location (ER = .52%, SD = .99) relative to the opposite location (ER = .98%, SD = 1.43, F(1, 15)  = 5.79, </w:t>
      </w:r>
      <w:r w:rsidRPr="0038510C">
        <w:rPr>
          <w:rFonts w:ascii="Times New Roman" w:hAnsi="Times New Roman" w:cs="Times New Roman"/>
          <w:i/>
          <w:sz w:val="24"/>
          <w:szCs w:val="24"/>
        </w:rPr>
        <w:t>p</w:t>
      </w:r>
      <w:r w:rsidRPr="0038510C">
        <w:rPr>
          <w:rFonts w:ascii="Times New Roman" w:hAnsi="Times New Roman" w:cs="Times New Roman"/>
          <w:sz w:val="24"/>
          <w:szCs w:val="24"/>
        </w:rPr>
        <w:t xml:space="preserve"> = .029, η</w:t>
      </w:r>
      <w:r w:rsidRPr="0038510C">
        <w:rPr>
          <w:rFonts w:ascii="Times New Roman" w:hAnsi="Times New Roman" w:cs="Times New Roman"/>
          <w:sz w:val="24"/>
          <w:szCs w:val="24"/>
          <w:vertAlign w:val="subscript"/>
        </w:rPr>
        <w:t>p</w:t>
      </w:r>
      <w:r w:rsidRPr="0038510C">
        <w:rPr>
          <w:rFonts w:ascii="Times New Roman" w:hAnsi="Times New Roman" w:cs="Times New Roman"/>
          <w:sz w:val="24"/>
          <w:szCs w:val="24"/>
          <w:vertAlign w:val="superscript"/>
        </w:rPr>
        <w:t>2</w:t>
      </w:r>
      <w:r w:rsidRPr="0038510C">
        <w:rPr>
          <w:rFonts w:ascii="Times New Roman" w:hAnsi="Times New Roman" w:cs="Times New Roman"/>
          <w:sz w:val="24"/>
          <w:szCs w:val="24"/>
        </w:rPr>
        <w:t xml:space="preserve"> = .278). This facilitatory effect of the probe on reaction times and accuracy was expected, </w:t>
      </w:r>
      <w:r w:rsidR="006E54F4">
        <w:rPr>
          <w:rFonts w:ascii="Times New Roman" w:hAnsi="Times New Roman" w:cs="Times New Roman"/>
          <w:sz w:val="24"/>
          <w:szCs w:val="24"/>
        </w:rPr>
        <w:t>however</w:t>
      </w:r>
      <w:r w:rsidRPr="0038510C">
        <w:rPr>
          <w:rFonts w:ascii="Times New Roman" w:hAnsi="Times New Roman" w:cs="Times New Roman"/>
          <w:sz w:val="24"/>
          <w:szCs w:val="24"/>
        </w:rPr>
        <w:t xml:space="preserve"> was not the primary concern of this study. The probes were not used in order to influence behavioural performance per se, but instead were used to index </w:t>
      </w:r>
      <w:r w:rsidR="006E54F4">
        <w:rPr>
          <w:rFonts w:ascii="Times New Roman" w:hAnsi="Times New Roman" w:cs="Times New Roman"/>
          <w:sz w:val="24"/>
          <w:szCs w:val="24"/>
        </w:rPr>
        <w:t xml:space="preserve">early stages of </w:t>
      </w:r>
      <w:r w:rsidRPr="0038510C">
        <w:rPr>
          <w:rFonts w:ascii="Times New Roman" w:hAnsi="Times New Roman" w:cs="Times New Roman"/>
          <w:sz w:val="24"/>
          <w:szCs w:val="24"/>
        </w:rPr>
        <w:t>sensory processing during movement preparation.</w:t>
      </w:r>
    </w:p>
    <w:p w:rsidR="006C6EFB" w:rsidRPr="0038510C" w:rsidRDefault="006C6EFB" w:rsidP="00625F36">
      <w:pPr>
        <w:spacing w:line="360" w:lineRule="auto"/>
        <w:jc w:val="both"/>
        <w:rPr>
          <w:rFonts w:ascii="Times New Roman" w:hAnsi="Times New Roman" w:cs="Times New Roman"/>
          <w:sz w:val="24"/>
          <w:szCs w:val="24"/>
        </w:rPr>
      </w:pPr>
    </w:p>
    <w:p w:rsidR="004C5C35" w:rsidRPr="0038510C" w:rsidRDefault="00DE7E08" w:rsidP="00625F36">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 xml:space="preserve">Visual probe evoked potentials </w:t>
      </w:r>
    </w:p>
    <w:p w:rsidR="00DE7E08" w:rsidRPr="0038510C" w:rsidRDefault="009F5B8E"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lastRenderedPageBreak/>
        <w:t>Figure 2</w:t>
      </w:r>
      <w:r w:rsidR="00DE7E08" w:rsidRPr="0038510C">
        <w:rPr>
          <w:rFonts w:ascii="Times New Roman" w:hAnsi="Times New Roman" w:cs="Times New Roman"/>
          <w:sz w:val="24"/>
          <w:szCs w:val="24"/>
        </w:rPr>
        <w:t xml:space="preserve"> shows the ERPs elicited at frontal, central and posterior sites by the visual probe stimuli. As can be seen the early visual P1 and N1 ERP components are posteriorly distributed and larger in amplitude during movement preparation towards peripersonal space.</w:t>
      </w:r>
    </w:p>
    <w:p w:rsidR="00245AD9" w:rsidRPr="0038510C" w:rsidRDefault="00DE7E08"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 xml:space="preserve">Statistical analyses confirmed the posterior distribution of the P1 component (main effect of electrode region, </w:t>
      </w:r>
      <w:r w:rsidRPr="0038510C">
        <w:rPr>
          <w:rFonts w:ascii="Times New Roman" w:hAnsi="Times New Roman" w:cs="Times New Roman"/>
          <w:i/>
          <w:sz w:val="24"/>
          <w:szCs w:val="24"/>
        </w:rPr>
        <w:t>F</w:t>
      </w:r>
      <w:r w:rsidR="00D93A06" w:rsidRPr="0038510C">
        <w:rPr>
          <w:rFonts w:ascii="Times New Roman" w:hAnsi="Times New Roman" w:cs="Times New Roman"/>
          <w:sz w:val="24"/>
          <w:szCs w:val="24"/>
        </w:rPr>
        <w:t xml:space="preserve">(2, 30) = 13.54, </w:t>
      </w:r>
      <w:r w:rsidR="00D93A06" w:rsidRPr="0038510C">
        <w:rPr>
          <w:rFonts w:ascii="Times New Roman" w:hAnsi="Times New Roman" w:cs="Times New Roman"/>
          <w:i/>
          <w:sz w:val="24"/>
          <w:szCs w:val="24"/>
        </w:rPr>
        <w:t>p</w:t>
      </w:r>
      <w:r w:rsidR="00D93A06" w:rsidRPr="0038510C">
        <w:rPr>
          <w:rFonts w:ascii="Times New Roman" w:hAnsi="Times New Roman" w:cs="Times New Roman"/>
          <w:sz w:val="24"/>
          <w:szCs w:val="24"/>
        </w:rPr>
        <w:t xml:space="preserve"> =</w:t>
      </w:r>
      <w:r w:rsidRPr="0038510C">
        <w:rPr>
          <w:rFonts w:ascii="Times New Roman" w:hAnsi="Times New Roman" w:cs="Times New Roman"/>
          <w:sz w:val="24"/>
          <w:szCs w:val="24"/>
        </w:rPr>
        <w:t xml:space="preserve"> .001</w:t>
      </w:r>
      <w:r w:rsidR="00CC2A87" w:rsidRPr="0038510C">
        <w:rPr>
          <w:rFonts w:ascii="Times New Roman" w:hAnsi="Times New Roman" w:cs="Times New Roman"/>
          <w:sz w:val="24"/>
          <w:szCs w:val="24"/>
        </w:rPr>
        <w:t>, = η</w:t>
      </w:r>
      <w:r w:rsidR="00CC2A87" w:rsidRPr="0038510C">
        <w:rPr>
          <w:rFonts w:ascii="Times New Roman" w:hAnsi="Times New Roman" w:cs="Times New Roman"/>
          <w:sz w:val="24"/>
          <w:szCs w:val="24"/>
          <w:vertAlign w:val="subscript"/>
        </w:rPr>
        <w:t>p</w:t>
      </w:r>
      <w:r w:rsidR="00CC2A87" w:rsidRPr="0038510C">
        <w:rPr>
          <w:rFonts w:ascii="Times New Roman" w:hAnsi="Times New Roman" w:cs="Times New Roman"/>
          <w:sz w:val="24"/>
          <w:szCs w:val="24"/>
          <w:vertAlign w:val="superscript"/>
        </w:rPr>
        <w:t>2</w:t>
      </w:r>
      <w:r w:rsidR="00CC2A87" w:rsidRPr="0038510C">
        <w:rPr>
          <w:rFonts w:ascii="Times New Roman" w:hAnsi="Times New Roman" w:cs="Times New Roman"/>
          <w:sz w:val="24"/>
          <w:szCs w:val="24"/>
        </w:rPr>
        <w:t xml:space="preserve"> .474</w:t>
      </w:r>
      <w:r w:rsidRPr="0038510C">
        <w:rPr>
          <w:rFonts w:ascii="Times New Roman" w:hAnsi="Times New Roman" w:cs="Times New Roman"/>
          <w:sz w:val="24"/>
          <w:szCs w:val="24"/>
        </w:rPr>
        <w:t xml:space="preserve">) and overall the P1 was more pronounced over the right hemisphere (main effect of electrode hemisphere, </w:t>
      </w:r>
      <w:r w:rsidRPr="0038510C">
        <w:rPr>
          <w:rFonts w:ascii="Times New Roman" w:hAnsi="Times New Roman" w:cs="Times New Roman"/>
          <w:i/>
          <w:sz w:val="24"/>
          <w:szCs w:val="24"/>
        </w:rPr>
        <w:t>F</w:t>
      </w:r>
      <w:r w:rsidR="00D93A06" w:rsidRPr="0038510C">
        <w:rPr>
          <w:rFonts w:ascii="Times New Roman" w:hAnsi="Times New Roman" w:cs="Times New Roman"/>
          <w:sz w:val="24"/>
          <w:szCs w:val="24"/>
        </w:rPr>
        <w:t xml:space="preserve">(1, 15) = 10.13, </w:t>
      </w:r>
      <w:r w:rsidR="00D93A06" w:rsidRPr="0038510C">
        <w:rPr>
          <w:rFonts w:ascii="Times New Roman" w:hAnsi="Times New Roman" w:cs="Times New Roman"/>
          <w:i/>
          <w:sz w:val="24"/>
          <w:szCs w:val="24"/>
        </w:rPr>
        <w:t>p</w:t>
      </w:r>
      <w:r w:rsidR="00D93A06" w:rsidRPr="0038510C">
        <w:rPr>
          <w:rFonts w:ascii="Times New Roman" w:hAnsi="Times New Roman" w:cs="Times New Roman"/>
          <w:sz w:val="24"/>
          <w:szCs w:val="24"/>
        </w:rPr>
        <w:t xml:space="preserve"> = .006</w:t>
      </w:r>
      <w:r w:rsidR="00CC2A87" w:rsidRPr="0038510C">
        <w:rPr>
          <w:rFonts w:ascii="Times New Roman" w:hAnsi="Times New Roman" w:cs="Times New Roman"/>
          <w:sz w:val="24"/>
          <w:szCs w:val="24"/>
        </w:rPr>
        <w:t>, = η</w:t>
      </w:r>
      <w:r w:rsidR="00CC2A87" w:rsidRPr="0038510C">
        <w:rPr>
          <w:rFonts w:ascii="Times New Roman" w:hAnsi="Times New Roman" w:cs="Times New Roman"/>
          <w:sz w:val="24"/>
          <w:szCs w:val="24"/>
          <w:vertAlign w:val="subscript"/>
        </w:rPr>
        <w:t>p</w:t>
      </w:r>
      <w:r w:rsidR="00CC2A87" w:rsidRPr="0038510C">
        <w:rPr>
          <w:rFonts w:ascii="Times New Roman" w:hAnsi="Times New Roman" w:cs="Times New Roman"/>
          <w:sz w:val="24"/>
          <w:szCs w:val="24"/>
          <w:vertAlign w:val="superscript"/>
        </w:rPr>
        <w:t>2</w:t>
      </w:r>
      <w:r w:rsidR="00CC2A87" w:rsidRPr="0038510C">
        <w:rPr>
          <w:rFonts w:ascii="Times New Roman" w:hAnsi="Times New Roman" w:cs="Times New Roman"/>
          <w:sz w:val="24"/>
          <w:szCs w:val="24"/>
        </w:rPr>
        <w:t xml:space="preserve"> .403</w:t>
      </w:r>
      <w:r w:rsidR="00D93A06" w:rsidRPr="0038510C">
        <w:rPr>
          <w:rFonts w:ascii="Times New Roman" w:hAnsi="Times New Roman" w:cs="Times New Roman"/>
          <w:sz w:val="24"/>
          <w:szCs w:val="24"/>
        </w:rPr>
        <w:t>). Post-hoc comparisons</w:t>
      </w:r>
      <w:r w:rsidRPr="0038510C">
        <w:rPr>
          <w:rFonts w:ascii="Times New Roman" w:hAnsi="Times New Roman" w:cs="Times New Roman"/>
          <w:sz w:val="24"/>
          <w:szCs w:val="24"/>
        </w:rPr>
        <w:t xml:space="preserve"> confirmed that the P1 was signi</w:t>
      </w:r>
      <w:r w:rsidR="00D93A06" w:rsidRPr="0038510C">
        <w:rPr>
          <w:rFonts w:ascii="Times New Roman" w:hAnsi="Times New Roman" w:cs="Times New Roman"/>
          <w:sz w:val="24"/>
          <w:szCs w:val="24"/>
        </w:rPr>
        <w:t>ficantly larger in amplitude at</w:t>
      </w:r>
      <w:r w:rsidRPr="0038510C">
        <w:rPr>
          <w:rFonts w:ascii="Times New Roman" w:hAnsi="Times New Roman" w:cs="Times New Roman"/>
          <w:sz w:val="24"/>
          <w:szCs w:val="24"/>
        </w:rPr>
        <w:t xml:space="preserve"> posterior-occipital</w:t>
      </w:r>
      <w:r w:rsidR="00D93A06" w:rsidRPr="0038510C">
        <w:rPr>
          <w:rFonts w:ascii="Times New Roman" w:hAnsi="Times New Roman" w:cs="Times New Roman"/>
          <w:sz w:val="24"/>
          <w:szCs w:val="24"/>
        </w:rPr>
        <w:t xml:space="preserve"> electrode sites (M = 3.40</w:t>
      </w:r>
      <w:r w:rsidR="00245AD9" w:rsidRPr="0038510C">
        <w:rPr>
          <w:rFonts w:ascii="Times New Roman" w:eastAsia="Times New Roman" w:hAnsi="Times New Roman" w:cs="Times New Roman"/>
          <w:kern w:val="0"/>
          <w:sz w:val="24"/>
          <w:szCs w:val="24"/>
          <w:shd w:val="clear" w:color="auto" w:fill="FFFFFF"/>
          <w:lang w:eastAsia="en-US"/>
        </w:rPr>
        <w:t>μV</w:t>
      </w:r>
      <w:r w:rsidR="00D93A06" w:rsidRPr="0038510C">
        <w:rPr>
          <w:rFonts w:ascii="Times New Roman" w:hAnsi="Times New Roman" w:cs="Times New Roman"/>
          <w:sz w:val="24"/>
          <w:szCs w:val="24"/>
        </w:rPr>
        <w:t>, S</w:t>
      </w:r>
      <w:r w:rsidR="00936B00" w:rsidRPr="0038510C">
        <w:rPr>
          <w:rFonts w:ascii="Times New Roman" w:hAnsi="Times New Roman" w:cs="Times New Roman"/>
          <w:sz w:val="24"/>
          <w:szCs w:val="24"/>
        </w:rPr>
        <w:t>D</w:t>
      </w:r>
      <w:r w:rsidR="00D93A06" w:rsidRPr="0038510C">
        <w:rPr>
          <w:rFonts w:ascii="Times New Roman" w:hAnsi="Times New Roman" w:cs="Times New Roman"/>
          <w:sz w:val="24"/>
          <w:szCs w:val="24"/>
        </w:rPr>
        <w:t xml:space="preserve"> = </w:t>
      </w:r>
      <w:r w:rsidR="00936B00" w:rsidRPr="0038510C">
        <w:rPr>
          <w:rFonts w:ascii="Times New Roman" w:hAnsi="Times New Roman" w:cs="Times New Roman"/>
          <w:sz w:val="24"/>
          <w:szCs w:val="24"/>
        </w:rPr>
        <w:t>2.</w:t>
      </w:r>
      <w:r w:rsidR="00CE2476" w:rsidRPr="0038510C">
        <w:rPr>
          <w:rFonts w:ascii="Times New Roman" w:hAnsi="Times New Roman" w:cs="Times New Roman"/>
          <w:sz w:val="24"/>
          <w:szCs w:val="24"/>
        </w:rPr>
        <w:t>2</w:t>
      </w:r>
      <w:r w:rsidR="00015AA9" w:rsidRPr="0038510C">
        <w:rPr>
          <w:rFonts w:ascii="Times New Roman" w:hAnsi="Times New Roman" w:cs="Times New Roman"/>
          <w:sz w:val="24"/>
          <w:szCs w:val="24"/>
        </w:rPr>
        <w:t>) com</w:t>
      </w:r>
      <w:r w:rsidR="00D93A06" w:rsidRPr="0038510C">
        <w:rPr>
          <w:rFonts w:ascii="Times New Roman" w:hAnsi="Times New Roman" w:cs="Times New Roman"/>
          <w:sz w:val="24"/>
          <w:szCs w:val="24"/>
        </w:rPr>
        <w:t>pared to central sites (M = 1.90</w:t>
      </w:r>
      <w:r w:rsidR="00245AD9" w:rsidRPr="0038510C">
        <w:rPr>
          <w:rFonts w:ascii="Times New Roman" w:eastAsia="Times New Roman" w:hAnsi="Times New Roman" w:cs="Times New Roman"/>
          <w:kern w:val="0"/>
          <w:sz w:val="24"/>
          <w:szCs w:val="24"/>
          <w:shd w:val="clear" w:color="auto" w:fill="FFFFFF"/>
          <w:lang w:eastAsia="en-US"/>
        </w:rPr>
        <w:t xml:space="preserve"> μV</w:t>
      </w:r>
      <w:r w:rsidR="00D93A06" w:rsidRPr="0038510C">
        <w:rPr>
          <w:rFonts w:ascii="Times New Roman" w:hAnsi="Times New Roman" w:cs="Times New Roman"/>
          <w:sz w:val="24"/>
          <w:szCs w:val="24"/>
        </w:rPr>
        <w:t>, S</w:t>
      </w:r>
      <w:r w:rsidR="00936B00" w:rsidRPr="0038510C">
        <w:rPr>
          <w:rFonts w:ascii="Times New Roman" w:hAnsi="Times New Roman" w:cs="Times New Roman"/>
          <w:sz w:val="24"/>
          <w:szCs w:val="24"/>
        </w:rPr>
        <w:t>D</w:t>
      </w:r>
      <w:r w:rsidR="00D93A06" w:rsidRPr="0038510C">
        <w:rPr>
          <w:rFonts w:ascii="Times New Roman" w:hAnsi="Times New Roman" w:cs="Times New Roman"/>
          <w:sz w:val="24"/>
          <w:szCs w:val="24"/>
        </w:rPr>
        <w:t xml:space="preserve"> = </w:t>
      </w:r>
      <w:r w:rsidR="00936B00" w:rsidRPr="0038510C">
        <w:rPr>
          <w:rFonts w:ascii="Times New Roman" w:hAnsi="Times New Roman" w:cs="Times New Roman"/>
          <w:sz w:val="24"/>
          <w:szCs w:val="24"/>
        </w:rPr>
        <w:t>1</w:t>
      </w:r>
      <w:r w:rsidR="00D93A06" w:rsidRPr="0038510C">
        <w:rPr>
          <w:rFonts w:ascii="Times New Roman" w:hAnsi="Times New Roman" w:cs="Times New Roman"/>
          <w:sz w:val="24"/>
          <w:szCs w:val="24"/>
        </w:rPr>
        <w:t>.</w:t>
      </w:r>
      <w:r w:rsidR="00CE2476" w:rsidRPr="0038510C">
        <w:rPr>
          <w:rFonts w:ascii="Times New Roman" w:hAnsi="Times New Roman" w:cs="Times New Roman"/>
          <w:sz w:val="24"/>
          <w:szCs w:val="24"/>
        </w:rPr>
        <w:t>5</w:t>
      </w:r>
      <w:r w:rsidR="00D93A06" w:rsidRPr="0038510C">
        <w:rPr>
          <w:rFonts w:ascii="Times New Roman" w:hAnsi="Times New Roman" w:cs="Times New Roman"/>
          <w:sz w:val="24"/>
          <w:szCs w:val="24"/>
        </w:rPr>
        <w:t xml:space="preserve">, </w:t>
      </w:r>
      <w:r w:rsidR="00D93A06" w:rsidRPr="0038510C">
        <w:rPr>
          <w:rFonts w:ascii="Times New Roman" w:hAnsi="Times New Roman" w:cs="Times New Roman"/>
          <w:i/>
          <w:sz w:val="24"/>
          <w:szCs w:val="24"/>
        </w:rPr>
        <w:t>p</w:t>
      </w:r>
      <w:r w:rsidR="00D93A06" w:rsidRPr="0038510C">
        <w:rPr>
          <w:rFonts w:ascii="Times New Roman" w:hAnsi="Times New Roman" w:cs="Times New Roman"/>
          <w:sz w:val="24"/>
          <w:szCs w:val="24"/>
        </w:rPr>
        <w:t xml:space="preserve"> = .001</w:t>
      </w:r>
      <w:r w:rsidR="00936B00" w:rsidRPr="0038510C">
        <w:rPr>
          <w:rFonts w:ascii="Times New Roman" w:hAnsi="Times New Roman" w:cs="Times New Roman"/>
          <w:sz w:val="24"/>
          <w:szCs w:val="24"/>
        </w:rPr>
        <w:t xml:space="preserve">, </w:t>
      </w:r>
      <w:r w:rsidR="00936B00" w:rsidRPr="00F05B60">
        <w:rPr>
          <w:rFonts w:ascii="Times New Roman" w:hAnsi="Times New Roman" w:cs="Times New Roman"/>
          <w:i/>
          <w:sz w:val="24"/>
          <w:szCs w:val="24"/>
        </w:rPr>
        <w:t>d</w:t>
      </w:r>
      <w:r w:rsidR="00936B00" w:rsidRPr="0038510C">
        <w:rPr>
          <w:rFonts w:ascii="Times New Roman" w:hAnsi="Times New Roman" w:cs="Times New Roman"/>
          <w:sz w:val="24"/>
          <w:szCs w:val="24"/>
        </w:rPr>
        <w:t xml:space="preserve"> = </w:t>
      </w:r>
      <w:r w:rsidR="00DC0EF4" w:rsidRPr="0038510C">
        <w:rPr>
          <w:rFonts w:ascii="Times New Roman" w:hAnsi="Times New Roman" w:cs="Times New Roman"/>
          <w:sz w:val="24"/>
          <w:szCs w:val="24"/>
        </w:rPr>
        <w:t>.51</w:t>
      </w:r>
      <w:r w:rsidR="00D93A06" w:rsidRPr="0038510C">
        <w:rPr>
          <w:rFonts w:ascii="Times New Roman" w:hAnsi="Times New Roman" w:cs="Times New Roman"/>
          <w:sz w:val="24"/>
          <w:szCs w:val="24"/>
        </w:rPr>
        <w:t>) and frontal sites (M = 1.70</w:t>
      </w:r>
      <w:r w:rsidR="00245AD9" w:rsidRPr="0038510C">
        <w:rPr>
          <w:rFonts w:ascii="Times New Roman" w:eastAsia="Times New Roman" w:hAnsi="Times New Roman" w:cs="Times New Roman"/>
          <w:kern w:val="0"/>
          <w:sz w:val="24"/>
          <w:szCs w:val="24"/>
          <w:shd w:val="clear" w:color="auto" w:fill="FFFFFF"/>
          <w:lang w:eastAsia="en-US"/>
        </w:rPr>
        <w:t>μV</w:t>
      </w:r>
      <w:r w:rsidR="00015AA9" w:rsidRPr="0038510C">
        <w:rPr>
          <w:rFonts w:ascii="Times New Roman" w:hAnsi="Times New Roman" w:cs="Times New Roman"/>
          <w:sz w:val="24"/>
          <w:szCs w:val="24"/>
        </w:rPr>
        <w:t>, S</w:t>
      </w:r>
      <w:r w:rsidR="00CE2476" w:rsidRPr="0038510C">
        <w:rPr>
          <w:rFonts w:ascii="Times New Roman" w:hAnsi="Times New Roman" w:cs="Times New Roman"/>
          <w:sz w:val="24"/>
          <w:szCs w:val="24"/>
        </w:rPr>
        <w:t>D</w:t>
      </w:r>
      <w:r w:rsidR="00D93A06" w:rsidRPr="0038510C">
        <w:rPr>
          <w:rFonts w:ascii="Times New Roman" w:hAnsi="Times New Roman" w:cs="Times New Roman"/>
          <w:sz w:val="24"/>
          <w:szCs w:val="24"/>
        </w:rPr>
        <w:t xml:space="preserve"> = </w:t>
      </w:r>
      <w:r w:rsidR="00CE2476" w:rsidRPr="0038510C">
        <w:rPr>
          <w:rFonts w:ascii="Times New Roman" w:hAnsi="Times New Roman" w:cs="Times New Roman"/>
          <w:sz w:val="24"/>
          <w:szCs w:val="24"/>
        </w:rPr>
        <w:t>1.56</w:t>
      </w:r>
      <w:r w:rsidR="00015AA9" w:rsidRPr="0038510C">
        <w:rPr>
          <w:rFonts w:ascii="Times New Roman" w:hAnsi="Times New Roman" w:cs="Times New Roman"/>
          <w:sz w:val="24"/>
          <w:szCs w:val="24"/>
        </w:rPr>
        <w:t xml:space="preserve">, </w:t>
      </w:r>
      <w:r w:rsidR="00015AA9" w:rsidRPr="00F05B60">
        <w:rPr>
          <w:rFonts w:ascii="Times New Roman" w:hAnsi="Times New Roman" w:cs="Times New Roman"/>
          <w:i/>
          <w:sz w:val="24"/>
          <w:szCs w:val="24"/>
        </w:rPr>
        <w:t>p</w:t>
      </w:r>
      <w:r w:rsidR="00015AA9" w:rsidRPr="0038510C">
        <w:rPr>
          <w:rFonts w:ascii="Times New Roman" w:hAnsi="Times New Roman" w:cs="Times New Roman"/>
          <w:sz w:val="24"/>
          <w:szCs w:val="24"/>
        </w:rPr>
        <w:t xml:space="preserve"> = .008</w:t>
      </w:r>
      <w:r w:rsidR="00DC0EF4" w:rsidRPr="0038510C">
        <w:rPr>
          <w:rFonts w:ascii="Times New Roman" w:hAnsi="Times New Roman" w:cs="Times New Roman"/>
          <w:sz w:val="24"/>
          <w:szCs w:val="24"/>
        </w:rPr>
        <w:t xml:space="preserve"> </w:t>
      </w:r>
      <w:r w:rsidR="00DC0EF4" w:rsidRPr="00F05B60">
        <w:rPr>
          <w:rFonts w:ascii="Times New Roman" w:hAnsi="Times New Roman" w:cs="Times New Roman"/>
          <w:i/>
          <w:sz w:val="24"/>
          <w:szCs w:val="24"/>
        </w:rPr>
        <w:t>d</w:t>
      </w:r>
      <w:r w:rsidR="00DC0EF4" w:rsidRPr="0038510C">
        <w:rPr>
          <w:rFonts w:ascii="Times New Roman" w:hAnsi="Times New Roman" w:cs="Times New Roman"/>
          <w:sz w:val="24"/>
          <w:szCs w:val="24"/>
        </w:rPr>
        <w:t xml:space="preserve"> = .77</w:t>
      </w:r>
      <w:r w:rsidR="00015AA9" w:rsidRPr="0038510C">
        <w:rPr>
          <w:rFonts w:ascii="Times New Roman" w:hAnsi="Times New Roman" w:cs="Times New Roman"/>
          <w:sz w:val="24"/>
          <w:szCs w:val="24"/>
        </w:rPr>
        <w:t xml:space="preserve">). Movement preparation did not modulate the visual P1 component and no significant interactions </w:t>
      </w:r>
      <w:r w:rsidR="00D93A06" w:rsidRPr="0038510C">
        <w:rPr>
          <w:rFonts w:ascii="Times New Roman" w:hAnsi="Times New Roman" w:cs="Times New Roman"/>
          <w:sz w:val="24"/>
          <w:szCs w:val="24"/>
        </w:rPr>
        <w:t>involving movement preparation</w:t>
      </w:r>
      <w:r w:rsidR="00015AA9" w:rsidRPr="0038510C">
        <w:rPr>
          <w:rFonts w:ascii="Times New Roman" w:hAnsi="Times New Roman" w:cs="Times New Roman"/>
          <w:sz w:val="24"/>
          <w:szCs w:val="24"/>
        </w:rPr>
        <w:t xml:space="preserve"> were present, therefore indicating that the visual prob</w:t>
      </w:r>
      <w:r w:rsidR="00D6645A" w:rsidRPr="0038510C">
        <w:rPr>
          <w:rFonts w:ascii="Times New Roman" w:hAnsi="Times New Roman" w:cs="Times New Roman"/>
          <w:sz w:val="24"/>
          <w:szCs w:val="24"/>
        </w:rPr>
        <w:t>e evoked P1 component was largest</w:t>
      </w:r>
      <w:r w:rsidR="00015AA9" w:rsidRPr="0038510C">
        <w:rPr>
          <w:rFonts w:ascii="Times New Roman" w:hAnsi="Times New Roman" w:cs="Times New Roman"/>
          <w:sz w:val="24"/>
          <w:szCs w:val="24"/>
        </w:rPr>
        <w:t xml:space="preserve"> at posterior-occipital electrode sites, but was</w:t>
      </w:r>
      <w:r w:rsidR="002502F2" w:rsidRPr="0038510C">
        <w:rPr>
          <w:rFonts w:ascii="Times New Roman" w:hAnsi="Times New Roman" w:cs="Times New Roman"/>
          <w:sz w:val="24"/>
          <w:szCs w:val="24"/>
        </w:rPr>
        <w:t xml:space="preserve"> not significantly modulated by </w:t>
      </w:r>
      <w:r w:rsidR="00015AA9" w:rsidRPr="0038510C">
        <w:rPr>
          <w:rFonts w:ascii="Times New Roman" w:hAnsi="Times New Roman" w:cs="Times New Roman"/>
          <w:sz w:val="24"/>
          <w:szCs w:val="24"/>
        </w:rPr>
        <w:t>movement preparation.</w:t>
      </w:r>
      <w:r w:rsidRPr="0038510C">
        <w:rPr>
          <w:rFonts w:ascii="Times New Roman" w:hAnsi="Times New Roman" w:cs="Times New Roman"/>
          <w:sz w:val="24"/>
          <w:szCs w:val="24"/>
        </w:rPr>
        <w:t xml:space="preserve"> </w:t>
      </w:r>
    </w:p>
    <w:p w:rsidR="004C5C35" w:rsidRPr="0038510C" w:rsidRDefault="00F8178E"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S</w:t>
      </w:r>
      <w:r w:rsidR="00015AA9" w:rsidRPr="0038510C">
        <w:rPr>
          <w:rFonts w:ascii="Times New Roman" w:hAnsi="Times New Roman" w:cs="Times New Roman"/>
          <w:sz w:val="24"/>
          <w:szCs w:val="24"/>
        </w:rPr>
        <w:t xml:space="preserve">tatistical analysis of </w:t>
      </w:r>
      <w:r w:rsidR="00676DD6" w:rsidRPr="0038510C">
        <w:rPr>
          <w:rFonts w:ascii="Times New Roman" w:hAnsi="Times New Roman" w:cs="Times New Roman"/>
          <w:sz w:val="24"/>
          <w:szCs w:val="24"/>
        </w:rPr>
        <w:t xml:space="preserve">the </w:t>
      </w:r>
      <w:r w:rsidRPr="0038510C">
        <w:rPr>
          <w:rFonts w:ascii="Times New Roman" w:hAnsi="Times New Roman" w:cs="Times New Roman"/>
          <w:sz w:val="24"/>
          <w:szCs w:val="24"/>
        </w:rPr>
        <w:t xml:space="preserve">visual </w:t>
      </w:r>
      <w:r w:rsidR="00015AA9" w:rsidRPr="0038510C">
        <w:rPr>
          <w:rFonts w:ascii="Times New Roman" w:hAnsi="Times New Roman" w:cs="Times New Roman"/>
          <w:sz w:val="24"/>
          <w:szCs w:val="24"/>
        </w:rPr>
        <w:t>N1 component revealed a</w:t>
      </w:r>
      <w:r w:rsidR="004C5C35" w:rsidRPr="0038510C">
        <w:rPr>
          <w:rFonts w:ascii="Times New Roman" w:hAnsi="Times New Roman" w:cs="Times New Roman"/>
          <w:sz w:val="24"/>
          <w:szCs w:val="24"/>
        </w:rPr>
        <w:t xml:space="preserve"> main effect of electrode region </w:t>
      </w:r>
      <w:r w:rsidR="00015AA9" w:rsidRPr="0038510C">
        <w:rPr>
          <w:rFonts w:ascii="Times New Roman" w:hAnsi="Times New Roman" w:cs="Times New Roman"/>
          <w:sz w:val="24"/>
          <w:szCs w:val="24"/>
        </w:rPr>
        <w:t>(</w:t>
      </w:r>
      <w:r w:rsidR="004C5C35" w:rsidRPr="0038510C">
        <w:rPr>
          <w:rFonts w:ascii="Times New Roman" w:hAnsi="Times New Roman" w:cs="Times New Roman"/>
          <w:i/>
          <w:sz w:val="24"/>
          <w:szCs w:val="24"/>
        </w:rPr>
        <w:t>F</w:t>
      </w:r>
      <w:r w:rsidR="004C5C35" w:rsidRPr="0038510C">
        <w:rPr>
          <w:rFonts w:ascii="Times New Roman" w:hAnsi="Times New Roman" w:cs="Times New Roman"/>
          <w:sz w:val="24"/>
          <w:szCs w:val="24"/>
        </w:rPr>
        <w:t xml:space="preserve">(2, 30) = 7.98, </w:t>
      </w:r>
      <w:r w:rsidR="004C5C35" w:rsidRPr="0038510C">
        <w:rPr>
          <w:rFonts w:ascii="Times New Roman" w:hAnsi="Times New Roman" w:cs="Times New Roman"/>
          <w:i/>
          <w:sz w:val="24"/>
          <w:szCs w:val="24"/>
        </w:rPr>
        <w:t>p</w:t>
      </w:r>
      <w:r w:rsidR="004C5C35" w:rsidRPr="0038510C">
        <w:rPr>
          <w:rFonts w:ascii="Times New Roman" w:hAnsi="Times New Roman" w:cs="Times New Roman"/>
          <w:sz w:val="24"/>
          <w:szCs w:val="24"/>
        </w:rPr>
        <w:t xml:space="preserve"> = .006</w:t>
      </w:r>
      <w:r w:rsidR="00BB4B2E" w:rsidRPr="0038510C">
        <w:rPr>
          <w:rFonts w:ascii="Times New Roman" w:hAnsi="Times New Roman" w:cs="Times New Roman"/>
          <w:sz w:val="24"/>
          <w:szCs w:val="24"/>
        </w:rPr>
        <w:t>, η</w:t>
      </w:r>
      <w:r w:rsidR="00BB4B2E" w:rsidRPr="0038510C">
        <w:rPr>
          <w:rFonts w:ascii="Times New Roman" w:hAnsi="Times New Roman" w:cs="Times New Roman"/>
          <w:sz w:val="24"/>
          <w:szCs w:val="24"/>
          <w:vertAlign w:val="subscript"/>
        </w:rPr>
        <w:t>p</w:t>
      </w:r>
      <w:r w:rsidR="00BB4B2E" w:rsidRPr="0038510C">
        <w:rPr>
          <w:rFonts w:ascii="Times New Roman" w:hAnsi="Times New Roman" w:cs="Times New Roman"/>
          <w:sz w:val="24"/>
          <w:szCs w:val="24"/>
          <w:vertAlign w:val="superscript"/>
        </w:rPr>
        <w:t xml:space="preserve">2 </w:t>
      </w:r>
      <w:r w:rsidR="00BB4B2E" w:rsidRPr="0038510C">
        <w:rPr>
          <w:rFonts w:ascii="Times New Roman" w:hAnsi="Times New Roman" w:cs="Times New Roman"/>
          <w:sz w:val="24"/>
          <w:szCs w:val="24"/>
        </w:rPr>
        <w:t>= .347</w:t>
      </w:r>
      <w:r w:rsidR="00015AA9"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as well as a significant interaction between movemen</w:t>
      </w:r>
      <w:r w:rsidR="00015AA9" w:rsidRPr="0038510C">
        <w:rPr>
          <w:rFonts w:ascii="Times New Roman" w:hAnsi="Times New Roman" w:cs="Times New Roman"/>
          <w:sz w:val="24"/>
          <w:szCs w:val="24"/>
        </w:rPr>
        <w:t>t preparation (personal or peripersonal) and electrode region (</w:t>
      </w:r>
      <w:r w:rsidR="004C5C35" w:rsidRPr="0038510C">
        <w:rPr>
          <w:rFonts w:ascii="Times New Roman" w:hAnsi="Times New Roman" w:cs="Times New Roman"/>
          <w:i/>
          <w:sz w:val="24"/>
          <w:szCs w:val="24"/>
        </w:rPr>
        <w:t>F</w:t>
      </w:r>
      <w:r w:rsidR="000B47FB" w:rsidRPr="0038510C">
        <w:rPr>
          <w:rFonts w:ascii="Times New Roman" w:hAnsi="Times New Roman" w:cs="Times New Roman"/>
          <w:sz w:val="24"/>
          <w:szCs w:val="24"/>
        </w:rPr>
        <w:t>(2, 30) = 6</w:t>
      </w:r>
      <w:r w:rsidR="004C5C35" w:rsidRPr="0038510C">
        <w:rPr>
          <w:rFonts w:ascii="Times New Roman" w:hAnsi="Times New Roman" w:cs="Times New Roman"/>
          <w:sz w:val="24"/>
          <w:szCs w:val="24"/>
        </w:rPr>
        <w:t xml:space="preserve">.76, </w:t>
      </w:r>
      <w:r w:rsidR="004C5C35" w:rsidRPr="0038510C">
        <w:rPr>
          <w:rFonts w:ascii="Times New Roman" w:hAnsi="Times New Roman" w:cs="Times New Roman"/>
          <w:i/>
          <w:sz w:val="24"/>
          <w:szCs w:val="24"/>
        </w:rPr>
        <w:t>p</w:t>
      </w:r>
      <w:r w:rsidR="004C5C35" w:rsidRPr="0038510C">
        <w:rPr>
          <w:rFonts w:ascii="Times New Roman" w:hAnsi="Times New Roman" w:cs="Times New Roman"/>
          <w:sz w:val="24"/>
          <w:szCs w:val="24"/>
        </w:rPr>
        <w:t xml:space="preserve"> = .009</w:t>
      </w:r>
      <w:r w:rsidR="00BB4B2E" w:rsidRPr="0038510C">
        <w:rPr>
          <w:rFonts w:ascii="Times New Roman" w:hAnsi="Times New Roman" w:cs="Times New Roman"/>
          <w:sz w:val="24"/>
          <w:szCs w:val="24"/>
        </w:rPr>
        <w:t>, η</w:t>
      </w:r>
      <w:r w:rsidR="00BB4B2E" w:rsidRPr="0038510C">
        <w:rPr>
          <w:rFonts w:ascii="Times New Roman" w:hAnsi="Times New Roman" w:cs="Times New Roman"/>
          <w:sz w:val="24"/>
          <w:szCs w:val="24"/>
          <w:vertAlign w:val="subscript"/>
        </w:rPr>
        <w:t>p</w:t>
      </w:r>
      <w:r w:rsidR="00BB4B2E" w:rsidRPr="0038510C">
        <w:rPr>
          <w:rFonts w:ascii="Times New Roman" w:hAnsi="Times New Roman" w:cs="Times New Roman"/>
          <w:sz w:val="24"/>
          <w:szCs w:val="24"/>
          <w:vertAlign w:val="superscript"/>
        </w:rPr>
        <w:t>2</w:t>
      </w:r>
      <w:r w:rsidR="00BB4B2E" w:rsidRPr="0038510C">
        <w:rPr>
          <w:rFonts w:ascii="Times New Roman" w:hAnsi="Times New Roman" w:cs="Times New Roman"/>
          <w:sz w:val="24"/>
          <w:szCs w:val="24"/>
        </w:rPr>
        <w:t xml:space="preserve"> = .311</w:t>
      </w:r>
      <w:r w:rsidR="00015AA9"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Post-hoc </w:t>
      </w:r>
      <w:r w:rsidR="000B47FB" w:rsidRPr="0038510C">
        <w:rPr>
          <w:rFonts w:ascii="Times New Roman" w:hAnsi="Times New Roman" w:cs="Times New Roman"/>
          <w:sz w:val="24"/>
          <w:szCs w:val="24"/>
        </w:rPr>
        <w:t>comparisons</w:t>
      </w:r>
      <w:r w:rsidR="004C5C35" w:rsidRPr="0038510C">
        <w:rPr>
          <w:rFonts w:ascii="Times New Roman" w:hAnsi="Times New Roman" w:cs="Times New Roman"/>
          <w:sz w:val="24"/>
          <w:szCs w:val="24"/>
        </w:rPr>
        <w:t xml:space="preserve"> </w:t>
      </w:r>
      <w:r w:rsidR="00015AA9" w:rsidRPr="0038510C">
        <w:rPr>
          <w:rFonts w:ascii="Times New Roman" w:hAnsi="Times New Roman" w:cs="Times New Roman"/>
          <w:sz w:val="24"/>
          <w:szCs w:val="24"/>
        </w:rPr>
        <w:t>confirmed</w:t>
      </w:r>
      <w:r w:rsidR="004C5C35" w:rsidRPr="0038510C">
        <w:rPr>
          <w:rFonts w:ascii="Times New Roman" w:hAnsi="Times New Roman" w:cs="Times New Roman"/>
          <w:sz w:val="24"/>
          <w:szCs w:val="24"/>
        </w:rPr>
        <w:t xml:space="preserve"> that </w:t>
      </w:r>
      <w:r w:rsidR="001F240E" w:rsidRPr="0038510C">
        <w:rPr>
          <w:rFonts w:ascii="Times New Roman" w:hAnsi="Times New Roman" w:cs="Times New Roman"/>
          <w:sz w:val="24"/>
          <w:szCs w:val="24"/>
        </w:rPr>
        <w:t>N1 amplitude</w:t>
      </w:r>
      <w:r w:rsidRPr="0038510C">
        <w:rPr>
          <w:rFonts w:ascii="Times New Roman" w:hAnsi="Times New Roman" w:cs="Times New Roman"/>
          <w:sz w:val="24"/>
          <w:szCs w:val="24"/>
        </w:rPr>
        <w:t>s were</w:t>
      </w:r>
      <w:r w:rsidR="004C5C35" w:rsidRPr="0038510C">
        <w:rPr>
          <w:rFonts w:ascii="Times New Roman" w:hAnsi="Times New Roman" w:cs="Times New Roman"/>
          <w:sz w:val="24"/>
          <w:szCs w:val="24"/>
        </w:rPr>
        <w:t xml:space="preserve"> significan</w:t>
      </w:r>
      <w:r w:rsidR="00D640ED" w:rsidRPr="0038510C">
        <w:rPr>
          <w:rFonts w:ascii="Times New Roman" w:hAnsi="Times New Roman" w:cs="Times New Roman"/>
          <w:sz w:val="24"/>
          <w:szCs w:val="24"/>
        </w:rPr>
        <w:t>tly more negative</w:t>
      </w:r>
      <w:r w:rsidRPr="0038510C">
        <w:rPr>
          <w:rFonts w:ascii="Times New Roman" w:hAnsi="Times New Roman" w:cs="Times New Roman"/>
          <w:sz w:val="24"/>
          <w:szCs w:val="24"/>
        </w:rPr>
        <w:t xml:space="preserve"> at posterior-occipital electrodes</w:t>
      </w:r>
      <w:r w:rsidR="00D640ED" w:rsidRPr="0038510C">
        <w:rPr>
          <w:rFonts w:ascii="Times New Roman" w:hAnsi="Times New Roman" w:cs="Times New Roman"/>
          <w:sz w:val="24"/>
          <w:szCs w:val="24"/>
        </w:rPr>
        <w:t xml:space="preserve"> (M = -5.43</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3D46F1" w:rsidRPr="0038510C">
        <w:rPr>
          <w:rFonts w:ascii="Times New Roman" w:hAnsi="Times New Roman" w:cs="Times New Roman"/>
          <w:sz w:val="24"/>
          <w:szCs w:val="24"/>
        </w:rPr>
        <w:t>D</w:t>
      </w:r>
      <w:r w:rsidR="004C5C35" w:rsidRPr="0038510C">
        <w:rPr>
          <w:rFonts w:ascii="Times New Roman" w:hAnsi="Times New Roman" w:cs="Times New Roman"/>
          <w:sz w:val="24"/>
          <w:szCs w:val="24"/>
        </w:rPr>
        <w:t xml:space="preserve"> = </w:t>
      </w:r>
      <w:r w:rsidR="003D46F1" w:rsidRPr="0038510C">
        <w:rPr>
          <w:rFonts w:ascii="Times New Roman" w:hAnsi="Times New Roman" w:cs="Times New Roman"/>
          <w:sz w:val="24"/>
          <w:szCs w:val="24"/>
        </w:rPr>
        <w:t>1.72</w:t>
      </w:r>
      <w:r w:rsidR="004C5C35" w:rsidRPr="0038510C">
        <w:rPr>
          <w:rFonts w:ascii="Times New Roman" w:hAnsi="Times New Roman" w:cs="Times New Roman"/>
          <w:sz w:val="24"/>
          <w:szCs w:val="24"/>
        </w:rPr>
        <w:t>) compared to f</w:t>
      </w:r>
      <w:r w:rsidR="00D640ED" w:rsidRPr="0038510C">
        <w:rPr>
          <w:rFonts w:ascii="Times New Roman" w:hAnsi="Times New Roman" w:cs="Times New Roman"/>
          <w:sz w:val="24"/>
          <w:szCs w:val="24"/>
        </w:rPr>
        <w:t>rontal electrodes (M = -3.64</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3D46F1" w:rsidRPr="0038510C">
        <w:rPr>
          <w:rFonts w:ascii="Times New Roman" w:hAnsi="Times New Roman" w:cs="Times New Roman"/>
          <w:sz w:val="24"/>
          <w:szCs w:val="24"/>
        </w:rPr>
        <w:t>D</w:t>
      </w:r>
      <w:r w:rsidR="004C5C35" w:rsidRPr="0038510C">
        <w:rPr>
          <w:rFonts w:ascii="Times New Roman" w:hAnsi="Times New Roman" w:cs="Times New Roman"/>
          <w:sz w:val="24"/>
          <w:szCs w:val="24"/>
        </w:rPr>
        <w:t xml:space="preserve"> = </w:t>
      </w:r>
      <w:r w:rsidR="003D46F1" w:rsidRPr="0038510C">
        <w:rPr>
          <w:rFonts w:ascii="Times New Roman" w:hAnsi="Times New Roman" w:cs="Times New Roman"/>
          <w:sz w:val="24"/>
          <w:szCs w:val="24"/>
        </w:rPr>
        <w:t>2.34</w:t>
      </w:r>
      <w:r w:rsidR="004C5C35" w:rsidRPr="0038510C">
        <w:rPr>
          <w:rFonts w:ascii="Times New Roman" w:hAnsi="Times New Roman" w:cs="Times New Roman"/>
          <w:sz w:val="24"/>
          <w:szCs w:val="24"/>
        </w:rPr>
        <w:t xml:space="preserve">, </w:t>
      </w:r>
      <w:r w:rsidR="004C5C35" w:rsidRPr="0038510C">
        <w:rPr>
          <w:rFonts w:ascii="Times New Roman" w:hAnsi="Times New Roman" w:cs="Times New Roman"/>
          <w:i/>
          <w:sz w:val="24"/>
          <w:szCs w:val="24"/>
        </w:rPr>
        <w:t>p</w:t>
      </w:r>
      <w:r w:rsidR="004C5C35" w:rsidRPr="0038510C">
        <w:rPr>
          <w:rFonts w:ascii="Times New Roman" w:hAnsi="Times New Roman" w:cs="Times New Roman"/>
          <w:sz w:val="24"/>
          <w:szCs w:val="24"/>
        </w:rPr>
        <w:t xml:space="preserve"> = .035)</w:t>
      </w:r>
      <w:r w:rsidR="00C96F3E" w:rsidRPr="0038510C">
        <w:rPr>
          <w:rFonts w:ascii="Times New Roman" w:hAnsi="Times New Roman" w:cs="Times New Roman"/>
          <w:sz w:val="24"/>
          <w:szCs w:val="24"/>
        </w:rPr>
        <w:t>.</w:t>
      </w:r>
      <w:r w:rsidRPr="0038510C">
        <w:rPr>
          <w:rFonts w:ascii="Times New Roman" w:hAnsi="Times New Roman" w:cs="Times New Roman"/>
          <w:sz w:val="24"/>
          <w:szCs w:val="24"/>
        </w:rPr>
        <w:t xml:space="preserve"> Frontal N1 component amplitudes</w:t>
      </w:r>
      <w:r w:rsidR="004C5C35" w:rsidRPr="0038510C">
        <w:rPr>
          <w:rFonts w:ascii="Times New Roman" w:hAnsi="Times New Roman" w:cs="Times New Roman"/>
          <w:sz w:val="24"/>
          <w:szCs w:val="24"/>
        </w:rPr>
        <w:t xml:space="preserve"> were also significantly smaller than central N1 amplitudes (</w:t>
      </w:r>
      <w:r w:rsidR="001F240E" w:rsidRPr="0038510C">
        <w:rPr>
          <w:rFonts w:ascii="Times New Roman" w:hAnsi="Times New Roman" w:cs="Times New Roman"/>
          <w:sz w:val="24"/>
          <w:szCs w:val="24"/>
        </w:rPr>
        <w:t>M</w:t>
      </w:r>
      <w:r w:rsidR="00D640ED" w:rsidRPr="0038510C">
        <w:rPr>
          <w:rFonts w:ascii="Times New Roman" w:hAnsi="Times New Roman" w:cs="Times New Roman"/>
          <w:sz w:val="24"/>
          <w:szCs w:val="24"/>
        </w:rPr>
        <w:t xml:space="preserve"> = -5.12</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3D46F1" w:rsidRPr="0038510C">
        <w:rPr>
          <w:rFonts w:ascii="Times New Roman" w:hAnsi="Times New Roman" w:cs="Times New Roman"/>
          <w:sz w:val="24"/>
          <w:szCs w:val="24"/>
        </w:rPr>
        <w:t>D</w:t>
      </w:r>
      <w:r w:rsidR="001F240E" w:rsidRPr="0038510C">
        <w:rPr>
          <w:rFonts w:ascii="Times New Roman" w:hAnsi="Times New Roman" w:cs="Times New Roman"/>
          <w:sz w:val="24"/>
          <w:szCs w:val="24"/>
        </w:rPr>
        <w:t xml:space="preserve"> = </w:t>
      </w:r>
      <w:r w:rsidR="003D46F1" w:rsidRPr="0038510C">
        <w:rPr>
          <w:rFonts w:ascii="Times New Roman" w:hAnsi="Times New Roman" w:cs="Times New Roman"/>
          <w:sz w:val="24"/>
          <w:szCs w:val="24"/>
        </w:rPr>
        <w:t>1.85</w:t>
      </w:r>
      <w:r w:rsidR="001F240E" w:rsidRPr="0038510C">
        <w:rPr>
          <w:rFonts w:ascii="Times New Roman" w:hAnsi="Times New Roman" w:cs="Times New Roman"/>
          <w:sz w:val="24"/>
          <w:szCs w:val="24"/>
        </w:rPr>
        <w:t>, p = .005).</w:t>
      </w:r>
      <w:r w:rsidR="00015AA9" w:rsidRPr="0038510C">
        <w:rPr>
          <w:rFonts w:ascii="Times New Roman" w:hAnsi="Times New Roman" w:cs="Times New Roman"/>
          <w:sz w:val="24"/>
          <w:szCs w:val="24"/>
        </w:rPr>
        <w:t xml:space="preserve"> Overall, the N1 component was larger over the right hemisphere (main effect of hemisphere, </w:t>
      </w:r>
      <w:r w:rsidR="004C5C35" w:rsidRPr="0038510C">
        <w:rPr>
          <w:rFonts w:ascii="Times New Roman" w:hAnsi="Times New Roman" w:cs="Times New Roman"/>
          <w:i/>
          <w:sz w:val="24"/>
          <w:szCs w:val="24"/>
        </w:rPr>
        <w:t>F</w:t>
      </w:r>
      <w:r w:rsidR="004C5C35" w:rsidRPr="0038510C">
        <w:rPr>
          <w:rFonts w:ascii="Times New Roman" w:hAnsi="Times New Roman" w:cs="Times New Roman"/>
          <w:sz w:val="24"/>
          <w:szCs w:val="24"/>
        </w:rPr>
        <w:t xml:space="preserve">(1, 15) = 4.89, </w:t>
      </w:r>
      <w:r w:rsidR="004C5C35" w:rsidRPr="0038510C">
        <w:rPr>
          <w:rFonts w:ascii="Times New Roman" w:hAnsi="Times New Roman" w:cs="Times New Roman"/>
          <w:i/>
          <w:sz w:val="24"/>
          <w:szCs w:val="24"/>
        </w:rPr>
        <w:t>p</w:t>
      </w:r>
      <w:r w:rsidR="004C5C35" w:rsidRPr="0038510C">
        <w:rPr>
          <w:rFonts w:ascii="Times New Roman" w:hAnsi="Times New Roman" w:cs="Times New Roman"/>
          <w:sz w:val="24"/>
          <w:szCs w:val="24"/>
        </w:rPr>
        <w:t xml:space="preserve"> = .043</w:t>
      </w:r>
      <w:r w:rsidR="00AD0A3D" w:rsidRPr="0038510C">
        <w:rPr>
          <w:rFonts w:ascii="Times New Roman" w:hAnsi="Times New Roman" w:cs="Times New Roman"/>
          <w:sz w:val="24"/>
          <w:szCs w:val="24"/>
        </w:rPr>
        <w:t>, η</w:t>
      </w:r>
      <w:r w:rsidR="00AD0A3D" w:rsidRPr="0038510C">
        <w:rPr>
          <w:rFonts w:ascii="Times New Roman" w:hAnsi="Times New Roman" w:cs="Times New Roman"/>
          <w:sz w:val="24"/>
          <w:szCs w:val="24"/>
          <w:vertAlign w:val="subscript"/>
        </w:rPr>
        <w:t>p</w:t>
      </w:r>
      <w:r w:rsidR="00AD0A3D" w:rsidRPr="0038510C">
        <w:rPr>
          <w:rFonts w:ascii="Times New Roman" w:hAnsi="Times New Roman" w:cs="Times New Roman"/>
          <w:sz w:val="24"/>
          <w:szCs w:val="24"/>
          <w:vertAlign w:val="superscript"/>
        </w:rPr>
        <w:t xml:space="preserve">2 </w:t>
      </w:r>
      <w:r w:rsidR="00AD0A3D" w:rsidRPr="0038510C">
        <w:rPr>
          <w:rFonts w:ascii="Times New Roman" w:hAnsi="Times New Roman" w:cs="Times New Roman"/>
          <w:sz w:val="24"/>
          <w:szCs w:val="24"/>
        </w:rPr>
        <w:t>= .246</w:t>
      </w:r>
      <w:r w:rsidR="00015AA9"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and a significant interaction between hemisphere and electrode region</w:t>
      </w:r>
      <w:r w:rsidR="00AD0A3D" w:rsidRPr="0038510C">
        <w:rPr>
          <w:rFonts w:ascii="Times New Roman" w:hAnsi="Times New Roman" w:cs="Times New Roman"/>
          <w:sz w:val="24"/>
          <w:szCs w:val="24"/>
        </w:rPr>
        <w:t xml:space="preserve"> was found</w:t>
      </w:r>
      <w:r w:rsidR="004C5C35" w:rsidRPr="0038510C">
        <w:rPr>
          <w:rFonts w:ascii="Times New Roman" w:hAnsi="Times New Roman" w:cs="Times New Roman"/>
          <w:sz w:val="24"/>
          <w:szCs w:val="24"/>
        </w:rPr>
        <w:t xml:space="preserve"> </w:t>
      </w:r>
      <w:r w:rsidR="00AD0A3D" w:rsidRPr="0038510C">
        <w:rPr>
          <w:rFonts w:ascii="Times New Roman" w:hAnsi="Times New Roman" w:cs="Times New Roman"/>
          <w:sz w:val="24"/>
          <w:szCs w:val="24"/>
        </w:rPr>
        <w:t>(</w:t>
      </w:r>
      <w:r w:rsidR="004C5C35" w:rsidRPr="0038510C">
        <w:rPr>
          <w:rFonts w:ascii="Times New Roman" w:hAnsi="Times New Roman" w:cs="Times New Roman"/>
          <w:i/>
          <w:sz w:val="24"/>
          <w:szCs w:val="24"/>
        </w:rPr>
        <w:t>F</w:t>
      </w:r>
      <w:r w:rsidR="003E765F" w:rsidRPr="0038510C">
        <w:rPr>
          <w:rFonts w:ascii="Times New Roman" w:hAnsi="Times New Roman" w:cs="Times New Roman"/>
          <w:sz w:val="24"/>
          <w:szCs w:val="24"/>
        </w:rPr>
        <w:t>(2, 30</w:t>
      </w:r>
      <w:r w:rsidR="004C5C35" w:rsidRPr="0038510C">
        <w:rPr>
          <w:rFonts w:ascii="Times New Roman" w:hAnsi="Times New Roman" w:cs="Times New Roman"/>
          <w:sz w:val="24"/>
          <w:szCs w:val="24"/>
        </w:rPr>
        <w:t xml:space="preserve">) = 9.58, </w:t>
      </w:r>
      <w:r w:rsidR="004C5C35" w:rsidRPr="0038510C">
        <w:rPr>
          <w:rFonts w:ascii="Times New Roman" w:hAnsi="Times New Roman" w:cs="Times New Roman"/>
          <w:i/>
          <w:sz w:val="24"/>
          <w:szCs w:val="24"/>
        </w:rPr>
        <w:t>p</w:t>
      </w:r>
      <w:r w:rsidR="004C5C35" w:rsidRPr="0038510C">
        <w:rPr>
          <w:rFonts w:ascii="Times New Roman" w:hAnsi="Times New Roman" w:cs="Times New Roman"/>
          <w:sz w:val="24"/>
          <w:szCs w:val="24"/>
        </w:rPr>
        <w:t xml:space="preserve"> = .001</w:t>
      </w:r>
      <w:r w:rsidR="00AD0A3D" w:rsidRPr="0038510C">
        <w:rPr>
          <w:rFonts w:ascii="Times New Roman" w:hAnsi="Times New Roman" w:cs="Times New Roman"/>
          <w:sz w:val="24"/>
          <w:szCs w:val="24"/>
        </w:rPr>
        <w:t>, η</w:t>
      </w:r>
      <w:r w:rsidR="00AD0A3D" w:rsidRPr="0038510C">
        <w:rPr>
          <w:rFonts w:ascii="Times New Roman" w:hAnsi="Times New Roman" w:cs="Times New Roman"/>
          <w:sz w:val="24"/>
          <w:szCs w:val="24"/>
          <w:vertAlign w:val="subscript"/>
        </w:rPr>
        <w:t>p</w:t>
      </w:r>
      <w:r w:rsidR="00AD0A3D" w:rsidRPr="0038510C">
        <w:rPr>
          <w:rFonts w:ascii="Times New Roman" w:hAnsi="Times New Roman" w:cs="Times New Roman"/>
          <w:sz w:val="24"/>
          <w:szCs w:val="24"/>
          <w:vertAlign w:val="superscript"/>
        </w:rPr>
        <w:t>2</w:t>
      </w:r>
      <w:r w:rsidR="00AD0A3D" w:rsidRPr="0038510C">
        <w:rPr>
          <w:rFonts w:ascii="Times New Roman" w:hAnsi="Times New Roman" w:cs="Times New Roman"/>
          <w:sz w:val="24"/>
          <w:szCs w:val="24"/>
        </w:rPr>
        <w:t xml:space="preserve"> = .390)</w:t>
      </w:r>
      <w:r w:rsidR="004C5C35" w:rsidRPr="0038510C">
        <w:rPr>
          <w:rFonts w:ascii="Times New Roman" w:hAnsi="Times New Roman" w:cs="Times New Roman"/>
          <w:sz w:val="24"/>
          <w:szCs w:val="24"/>
        </w:rPr>
        <w:t xml:space="preserve">. </w:t>
      </w:r>
      <w:r w:rsidR="00810E9F" w:rsidRPr="0038510C">
        <w:rPr>
          <w:rFonts w:ascii="Times New Roman" w:hAnsi="Times New Roman" w:cs="Times New Roman"/>
          <w:sz w:val="24"/>
          <w:szCs w:val="24"/>
        </w:rPr>
        <w:t>Next, s</w:t>
      </w:r>
      <w:r w:rsidR="004C5C35" w:rsidRPr="0038510C">
        <w:rPr>
          <w:rFonts w:ascii="Times New Roman" w:hAnsi="Times New Roman" w:cs="Times New Roman"/>
          <w:sz w:val="24"/>
          <w:szCs w:val="24"/>
        </w:rPr>
        <w:t xml:space="preserve">eparate repeated measures ANOVAs with factors of movement preparation and hemisphere for each region (posterior-occipital, central and frontal) were </w:t>
      </w:r>
      <w:r w:rsidR="00810E9F" w:rsidRPr="0038510C">
        <w:rPr>
          <w:rFonts w:ascii="Times New Roman" w:hAnsi="Times New Roman" w:cs="Times New Roman"/>
          <w:sz w:val="24"/>
          <w:szCs w:val="24"/>
        </w:rPr>
        <w:t>carried out</w:t>
      </w:r>
      <w:r w:rsidR="004C5C35" w:rsidRPr="0038510C">
        <w:rPr>
          <w:rFonts w:ascii="Times New Roman" w:hAnsi="Times New Roman" w:cs="Times New Roman"/>
          <w:sz w:val="24"/>
          <w:szCs w:val="24"/>
        </w:rPr>
        <w:t xml:space="preserve">. </w:t>
      </w:r>
    </w:p>
    <w:p w:rsidR="004C5C35" w:rsidRPr="0038510C" w:rsidRDefault="004C5C35"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At posterior-occipital electrode sites</w:t>
      </w:r>
      <w:r w:rsidR="001F240E" w:rsidRPr="0038510C">
        <w:rPr>
          <w:rFonts w:ascii="Times New Roman" w:hAnsi="Times New Roman" w:cs="Times New Roman"/>
          <w:sz w:val="24"/>
          <w:szCs w:val="24"/>
        </w:rPr>
        <w:t xml:space="preserve"> (see </w:t>
      </w:r>
      <w:r w:rsidR="00676DD6" w:rsidRPr="0038510C">
        <w:rPr>
          <w:rFonts w:ascii="Times New Roman" w:hAnsi="Times New Roman" w:cs="Times New Roman"/>
          <w:sz w:val="24"/>
          <w:szCs w:val="24"/>
        </w:rPr>
        <w:t>F</w:t>
      </w:r>
      <w:r w:rsidR="009F5B8E" w:rsidRPr="0038510C">
        <w:rPr>
          <w:rFonts w:ascii="Times New Roman" w:hAnsi="Times New Roman" w:cs="Times New Roman"/>
          <w:sz w:val="24"/>
          <w:szCs w:val="24"/>
        </w:rPr>
        <w:t>igure 2</w:t>
      </w:r>
      <w:r w:rsidR="00F8178E" w:rsidRPr="0038510C">
        <w:rPr>
          <w:rFonts w:ascii="Times New Roman" w:hAnsi="Times New Roman" w:cs="Times New Roman"/>
          <w:sz w:val="24"/>
          <w:szCs w:val="24"/>
        </w:rPr>
        <w:t xml:space="preserve"> lower panel</w:t>
      </w:r>
      <w:r w:rsidR="001F240E" w:rsidRPr="0038510C">
        <w:rPr>
          <w:rFonts w:ascii="Times New Roman" w:hAnsi="Times New Roman" w:cs="Times New Roman"/>
          <w:sz w:val="24"/>
          <w:szCs w:val="24"/>
        </w:rPr>
        <w:t>)</w:t>
      </w:r>
      <w:r w:rsidRPr="0038510C">
        <w:rPr>
          <w:rFonts w:ascii="Times New Roman" w:hAnsi="Times New Roman" w:cs="Times New Roman"/>
          <w:sz w:val="24"/>
          <w:szCs w:val="24"/>
        </w:rPr>
        <w:t xml:space="preserve"> movement preparation significantly modulated the amplit</w:t>
      </w:r>
      <w:r w:rsidR="00810E9F" w:rsidRPr="0038510C">
        <w:rPr>
          <w:rFonts w:ascii="Times New Roman" w:hAnsi="Times New Roman" w:cs="Times New Roman"/>
          <w:sz w:val="24"/>
          <w:szCs w:val="24"/>
        </w:rPr>
        <w:t>ude of the visual N1 component (</w:t>
      </w:r>
      <w:r w:rsidRPr="0038510C">
        <w:rPr>
          <w:rFonts w:ascii="Times New Roman" w:hAnsi="Times New Roman" w:cs="Times New Roman"/>
          <w:i/>
          <w:sz w:val="24"/>
          <w:szCs w:val="24"/>
        </w:rPr>
        <w:t>F</w:t>
      </w:r>
      <w:r w:rsidR="000B47FB" w:rsidRPr="0038510C">
        <w:rPr>
          <w:rFonts w:ascii="Times New Roman" w:hAnsi="Times New Roman" w:cs="Times New Roman"/>
          <w:sz w:val="24"/>
          <w:szCs w:val="24"/>
        </w:rPr>
        <w:t>(1, 15) = 4.83</w:t>
      </w:r>
      <w:r w:rsidRPr="0038510C">
        <w:rPr>
          <w:rFonts w:ascii="Times New Roman" w:hAnsi="Times New Roman" w:cs="Times New Roman"/>
          <w:sz w:val="24"/>
          <w:szCs w:val="24"/>
        </w:rPr>
        <w:t xml:space="preserve">, </w:t>
      </w:r>
      <w:r w:rsidRPr="0038510C">
        <w:rPr>
          <w:rFonts w:ascii="Times New Roman" w:hAnsi="Times New Roman" w:cs="Times New Roman"/>
          <w:i/>
          <w:sz w:val="24"/>
          <w:szCs w:val="24"/>
        </w:rPr>
        <w:t>p</w:t>
      </w:r>
      <w:r w:rsidRPr="0038510C">
        <w:rPr>
          <w:rFonts w:ascii="Times New Roman" w:hAnsi="Times New Roman" w:cs="Times New Roman"/>
          <w:sz w:val="24"/>
          <w:szCs w:val="24"/>
        </w:rPr>
        <w:t xml:space="preserve"> = .044</w:t>
      </w:r>
      <w:r w:rsidR="00AD0A3D" w:rsidRPr="0038510C">
        <w:rPr>
          <w:rFonts w:ascii="Times New Roman" w:hAnsi="Times New Roman" w:cs="Times New Roman"/>
          <w:sz w:val="24"/>
          <w:szCs w:val="24"/>
        </w:rPr>
        <w:t>, η</w:t>
      </w:r>
      <w:r w:rsidR="00AD0A3D" w:rsidRPr="0038510C">
        <w:rPr>
          <w:rFonts w:ascii="Times New Roman" w:hAnsi="Times New Roman" w:cs="Times New Roman"/>
          <w:sz w:val="24"/>
          <w:szCs w:val="24"/>
          <w:vertAlign w:val="subscript"/>
        </w:rPr>
        <w:t>p</w:t>
      </w:r>
      <w:r w:rsidR="00AD0A3D" w:rsidRPr="0038510C">
        <w:rPr>
          <w:rFonts w:ascii="Times New Roman" w:hAnsi="Times New Roman" w:cs="Times New Roman"/>
          <w:sz w:val="24"/>
          <w:szCs w:val="24"/>
          <w:vertAlign w:val="superscript"/>
        </w:rPr>
        <w:t>2</w:t>
      </w:r>
      <w:r w:rsidR="00AD0A3D" w:rsidRPr="0038510C">
        <w:rPr>
          <w:rFonts w:ascii="Times New Roman" w:hAnsi="Times New Roman" w:cs="Times New Roman"/>
          <w:sz w:val="24"/>
          <w:szCs w:val="24"/>
        </w:rPr>
        <w:t xml:space="preserve"> = .243</w:t>
      </w:r>
      <w:r w:rsidR="00810E9F" w:rsidRPr="0038510C">
        <w:rPr>
          <w:rFonts w:ascii="Times New Roman" w:hAnsi="Times New Roman" w:cs="Times New Roman"/>
          <w:sz w:val="24"/>
          <w:szCs w:val="24"/>
        </w:rPr>
        <w:t>)</w:t>
      </w:r>
      <w:r w:rsidRPr="0038510C">
        <w:rPr>
          <w:rFonts w:ascii="Times New Roman" w:hAnsi="Times New Roman" w:cs="Times New Roman"/>
          <w:sz w:val="24"/>
          <w:szCs w:val="24"/>
        </w:rPr>
        <w:t>. Pr</w:t>
      </w:r>
      <w:r w:rsidR="008A05EE" w:rsidRPr="0038510C">
        <w:rPr>
          <w:rFonts w:ascii="Times New Roman" w:hAnsi="Times New Roman" w:cs="Times New Roman"/>
          <w:sz w:val="24"/>
          <w:szCs w:val="24"/>
        </w:rPr>
        <w:t>eparing a movement towards peri</w:t>
      </w:r>
      <w:r w:rsidRPr="0038510C">
        <w:rPr>
          <w:rFonts w:ascii="Times New Roman" w:hAnsi="Times New Roman" w:cs="Times New Roman"/>
          <w:sz w:val="24"/>
          <w:szCs w:val="24"/>
        </w:rPr>
        <w:t>personal space elicited a significantly more negative probe ev</w:t>
      </w:r>
      <w:r w:rsidR="00D640ED" w:rsidRPr="0038510C">
        <w:rPr>
          <w:rFonts w:ascii="Times New Roman" w:hAnsi="Times New Roman" w:cs="Times New Roman"/>
          <w:sz w:val="24"/>
          <w:szCs w:val="24"/>
        </w:rPr>
        <w:t>oked N1 component (M = -5.80</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xml:space="preserve">, </w:t>
      </w:r>
      <w:r w:rsidR="003D46F1" w:rsidRPr="0038510C">
        <w:rPr>
          <w:rFonts w:ascii="Times New Roman" w:hAnsi="Times New Roman" w:cs="Times New Roman"/>
          <w:sz w:val="24"/>
          <w:szCs w:val="24"/>
        </w:rPr>
        <w:t>SD</w:t>
      </w:r>
      <w:r w:rsidRPr="0038510C">
        <w:rPr>
          <w:rFonts w:ascii="Times New Roman" w:hAnsi="Times New Roman" w:cs="Times New Roman"/>
          <w:sz w:val="24"/>
          <w:szCs w:val="24"/>
        </w:rPr>
        <w:t xml:space="preserve"> = </w:t>
      </w:r>
      <w:r w:rsidR="003D46F1" w:rsidRPr="0038510C">
        <w:rPr>
          <w:rFonts w:ascii="Times New Roman" w:hAnsi="Times New Roman" w:cs="Times New Roman"/>
          <w:sz w:val="24"/>
          <w:szCs w:val="24"/>
        </w:rPr>
        <w:t>1.68</w:t>
      </w:r>
      <w:r w:rsidRPr="0038510C">
        <w:rPr>
          <w:rFonts w:ascii="Times New Roman" w:hAnsi="Times New Roman" w:cs="Times New Roman"/>
          <w:sz w:val="24"/>
          <w:szCs w:val="24"/>
        </w:rPr>
        <w:t>) compared to movement preparation towar</w:t>
      </w:r>
      <w:r w:rsidR="00D640ED" w:rsidRPr="0038510C">
        <w:rPr>
          <w:rFonts w:ascii="Times New Roman" w:hAnsi="Times New Roman" w:cs="Times New Roman"/>
          <w:sz w:val="24"/>
          <w:szCs w:val="24"/>
        </w:rPr>
        <w:t>ds personal space (M = -5.07</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3D46F1" w:rsidRPr="0038510C">
        <w:rPr>
          <w:rFonts w:ascii="Times New Roman" w:hAnsi="Times New Roman" w:cs="Times New Roman"/>
          <w:sz w:val="24"/>
          <w:szCs w:val="24"/>
        </w:rPr>
        <w:t>D</w:t>
      </w:r>
      <w:r w:rsidRPr="0038510C">
        <w:rPr>
          <w:rFonts w:ascii="Times New Roman" w:hAnsi="Times New Roman" w:cs="Times New Roman"/>
          <w:sz w:val="24"/>
          <w:szCs w:val="24"/>
        </w:rPr>
        <w:t xml:space="preserve"> = </w:t>
      </w:r>
      <w:r w:rsidR="003D46F1" w:rsidRPr="0038510C">
        <w:rPr>
          <w:rFonts w:ascii="Times New Roman" w:hAnsi="Times New Roman" w:cs="Times New Roman"/>
          <w:sz w:val="24"/>
          <w:szCs w:val="24"/>
        </w:rPr>
        <w:t>2.00</w:t>
      </w:r>
      <w:r w:rsidRPr="0038510C">
        <w:rPr>
          <w:rFonts w:ascii="Times New Roman" w:hAnsi="Times New Roman" w:cs="Times New Roman"/>
          <w:sz w:val="24"/>
          <w:szCs w:val="24"/>
        </w:rPr>
        <w:t xml:space="preserve">). Post-hoc t-tests </w:t>
      </w:r>
      <w:r w:rsidR="00A40B6A" w:rsidRPr="0038510C">
        <w:rPr>
          <w:rFonts w:ascii="Times New Roman" w:hAnsi="Times New Roman" w:cs="Times New Roman"/>
          <w:sz w:val="24"/>
          <w:szCs w:val="24"/>
        </w:rPr>
        <w:t>confirmed</w:t>
      </w:r>
      <w:r w:rsidRPr="0038510C">
        <w:rPr>
          <w:rFonts w:ascii="Times New Roman" w:hAnsi="Times New Roman" w:cs="Times New Roman"/>
          <w:sz w:val="24"/>
          <w:szCs w:val="24"/>
        </w:rPr>
        <w:t xml:space="preserve"> that the N</w:t>
      </w:r>
      <w:r w:rsidR="008A05EE" w:rsidRPr="0038510C">
        <w:rPr>
          <w:rFonts w:ascii="Times New Roman" w:hAnsi="Times New Roman" w:cs="Times New Roman"/>
          <w:sz w:val="24"/>
          <w:szCs w:val="24"/>
        </w:rPr>
        <w:t>1 was more negative during peri</w:t>
      </w:r>
      <w:r w:rsidRPr="0038510C">
        <w:rPr>
          <w:rFonts w:ascii="Times New Roman" w:hAnsi="Times New Roman" w:cs="Times New Roman"/>
          <w:sz w:val="24"/>
          <w:szCs w:val="24"/>
        </w:rPr>
        <w:t>personal movement preparation compared to personal movement preparation at left hemisphere electrodes (</w:t>
      </w:r>
      <w:r w:rsidR="000B47FB" w:rsidRPr="0038510C">
        <w:rPr>
          <w:rFonts w:ascii="Times New Roman" w:hAnsi="Times New Roman" w:cs="Times New Roman"/>
          <w:i/>
          <w:sz w:val="24"/>
          <w:szCs w:val="24"/>
        </w:rPr>
        <w:t>t</w:t>
      </w:r>
      <w:r w:rsidR="000B47FB" w:rsidRPr="0038510C">
        <w:rPr>
          <w:rFonts w:ascii="Times New Roman" w:hAnsi="Times New Roman" w:cs="Times New Roman"/>
          <w:sz w:val="24"/>
          <w:szCs w:val="24"/>
        </w:rPr>
        <w:t>(15</w:t>
      </w:r>
      <w:r w:rsidR="00810E9F" w:rsidRPr="0038510C">
        <w:rPr>
          <w:rFonts w:ascii="Times New Roman" w:hAnsi="Times New Roman" w:cs="Times New Roman"/>
          <w:sz w:val="24"/>
          <w:szCs w:val="24"/>
        </w:rPr>
        <w:t>) =</w:t>
      </w:r>
      <w:r w:rsidR="000B47FB" w:rsidRPr="0038510C">
        <w:rPr>
          <w:rFonts w:ascii="Times New Roman" w:hAnsi="Times New Roman" w:cs="Times New Roman"/>
          <w:sz w:val="24"/>
          <w:szCs w:val="24"/>
        </w:rPr>
        <w:t xml:space="preserve"> 2.52</w:t>
      </w:r>
      <w:r w:rsidR="00810E9F" w:rsidRPr="0038510C">
        <w:rPr>
          <w:rFonts w:ascii="Times New Roman" w:hAnsi="Times New Roman" w:cs="Times New Roman"/>
          <w:sz w:val="24"/>
          <w:szCs w:val="24"/>
        </w:rPr>
        <w:t xml:space="preserve">, </w:t>
      </w:r>
      <w:r w:rsidRPr="0038510C">
        <w:rPr>
          <w:rFonts w:ascii="Times New Roman" w:hAnsi="Times New Roman" w:cs="Times New Roman"/>
          <w:i/>
          <w:sz w:val="24"/>
          <w:szCs w:val="24"/>
        </w:rPr>
        <w:t>p</w:t>
      </w:r>
      <w:r w:rsidRPr="0038510C">
        <w:rPr>
          <w:rFonts w:ascii="Times New Roman" w:hAnsi="Times New Roman" w:cs="Times New Roman"/>
          <w:sz w:val="24"/>
          <w:szCs w:val="24"/>
        </w:rPr>
        <w:t xml:space="preserve"> = .024</w:t>
      </w:r>
      <w:r w:rsidR="00C759E2" w:rsidRPr="0038510C">
        <w:rPr>
          <w:rFonts w:ascii="Times New Roman" w:hAnsi="Times New Roman" w:cs="Times New Roman"/>
          <w:sz w:val="24"/>
          <w:szCs w:val="24"/>
        </w:rPr>
        <w:t xml:space="preserve">, </w:t>
      </w:r>
      <w:r w:rsidR="00C759E2" w:rsidRPr="0038510C">
        <w:rPr>
          <w:rFonts w:ascii="Times New Roman" w:hAnsi="Times New Roman" w:cs="Times New Roman"/>
          <w:i/>
          <w:sz w:val="24"/>
          <w:szCs w:val="24"/>
        </w:rPr>
        <w:t>d</w:t>
      </w:r>
      <w:r w:rsidR="00C759E2" w:rsidRPr="0038510C">
        <w:rPr>
          <w:rFonts w:ascii="Times New Roman" w:hAnsi="Times New Roman" w:cs="Times New Roman"/>
          <w:sz w:val="24"/>
          <w:szCs w:val="24"/>
        </w:rPr>
        <w:t xml:space="preserve"> = .</w:t>
      </w:r>
      <w:r w:rsidR="00412B8A" w:rsidRPr="0038510C">
        <w:rPr>
          <w:rFonts w:ascii="Times New Roman" w:hAnsi="Times New Roman" w:cs="Times New Roman"/>
          <w:sz w:val="24"/>
          <w:szCs w:val="24"/>
        </w:rPr>
        <w:t>62</w:t>
      </w:r>
      <w:r w:rsidRPr="0038510C">
        <w:rPr>
          <w:rFonts w:ascii="Times New Roman" w:hAnsi="Times New Roman" w:cs="Times New Roman"/>
          <w:sz w:val="24"/>
          <w:szCs w:val="24"/>
        </w:rPr>
        <w:t xml:space="preserve">), </w:t>
      </w:r>
      <w:r w:rsidRPr="0038510C">
        <w:rPr>
          <w:rFonts w:ascii="Times New Roman" w:hAnsi="Times New Roman" w:cs="Times New Roman"/>
          <w:sz w:val="24"/>
          <w:szCs w:val="24"/>
        </w:rPr>
        <w:lastRenderedPageBreak/>
        <w:t>however this difference did not reach significance at right hemisphere electrodes (</w:t>
      </w:r>
      <w:r w:rsidR="000B47FB" w:rsidRPr="0038510C">
        <w:rPr>
          <w:rFonts w:ascii="Times New Roman" w:hAnsi="Times New Roman" w:cs="Times New Roman"/>
          <w:i/>
          <w:sz w:val="24"/>
          <w:szCs w:val="24"/>
        </w:rPr>
        <w:t>t</w:t>
      </w:r>
      <w:r w:rsidR="000B47FB" w:rsidRPr="0038510C">
        <w:rPr>
          <w:rFonts w:ascii="Times New Roman" w:hAnsi="Times New Roman" w:cs="Times New Roman"/>
          <w:sz w:val="24"/>
          <w:szCs w:val="24"/>
        </w:rPr>
        <w:t>(15</w:t>
      </w:r>
      <w:r w:rsidR="00810E9F" w:rsidRPr="0038510C">
        <w:rPr>
          <w:rFonts w:ascii="Times New Roman" w:hAnsi="Times New Roman" w:cs="Times New Roman"/>
          <w:sz w:val="24"/>
          <w:szCs w:val="24"/>
        </w:rPr>
        <w:t>) =</w:t>
      </w:r>
      <w:r w:rsidR="000B47FB" w:rsidRPr="0038510C">
        <w:rPr>
          <w:rFonts w:ascii="Times New Roman" w:hAnsi="Times New Roman" w:cs="Times New Roman"/>
          <w:sz w:val="24"/>
          <w:szCs w:val="24"/>
        </w:rPr>
        <w:t xml:space="preserve"> -1.66</w:t>
      </w:r>
      <w:r w:rsidR="00810E9F" w:rsidRPr="0038510C">
        <w:rPr>
          <w:rFonts w:ascii="Times New Roman" w:hAnsi="Times New Roman" w:cs="Times New Roman"/>
          <w:sz w:val="24"/>
          <w:szCs w:val="24"/>
        </w:rPr>
        <w:t xml:space="preserve">, </w:t>
      </w:r>
      <w:r w:rsidRPr="0038510C">
        <w:rPr>
          <w:rFonts w:ascii="Times New Roman" w:hAnsi="Times New Roman" w:cs="Times New Roman"/>
          <w:i/>
          <w:sz w:val="24"/>
          <w:szCs w:val="24"/>
        </w:rPr>
        <w:t>p</w:t>
      </w:r>
      <w:r w:rsidRPr="0038510C">
        <w:rPr>
          <w:rFonts w:ascii="Times New Roman" w:hAnsi="Times New Roman" w:cs="Times New Roman"/>
          <w:sz w:val="24"/>
          <w:szCs w:val="24"/>
        </w:rPr>
        <w:t xml:space="preserve"> = .117</w:t>
      </w:r>
      <w:r w:rsidR="00766B84" w:rsidRPr="0038510C">
        <w:rPr>
          <w:rFonts w:ascii="Times New Roman" w:hAnsi="Times New Roman" w:cs="Times New Roman"/>
          <w:sz w:val="24"/>
          <w:szCs w:val="24"/>
        </w:rPr>
        <w:t xml:space="preserve">, </w:t>
      </w:r>
      <w:r w:rsidR="00766B84" w:rsidRPr="0038510C">
        <w:rPr>
          <w:rFonts w:ascii="Times New Roman" w:hAnsi="Times New Roman" w:cs="Times New Roman"/>
          <w:i/>
          <w:sz w:val="24"/>
          <w:szCs w:val="24"/>
        </w:rPr>
        <w:t>d</w:t>
      </w:r>
      <w:r w:rsidR="00766B84" w:rsidRPr="0038510C">
        <w:rPr>
          <w:rFonts w:ascii="Times New Roman" w:hAnsi="Times New Roman" w:cs="Times New Roman"/>
          <w:sz w:val="24"/>
          <w:szCs w:val="24"/>
        </w:rPr>
        <w:t xml:space="preserve"> = .</w:t>
      </w:r>
      <w:r w:rsidR="00644376" w:rsidRPr="0038510C">
        <w:rPr>
          <w:rFonts w:ascii="Times New Roman" w:hAnsi="Times New Roman" w:cs="Times New Roman"/>
          <w:sz w:val="24"/>
          <w:szCs w:val="24"/>
        </w:rPr>
        <w:t>42</w:t>
      </w:r>
      <w:r w:rsidRPr="0038510C">
        <w:rPr>
          <w:rFonts w:ascii="Times New Roman" w:hAnsi="Times New Roman" w:cs="Times New Roman"/>
          <w:sz w:val="24"/>
          <w:szCs w:val="24"/>
        </w:rPr>
        <w:t xml:space="preserve">). No main effect of hemisphere was found, </w:t>
      </w:r>
      <w:r w:rsidR="00810E9F" w:rsidRPr="0038510C">
        <w:rPr>
          <w:rFonts w:ascii="Times New Roman" w:hAnsi="Times New Roman" w:cs="Times New Roman"/>
          <w:sz w:val="24"/>
          <w:szCs w:val="24"/>
        </w:rPr>
        <w:t>(</w:t>
      </w:r>
      <w:r w:rsidRPr="0038510C">
        <w:rPr>
          <w:rFonts w:ascii="Times New Roman" w:hAnsi="Times New Roman" w:cs="Times New Roman"/>
          <w:i/>
          <w:sz w:val="24"/>
          <w:szCs w:val="24"/>
        </w:rPr>
        <w:t>F</w:t>
      </w:r>
      <w:r w:rsidRPr="0038510C">
        <w:rPr>
          <w:rFonts w:ascii="Times New Roman" w:hAnsi="Times New Roman" w:cs="Times New Roman"/>
          <w:sz w:val="24"/>
          <w:szCs w:val="24"/>
        </w:rPr>
        <w:t>(1, 15) = .</w:t>
      </w:r>
      <w:r w:rsidR="00C759E2" w:rsidRPr="0038510C">
        <w:rPr>
          <w:rFonts w:ascii="Times New Roman" w:hAnsi="Times New Roman" w:cs="Times New Roman"/>
          <w:sz w:val="24"/>
          <w:szCs w:val="24"/>
        </w:rPr>
        <w:t>25</w:t>
      </w:r>
      <w:r w:rsidRPr="0038510C">
        <w:rPr>
          <w:rFonts w:ascii="Times New Roman" w:hAnsi="Times New Roman" w:cs="Times New Roman"/>
          <w:sz w:val="24"/>
          <w:szCs w:val="24"/>
        </w:rPr>
        <w:t xml:space="preserve">, </w:t>
      </w:r>
      <w:r w:rsidRPr="0038510C">
        <w:rPr>
          <w:rFonts w:ascii="Times New Roman" w:hAnsi="Times New Roman" w:cs="Times New Roman"/>
          <w:i/>
          <w:sz w:val="24"/>
          <w:szCs w:val="24"/>
        </w:rPr>
        <w:t>p</w:t>
      </w:r>
      <w:r w:rsidRPr="0038510C">
        <w:rPr>
          <w:rFonts w:ascii="Times New Roman" w:hAnsi="Times New Roman" w:cs="Times New Roman"/>
          <w:sz w:val="24"/>
          <w:szCs w:val="24"/>
        </w:rPr>
        <w:t xml:space="preserve"> = .</w:t>
      </w:r>
      <w:r w:rsidR="00C759E2" w:rsidRPr="0038510C">
        <w:rPr>
          <w:rFonts w:ascii="Times New Roman" w:hAnsi="Times New Roman" w:cs="Times New Roman"/>
          <w:sz w:val="24"/>
          <w:szCs w:val="24"/>
        </w:rPr>
        <w:t>625, η</w:t>
      </w:r>
      <w:r w:rsidR="00C759E2" w:rsidRPr="0038510C">
        <w:rPr>
          <w:rFonts w:ascii="Times New Roman" w:hAnsi="Times New Roman" w:cs="Times New Roman"/>
          <w:sz w:val="24"/>
          <w:szCs w:val="24"/>
          <w:vertAlign w:val="subscript"/>
        </w:rPr>
        <w:t>p</w:t>
      </w:r>
      <w:r w:rsidR="00C759E2" w:rsidRPr="0038510C">
        <w:rPr>
          <w:rFonts w:ascii="Times New Roman" w:hAnsi="Times New Roman" w:cs="Times New Roman"/>
          <w:sz w:val="24"/>
          <w:szCs w:val="24"/>
          <w:vertAlign w:val="superscript"/>
        </w:rPr>
        <w:t>2</w:t>
      </w:r>
      <w:r w:rsidR="00C759E2" w:rsidRPr="0038510C">
        <w:rPr>
          <w:rFonts w:ascii="Times New Roman" w:hAnsi="Times New Roman" w:cs="Times New Roman"/>
          <w:sz w:val="24"/>
          <w:szCs w:val="24"/>
        </w:rPr>
        <w:t xml:space="preserve"> = .016</w:t>
      </w:r>
      <w:r w:rsidR="00810E9F" w:rsidRPr="0038510C">
        <w:rPr>
          <w:rFonts w:ascii="Times New Roman" w:hAnsi="Times New Roman" w:cs="Times New Roman"/>
          <w:sz w:val="24"/>
          <w:szCs w:val="24"/>
        </w:rPr>
        <w:t>)</w:t>
      </w:r>
      <w:r w:rsidRPr="0038510C">
        <w:rPr>
          <w:rFonts w:ascii="Times New Roman" w:hAnsi="Times New Roman" w:cs="Times New Roman"/>
          <w:sz w:val="24"/>
          <w:szCs w:val="24"/>
        </w:rPr>
        <w:t xml:space="preserve">. </w:t>
      </w:r>
    </w:p>
    <w:p w:rsidR="001D0990" w:rsidRPr="0038510C" w:rsidRDefault="00810E9F" w:rsidP="00D37AAC">
      <w:pPr>
        <w:spacing w:line="360" w:lineRule="auto"/>
        <w:jc w:val="both"/>
        <w:rPr>
          <w:rFonts w:ascii="Times New Roman" w:hAnsi="Times New Roman" w:cs="Times New Roman"/>
        </w:rPr>
      </w:pPr>
      <w:r w:rsidRPr="0038510C">
        <w:rPr>
          <w:rFonts w:ascii="Times New Roman" w:hAnsi="Times New Roman" w:cs="Times New Roman"/>
          <w:sz w:val="24"/>
          <w:szCs w:val="24"/>
        </w:rPr>
        <w:t>No effect</w:t>
      </w:r>
      <w:r w:rsidR="00581318" w:rsidRPr="0038510C">
        <w:rPr>
          <w:rFonts w:ascii="Times New Roman" w:hAnsi="Times New Roman" w:cs="Times New Roman"/>
          <w:sz w:val="24"/>
          <w:szCs w:val="24"/>
        </w:rPr>
        <w:t>s</w:t>
      </w:r>
      <w:r w:rsidRPr="0038510C">
        <w:rPr>
          <w:rFonts w:ascii="Times New Roman" w:hAnsi="Times New Roman" w:cs="Times New Roman"/>
          <w:sz w:val="24"/>
          <w:szCs w:val="24"/>
        </w:rPr>
        <w:t xml:space="preserve"> of movement direction or interactions involving this fa</w:t>
      </w:r>
      <w:r w:rsidR="00581318" w:rsidRPr="0038510C">
        <w:rPr>
          <w:rFonts w:ascii="Times New Roman" w:hAnsi="Times New Roman" w:cs="Times New Roman"/>
          <w:sz w:val="24"/>
          <w:szCs w:val="24"/>
        </w:rPr>
        <w:t xml:space="preserve">ctor were observed at central or </w:t>
      </w:r>
      <w:r w:rsidRPr="0038510C">
        <w:rPr>
          <w:rFonts w:ascii="Times New Roman" w:hAnsi="Times New Roman" w:cs="Times New Roman"/>
          <w:sz w:val="24"/>
          <w:szCs w:val="24"/>
        </w:rPr>
        <w:t xml:space="preserve">frontal electrode sites. </w:t>
      </w:r>
    </w:p>
    <w:p w:rsidR="00711290" w:rsidRPr="0038510C" w:rsidRDefault="00347742" w:rsidP="00625F36">
      <w:pPr>
        <w:pStyle w:val="Caption"/>
        <w:spacing w:line="360" w:lineRule="auto"/>
        <w:jc w:val="both"/>
        <w:rPr>
          <w:rFonts w:ascii="Times New Roman" w:hAnsi="Times New Roman" w:cs="Times New Roman"/>
          <w:i w:val="0"/>
        </w:rPr>
      </w:pPr>
      <w:r>
        <w:rPr>
          <w:rFonts w:ascii="Times New Roman" w:hAnsi="Times New Roman" w:cs="Times New Roman"/>
          <w:i w:val="0"/>
          <w:noProof/>
          <w:lang w:eastAsia="en-GB"/>
        </w:rPr>
        <w:drawing>
          <wp:inline distT="0" distB="0" distL="0" distR="0">
            <wp:extent cx="5721985" cy="6672580"/>
            <wp:effectExtent l="19050" t="0" r="0" b="0"/>
            <wp:docPr id="2" name="Picture 2" descr="VEP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P_revised"/>
                    <pic:cNvPicPr>
                      <a:picLocks noChangeAspect="1" noChangeArrowheads="1"/>
                    </pic:cNvPicPr>
                  </pic:nvPicPr>
                  <pic:blipFill>
                    <a:blip r:embed="rId9"/>
                    <a:srcRect/>
                    <a:stretch>
                      <a:fillRect/>
                    </a:stretch>
                  </pic:blipFill>
                  <pic:spPr bwMode="auto">
                    <a:xfrm>
                      <a:off x="0" y="0"/>
                      <a:ext cx="5721985" cy="6672580"/>
                    </a:xfrm>
                    <a:prstGeom prst="rect">
                      <a:avLst/>
                    </a:prstGeom>
                    <a:noFill/>
                    <a:ln w="9525">
                      <a:noFill/>
                      <a:miter lim="800000"/>
                      <a:headEnd/>
                      <a:tailEnd/>
                    </a:ln>
                  </pic:spPr>
                </pic:pic>
              </a:graphicData>
            </a:graphic>
          </wp:inline>
        </w:drawing>
      </w:r>
    </w:p>
    <w:p w:rsidR="00511E36" w:rsidRPr="0038510C" w:rsidRDefault="00511E36" w:rsidP="00625F36">
      <w:pPr>
        <w:pStyle w:val="Caption"/>
        <w:spacing w:line="360" w:lineRule="auto"/>
        <w:jc w:val="both"/>
        <w:rPr>
          <w:rFonts w:ascii="Times New Roman" w:hAnsi="Times New Roman" w:cs="Times New Roman"/>
          <w:i w:val="0"/>
        </w:rPr>
      </w:pPr>
    </w:p>
    <w:p w:rsidR="00511E36" w:rsidRPr="0038510C" w:rsidRDefault="009F5B8E" w:rsidP="00625F36">
      <w:pPr>
        <w:pStyle w:val="Caption"/>
        <w:spacing w:line="360" w:lineRule="auto"/>
        <w:jc w:val="both"/>
        <w:rPr>
          <w:rFonts w:ascii="Times New Roman" w:hAnsi="Times New Roman" w:cs="Times New Roman"/>
          <w:i w:val="0"/>
        </w:rPr>
      </w:pPr>
      <w:r w:rsidRPr="0038510C">
        <w:rPr>
          <w:rFonts w:ascii="Times New Roman" w:hAnsi="Times New Roman" w:cs="Times New Roman"/>
          <w:b/>
          <w:i w:val="0"/>
        </w:rPr>
        <w:lastRenderedPageBreak/>
        <w:t>Figure 2. Grand averaged visual probe-evoked potentials across selected frontal, central and posterior-occipital electrodes. Dotted line indicates the onset time of the visual probe. Shaded areas represent the times with which the component peaks were detected. Bars show component mean peak values (error bars: +/- 2 SE)</w:t>
      </w:r>
      <w:r w:rsidR="00924034">
        <w:rPr>
          <w:rFonts w:ascii="Times New Roman" w:hAnsi="Times New Roman" w:cs="Times New Roman"/>
          <w:b/>
          <w:i w:val="0"/>
        </w:rPr>
        <w:t>,</w:t>
      </w:r>
      <w:r w:rsidR="00342776">
        <w:rPr>
          <w:rFonts w:ascii="Times New Roman" w:hAnsi="Times New Roman" w:cs="Times New Roman"/>
          <w:b/>
          <w:i w:val="0"/>
        </w:rPr>
        <w:t xml:space="preserve"> with P1 amplitudes showing as positivities and N1 amplitudes as negativities</w:t>
      </w:r>
      <w:r w:rsidRPr="0038510C">
        <w:rPr>
          <w:rFonts w:ascii="Times New Roman" w:hAnsi="Times New Roman" w:cs="Times New Roman"/>
          <w:b/>
          <w:i w:val="0"/>
        </w:rPr>
        <w:t xml:space="preserve">. Scalp map shows the distribution of the N1 component at the average peak latency. </w:t>
      </w:r>
    </w:p>
    <w:p w:rsidR="004C5C35" w:rsidRPr="0038510C" w:rsidRDefault="004C5C35" w:rsidP="00625F36">
      <w:pPr>
        <w:numPr>
          <w:ilvl w:val="1"/>
          <w:numId w:val="1"/>
        </w:numPr>
        <w:spacing w:line="360" w:lineRule="auto"/>
        <w:jc w:val="both"/>
        <w:rPr>
          <w:rFonts w:ascii="Times New Roman" w:hAnsi="Times New Roman" w:cs="Times New Roman"/>
          <w:b/>
          <w:sz w:val="24"/>
          <w:szCs w:val="24"/>
        </w:rPr>
      </w:pPr>
      <w:r w:rsidRPr="0038510C">
        <w:rPr>
          <w:rFonts w:ascii="Times New Roman" w:hAnsi="Times New Roman" w:cs="Times New Roman"/>
          <w:b/>
          <w:sz w:val="24"/>
          <w:szCs w:val="24"/>
        </w:rPr>
        <w:t xml:space="preserve">Tactile </w:t>
      </w:r>
      <w:r w:rsidR="00810E9F" w:rsidRPr="0038510C">
        <w:rPr>
          <w:rFonts w:ascii="Times New Roman" w:hAnsi="Times New Roman" w:cs="Times New Roman"/>
          <w:b/>
          <w:sz w:val="24"/>
          <w:szCs w:val="24"/>
        </w:rPr>
        <w:t>probe-evoked potentials</w:t>
      </w:r>
    </w:p>
    <w:p w:rsidR="004C5C35" w:rsidRPr="0038510C" w:rsidRDefault="009F5B8E" w:rsidP="00625F36">
      <w:pPr>
        <w:spacing w:line="360" w:lineRule="auto"/>
        <w:jc w:val="both"/>
        <w:rPr>
          <w:rFonts w:ascii="Times New Roman" w:hAnsi="Times New Roman" w:cs="Times New Roman"/>
        </w:rPr>
      </w:pPr>
      <w:r w:rsidRPr="0038510C">
        <w:rPr>
          <w:rFonts w:ascii="Times New Roman" w:hAnsi="Times New Roman" w:cs="Times New Roman"/>
          <w:sz w:val="24"/>
          <w:szCs w:val="24"/>
        </w:rPr>
        <w:t>Figure 3</w:t>
      </w:r>
      <w:r w:rsidR="00810E9F" w:rsidRPr="0038510C">
        <w:rPr>
          <w:rFonts w:ascii="Times New Roman" w:hAnsi="Times New Roman" w:cs="Times New Roman"/>
          <w:sz w:val="24"/>
          <w:szCs w:val="24"/>
        </w:rPr>
        <w:t xml:space="preserve"> shows the somatosensory ERPs elicited by the tactile probes at fron</w:t>
      </w:r>
      <w:r w:rsidR="003909D9" w:rsidRPr="0038510C">
        <w:rPr>
          <w:rFonts w:ascii="Times New Roman" w:hAnsi="Times New Roman" w:cs="Times New Roman"/>
          <w:sz w:val="24"/>
          <w:szCs w:val="24"/>
        </w:rPr>
        <w:t>t</w:t>
      </w:r>
      <w:r w:rsidR="00810E9F" w:rsidRPr="0038510C">
        <w:rPr>
          <w:rFonts w:ascii="Times New Roman" w:hAnsi="Times New Roman" w:cs="Times New Roman"/>
          <w:sz w:val="24"/>
          <w:szCs w:val="24"/>
        </w:rPr>
        <w:t>al, central and posterior</w:t>
      </w:r>
      <w:r w:rsidR="003909D9" w:rsidRPr="0038510C">
        <w:rPr>
          <w:rFonts w:ascii="Times New Roman" w:hAnsi="Times New Roman" w:cs="Times New Roman"/>
          <w:sz w:val="24"/>
          <w:szCs w:val="24"/>
        </w:rPr>
        <w:t>-occipital</w:t>
      </w:r>
      <w:r w:rsidR="00810E9F" w:rsidRPr="0038510C">
        <w:rPr>
          <w:rFonts w:ascii="Times New Roman" w:hAnsi="Times New Roman" w:cs="Times New Roman"/>
          <w:sz w:val="24"/>
          <w:szCs w:val="24"/>
        </w:rPr>
        <w:t xml:space="preserve"> sites. As can be seen, the N140 component is most pronounced at central sites and </w:t>
      </w:r>
      <w:r w:rsidR="00B94463" w:rsidRPr="0038510C">
        <w:rPr>
          <w:rFonts w:ascii="Times New Roman" w:hAnsi="Times New Roman" w:cs="Times New Roman"/>
          <w:sz w:val="24"/>
          <w:szCs w:val="24"/>
        </w:rPr>
        <w:t xml:space="preserve">further enhanced amplitudes can be observed for probes presented during movement preparation towards personal space on the body. These observations were confirmed by a significant interaction between </w:t>
      </w:r>
      <w:r w:rsidR="004C5C35" w:rsidRPr="0038510C">
        <w:rPr>
          <w:rFonts w:ascii="Times New Roman" w:hAnsi="Times New Roman" w:cs="Times New Roman"/>
          <w:sz w:val="24"/>
          <w:szCs w:val="24"/>
        </w:rPr>
        <w:t xml:space="preserve">movement preparation and region </w:t>
      </w:r>
      <w:r w:rsidR="00B94463" w:rsidRPr="0038510C">
        <w:rPr>
          <w:rFonts w:ascii="Times New Roman" w:hAnsi="Times New Roman" w:cs="Times New Roman"/>
          <w:sz w:val="24"/>
          <w:szCs w:val="24"/>
        </w:rPr>
        <w:t>(</w:t>
      </w:r>
      <w:r w:rsidR="004C5C35" w:rsidRPr="0038510C">
        <w:rPr>
          <w:rFonts w:ascii="Times New Roman" w:hAnsi="Times New Roman" w:cs="Times New Roman"/>
          <w:i/>
          <w:sz w:val="24"/>
          <w:szCs w:val="24"/>
        </w:rPr>
        <w:t>F</w:t>
      </w:r>
      <w:r w:rsidR="003909D9" w:rsidRPr="0038510C">
        <w:rPr>
          <w:rFonts w:ascii="Times New Roman" w:hAnsi="Times New Roman" w:cs="Times New Roman"/>
          <w:sz w:val="24"/>
          <w:szCs w:val="24"/>
        </w:rPr>
        <w:t xml:space="preserve">(2, 30) = 7.15, </w:t>
      </w:r>
      <w:r w:rsidR="003909D9" w:rsidRPr="00F05B60">
        <w:rPr>
          <w:rFonts w:ascii="Times New Roman" w:hAnsi="Times New Roman" w:cs="Times New Roman"/>
          <w:i/>
          <w:sz w:val="24"/>
          <w:szCs w:val="24"/>
        </w:rPr>
        <w:t>p</w:t>
      </w:r>
      <w:r w:rsidR="003909D9" w:rsidRPr="0038510C">
        <w:rPr>
          <w:rFonts w:ascii="Times New Roman" w:hAnsi="Times New Roman" w:cs="Times New Roman"/>
          <w:sz w:val="24"/>
          <w:szCs w:val="24"/>
        </w:rPr>
        <w:t xml:space="preserve"> = .003</w:t>
      </w:r>
      <w:r w:rsidR="00C758C5" w:rsidRPr="0038510C">
        <w:rPr>
          <w:rFonts w:ascii="Times New Roman" w:hAnsi="Times New Roman" w:cs="Times New Roman"/>
          <w:sz w:val="24"/>
          <w:szCs w:val="24"/>
        </w:rPr>
        <w:t>,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 .323</w:t>
      </w:r>
      <w:r w:rsidR="00B94463"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indicating that the N140 component was differentially effected across </w:t>
      </w:r>
      <w:r w:rsidR="00B94463" w:rsidRPr="0038510C">
        <w:rPr>
          <w:rFonts w:ascii="Times New Roman" w:hAnsi="Times New Roman" w:cs="Times New Roman"/>
          <w:sz w:val="24"/>
          <w:szCs w:val="24"/>
        </w:rPr>
        <w:t>the regions included in the analysis</w:t>
      </w:r>
      <w:r w:rsidR="00A40B6A" w:rsidRPr="0038510C">
        <w:rPr>
          <w:rFonts w:ascii="Times New Roman" w:hAnsi="Times New Roman" w:cs="Times New Roman"/>
          <w:sz w:val="24"/>
          <w:szCs w:val="24"/>
        </w:rPr>
        <w:t>. A</w:t>
      </w:r>
      <w:r w:rsidR="003909D9" w:rsidRPr="0038510C">
        <w:rPr>
          <w:rFonts w:ascii="Times New Roman" w:hAnsi="Times New Roman" w:cs="Times New Roman"/>
          <w:sz w:val="24"/>
          <w:szCs w:val="24"/>
        </w:rPr>
        <w:t xml:space="preserve"> </w:t>
      </w:r>
      <w:r w:rsidR="004C5C35" w:rsidRPr="0038510C">
        <w:rPr>
          <w:rFonts w:ascii="Times New Roman" w:hAnsi="Times New Roman" w:cs="Times New Roman"/>
          <w:sz w:val="24"/>
          <w:szCs w:val="24"/>
        </w:rPr>
        <w:t xml:space="preserve">main effect of movement preparation was </w:t>
      </w:r>
      <w:r w:rsidR="00B94463" w:rsidRPr="0038510C">
        <w:rPr>
          <w:rFonts w:ascii="Times New Roman" w:hAnsi="Times New Roman" w:cs="Times New Roman"/>
          <w:sz w:val="24"/>
          <w:szCs w:val="24"/>
        </w:rPr>
        <w:t>also observed</w:t>
      </w:r>
      <w:r w:rsidR="004C5C35" w:rsidRPr="0038510C">
        <w:rPr>
          <w:rFonts w:ascii="Times New Roman" w:hAnsi="Times New Roman" w:cs="Times New Roman"/>
          <w:sz w:val="24"/>
          <w:szCs w:val="24"/>
        </w:rPr>
        <w:t xml:space="preserve">, </w:t>
      </w:r>
      <w:r w:rsidR="00B94463" w:rsidRPr="0038510C">
        <w:rPr>
          <w:rFonts w:ascii="Times New Roman" w:hAnsi="Times New Roman" w:cs="Times New Roman"/>
          <w:sz w:val="24"/>
          <w:szCs w:val="24"/>
        </w:rPr>
        <w:t>(</w:t>
      </w:r>
      <w:r w:rsidR="004C5C35" w:rsidRPr="0038510C">
        <w:rPr>
          <w:rFonts w:ascii="Times New Roman" w:hAnsi="Times New Roman" w:cs="Times New Roman"/>
          <w:i/>
          <w:sz w:val="24"/>
          <w:szCs w:val="24"/>
        </w:rPr>
        <w:t>F</w:t>
      </w:r>
      <w:r w:rsidR="003909D9" w:rsidRPr="0038510C">
        <w:rPr>
          <w:rFonts w:ascii="Times New Roman" w:hAnsi="Times New Roman" w:cs="Times New Roman"/>
          <w:sz w:val="24"/>
          <w:szCs w:val="24"/>
        </w:rPr>
        <w:t xml:space="preserve">(1, 15) = 6.92, </w:t>
      </w:r>
      <w:r w:rsidR="003909D9" w:rsidRPr="00F05B60">
        <w:rPr>
          <w:rFonts w:ascii="Times New Roman" w:hAnsi="Times New Roman" w:cs="Times New Roman"/>
          <w:i/>
          <w:sz w:val="24"/>
          <w:szCs w:val="24"/>
        </w:rPr>
        <w:t>p</w:t>
      </w:r>
      <w:r w:rsidR="003909D9" w:rsidRPr="0038510C">
        <w:rPr>
          <w:rFonts w:ascii="Times New Roman" w:hAnsi="Times New Roman" w:cs="Times New Roman"/>
          <w:sz w:val="24"/>
          <w:szCs w:val="24"/>
        </w:rPr>
        <w:t xml:space="preserve"> = .019</w:t>
      </w:r>
      <w:r w:rsidR="00C758C5" w:rsidRPr="0038510C">
        <w:rPr>
          <w:rFonts w:ascii="Times New Roman" w:hAnsi="Times New Roman" w:cs="Times New Roman"/>
          <w:sz w:val="24"/>
          <w:szCs w:val="24"/>
        </w:rPr>
        <w:t>, =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.316</w:t>
      </w:r>
      <w:r w:rsidR="00B94463"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w:t>
      </w:r>
      <w:r w:rsidR="00B94463" w:rsidRPr="0038510C">
        <w:rPr>
          <w:rFonts w:ascii="Times New Roman" w:hAnsi="Times New Roman" w:cs="Times New Roman"/>
          <w:sz w:val="24"/>
          <w:szCs w:val="24"/>
        </w:rPr>
        <w:t>Next, separate ANOVAs with factors of movement preparation and hemisphere for each region (posterior-occipital, central and frontal) were carried out.</w:t>
      </w:r>
      <w:r w:rsidR="004C5C35" w:rsidRPr="0038510C">
        <w:rPr>
          <w:rFonts w:ascii="Times New Roman" w:hAnsi="Times New Roman" w:cs="Times New Roman"/>
          <w:i/>
          <w:sz w:val="24"/>
          <w:szCs w:val="24"/>
        </w:rPr>
        <w:t xml:space="preserve"> </w:t>
      </w:r>
    </w:p>
    <w:p w:rsidR="004C5C35" w:rsidRPr="0038510C" w:rsidRDefault="008A2E21"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At central electrode sites the tactile probe evoked N140 component was significantly more negative during m</w:t>
      </w:r>
      <w:r w:rsidR="004C5C35" w:rsidRPr="0038510C">
        <w:rPr>
          <w:rFonts w:ascii="Times New Roman" w:hAnsi="Times New Roman" w:cs="Times New Roman"/>
          <w:sz w:val="24"/>
          <w:szCs w:val="24"/>
        </w:rPr>
        <w:t>ovement</w:t>
      </w:r>
      <w:r w:rsidRPr="0038510C">
        <w:rPr>
          <w:rFonts w:ascii="Times New Roman" w:hAnsi="Times New Roman" w:cs="Times New Roman"/>
          <w:sz w:val="24"/>
          <w:szCs w:val="24"/>
        </w:rPr>
        <w:t xml:space="preserve"> preparation </w:t>
      </w:r>
      <w:r w:rsidR="004C5C35" w:rsidRPr="0038510C">
        <w:rPr>
          <w:rFonts w:ascii="Times New Roman" w:hAnsi="Times New Roman" w:cs="Times New Roman"/>
          <w:sz w:val="24"/>
          <w:szCs w:val="24"/>
        </w:rPr>
        <w:t>toward</w:t>
      </w:r>
      <w:r w:rsidR="003909D9" w:rsidRPr="0038510C">
        <w:rPr>
          <w:rFonts w:ascii="Times New Roman" w:hAnsi="Times New Roman" w:cs="Times New Roman"/>
          <w:sz w:val="24"/>
          <w:szCs w:val="24"/>
        </w:rPr>
        <w:t>s</w:t>
      </w:r>
      <w:r w:rsidR="004C5C35" w:rsidRPr="0038510C">
        <w:rPr>
          <w:rFonts w:ascii="Times New Roman" w:hAnsi="Times New Roman" w:cs="Times New Roman"/>
          <w:sz w:val="24"/>
          <w:szCs w:val="24"/>
        </w:rPr>
        <w:t xml:space="preserve"> personal space (M = -</w:t>
      </w:r>
      <w:r w:rsidR="003909D9" w:rsidRPr="0038510C">
        <w:rPr>
          <w:rFonts w:ascii="Times New Roman" w:hAnsi="Times New Roman" w:cs="Times New Roman"/>
          <w:sz w:val="24"/>
          <w:szCs w:val="24"/>
        </w:rPr>
        <w:t>6</w:t>
      </w:r>
      <w:r w:rsidR="004C5C35" w:rsidRPr="0038510C">
        <w:rPr>
          <w:rFonts w:ascii="Times New Roman" w:hAnsi="Times New Roman" w:cs="Times New Roman"/>
          <w:sz w:val="24"/>
          <w:szCs w:val="24"/>
        </w:rPr>
        <w:t>.</w:t>
      </w:r>
      <w:r w:rsidR="003909D9" w:rsidRPr="0038510C">
        <w:rPr>
          <w:rFonts w:ascii="Times New Roman" w:hAnsi="Times New Roman" w:cs="Times New Roman"/>
          <w:sz w:val="24"/>
          <w:szCs w:val="24"/>
        </w:rPr>
        <w:t>03</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836874" w:rsidRPr="0038510C">
        <w:rPr>
          <w:rFonts w:ascii="Times New Roman" w:hAnsi="Times New Roman" w:cs="Times New Roman"/>
          <w:sz w:val="24"/>
          <w:szCs w:val="24"/>
        </w:rPr>
        <w:t>D</w:t>
      </w:r>
      <w:r w:rsidR="003909D9" w:rsidRPr="0038510C">
        <w:rPr>
          <w:rFonts w:ascii="Times New Roman" w:hAnsi="Times New Roman" w:cs="Times New Roman"/>
          <w:sz w:val="24"/>
          <w:szCs w:val="24"/>
        </w:rPr>
        <w:t xml:space="preserve"> = </w:t>
      </w:r>
      <w:r w:rsidR="00836874" w:rsidRPr="0038510C">
        <w:rPr>
          <w:rFonts w:ascii="Times New Roman" w:hAnsi="Times New Roman" w:cs="Times New Roman"/>
          <w:sz w:val="24"/>
          <w:szCs w:val="24"/>
        </w:rPr>
        <w:t>4.34</w:t>
      </w:r>
      <w:r w:rsidR="004C5C35" w:rsidRPr="0038510C">
        <w:rPr>
          <w:rFonts w:ascii="Times New Roman" w:hAnsi="Times New Roman" w:cs="Times New Roman"/>
          <w:sz w:val="24"/>
          <w:szCs w:val="24"/>
        </w:rPr>
        <w:t>) compared t</w:t>
      </w:r>
      <w:r w:rsidR="00BE09E4" w:rsidRPr="0038510C">
        <w:rPr>
          <w:rFonts w:ascii="Times New Roman" w:hAnsi="Times New Roman" w:cs="Times New Roman"/>
          <w:sz w:val="24"/>
          <w:szCs w:val="24"/>
        </w:rPr>
        <w:t>o the N140</w:t>
      </w:r>
      <w:r w:rsidRPr="0038510C">
        <w:rPr>
          <w:rFonts w:ascii="Times New Roman" w:hAnsi="Times New Roman" w:cs="Times New Roman"/>
          <w:sz w:val="24"/>
          <w:szCs w:val="24"/>
        </w:rPr>
        <w:t xml:space="preserve"> component</w:t>
      </w:r>
      <w:r w:rsidR="00BE09E4" w:rsidRPr="0038510C">
        <w:rPr>
          <w:rFonts w:ascii="Times New Roman" w:hAnsi="Times New Roman" w:cs="Times New Roman"/>
          <w:sz w:val="24"/>
          <w:szCs w:val="24"/>
        </w:rPr>
        <w:t xml:space="preserve"> elicited during peri</w:t>
      </w:r>
      <w:r w:rsidR="004C5C35" w:rsidRPr="0038510C">
        <w:rPr>
          <w:rFonts w:ascii="Times New Roman" w:hAnsi="Times New Roman" w:cs="Times New Roman"/>
          <w:sz w:val="24"/>
          <w:szCs w:val="24"/>
        </w:rPr>
        <w:t>personal</w:t>
      </w:r>
      <w:r w:rsidR="003909D9" w:rsidRPr="0038510C">
        <w:rPr>
          <w:rFonts w:ascii="Times New Roman" w:hAnsi="Times New Roman" w:cs="Times New Roman"/>
          <w:sz w:val="24"/>
          <w:szCs w:val="24"/>
        </w:rPr>
        <w:t xml:space="preserve"> movement preparation (M = -4.40</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362511" w:rsidRPr="0038510C">
        <w:rPr>
          <w:rFonts w:ascii="Times New Roman" w:hAnsi="Times New Roman" w:cs="Times New Roman"/>
          <w:sz w:val="24"/>
          <w:szCs w:val="24"/>
        </w:rPr>
        <w:t>D</w:t>
      </w:r>
      <w:r w:rsidR="003909D9" w:rsidRPr="0038510C">
        <w:rPr>
          <w:rFonts w:ascii="Times New Roman" w:hAnsi="Times New Roman" w:cs="Times New Roman"/>
          <w:sz w:val="24"/>
          <w:szCs w:val="24"/>
        </w:rPr>
        <w:t xml:space="preserve"> = </w:t>
      </w:r>
      <w:r w:rsidR="00362511" w:rsidRPr="0038510C">
        <w:rPr>
          <w:rFonts w:ascii="Times New Roman" w:hAnsi="Times New Roman" w:cs="Times New Roman"/>
          <w:sz w:val="24"/>
          <w:szCs w:val="24"/>
        </w:rPr>
        <w:t>3.78</w:t>
      </w:r>
      <w:r w:rsidR="003909D9" w:rsidRPr="0038510C">
        <w:rPr>
          <w:rFonts w:ascii="Times New Roman" w:hAnsi="Times New Roman" w:cs="Times New Roman"/>
          <w:sz w:val="24"/>
          <w:szCs w:val="24"/>
        </w:rPr>
        <w:t>,</w:t>
      </w:r>
      <w:r w:rsidR="007D1545" w:rsidRPr="0038510C">
        <w:rPr>
          <w:rFonts w:ascii="Times New Roman" w:hAnsi="Times New Roman" w:cs="Times New Roman"/>
          <w:sz w:val="24"/>
          <w:szCs w:val="24"/>
        </w:rPr>
        <w:t xml:space="preserve"> </w:t>
      </w:r>
      <w:r w:rsidR="007D1545" w:rsidRPr="0038510C">
        <w:rPr>
          <w:rFonts w:ascii="Times New Roman" w:hAnsi="Times New Roman" w:cs="Times New Roman"/>
          <w:i/>
          <w:sz w:val="24"/>
          <w:szCs w:val="24"/>
        </w:rPr>
        <w:t>F</w:t>
      </w:r>
      <w:r w:rsidRPr="0038510C">
        <w:rPr>
          <w:rFonts w:ascii="Times New Roman" w:hAnsi="Times New Roman" w:cs="Times New Roman"/>
          <w:sz w:val="24"/>
          <w:szCs w:val="24"/>
        </w:rPr>
        <w:t>(1, 15) = 9.30,</w:t>
      </w:r>
      <w:r w:rsidR="003909D9" w:rsidRPr="0038510C">
        <w:rPr>
          <w:rFonts w:ascii="Times New Roman" w:hAnsi="Times New Roman" w:cs="Times New Roman"/>
          <w:sz w:val="24"/>
          <w:szCs w:val="24"/>
        </w:rPr>
        <w:t xml:space="preserve"> </w:t>
      </w:r>
      <w:r w:rsidR="003909D9" w:rsidRPr="00F05B60">
        <w:rPr>
          <w:rFonts w:ascii="Times New Roman" w:hAnsi="Times New Roman" w:cs="Times New Roman"/>
          <w:i/>
          <w:sz w:val="24"/>
          <w:szCs w:val="24"/>
        </w:rPr>
        <w:t>p</w:t>
      </w:r>
      <w:r w:rsidR="003909D9" w:rsidRPr="0038510C">
        <w:rPr>
          <w:rFonts w:ascii="Times New Roman" w:hAnsi="Times New Roman" w:cs="Times New Roman"/>
          <w:sz w:val="24"/>
          <w:szCs w:val="24"/>
        </w:rPr>
        <w:t xml:space="preserve"> = .008</w:t>
      </w:r>
      <w:r w:rsidR="00C758C5" w:rsidRPr="0038510C">
        <w:rPr>
          <w:rFonts w:ascii="Times New Roman" w:hAnsi="Times New Roman" w:cs="Times New Roman"/>
          <w:sz w:val="24"/>
          <w:szCs w:val="24"/>
        </w:rPr>
        <w:t>, =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.383</w:t>
      </w:r>
      <w:r w:rsidR="004C5C35" w:rsidRPr="0038510C">
        <w:rPr>
          <w:rFonts w:ascii="Times New Roman" w:hAnsi="Times New Roman" w:cs="Times New Roman"/>
          <w:sz w:val="24"/>
          <w:szCs w:val="24"/>
        </w:rPr>
        <w:t xml:space="preserve">). Both </w:t>
      </w:r>
      <w:r w:rsidR="00D36CE7" w:rsidRPr="0038510C">
        <w:rPr>
          <w:rFonts w:ascii="Times New Roman" w:hAnsi="Times New Roman" w:cs="Times New Roman"/>
          <w:sz w:val="24"/>
          <w:szCs w:val="24"/>
        </w:rPr>
        <w:t xml:space="preserve">the main effect of </w:t>
      </w:r>
      <w:r w:rsidR="004C5C35" w:rsidRPr="0038510C">
        <w:rPr>
          <w:rFonts w:ascii="Times New Roman" w:hAnsi="Times New Roman" w:cs="Times New Roman"/>
          <w:sz w:val="24"/>
          <w:szCs w:val="24"/>
        </w:rPr>
        <w:t>hemisphere and the interaction between movement pr</w:t>
      </w:r>
      <w:r w:rsidR="00767348" w:rsidRPr="0038510C">
        <w:rPr>
          <w:rFonts w:ascii="Times New Roman" w:hAnsi="Times New Roman" w:cs="Times New Roman"/>
          <w:sz w:val="24"/>
          <w:szCs w:val="24"/>
        </w:rPr>
        <w:t>eparation and hemisphere were non-</w:t>
      </w:r>
      <w:r w:rsidR="00F8178E" w:rsidRPr="0038510C">
        <w:rPr>
          <w:rFonts w:ascii="Times New Roman" w:hAnsi="Times New Roman" w:cs="Times New Roman"/>
          <w:sz w:val="24"/>
          <w:szCs w:val="24"/>
        </w:rPr>
        <w:t>significant (</w:t>
      </w:r>
      <w:r w:rsidR="004C5C35" w:rsidRPr="0038510C">
        <w:rPr>
          <w:rFonts w:ascii="Times New Roman" w:hAnsi="Times New Roman" w:cs="Times New Roman"/>
          <w:i/>
          <w:sz w:val="24"/>
          <w:szCs w:val="24"/>
        </w:rPr>
        <w:t>F</w:t>
      </w:r>
      <w:r w:rsidR="003909D9" w:rsidRPr="0038510C">
        <w:rPr>
          <w:rFonts w:ascii="Times New Roman" w:hAnsi="Times New Roman" w:cs="Times New Roman"/>
          <w:sz w:val="24"/>
          <w:szCs w:val="24"/>
        </w:rPr>
        <w:t xml:space="preserve">(1, 15) = 3.19, </w:t>
      </w:r>
      <w:r w:rsidR="003909D9" w:rsidRPr="00F05B60">
        <w:rPr>
          <w:rFonts w:ascii="Times New Roman" w:hAnsi="Times New Roman" w:cs="Times New Roman"/>
          <w:i/>
          <w:sz w:val="24"/>
          <w:szCs w:val="24"/>
        </w:rPr>
        <w:t>p</w:t>
      </w:r>
      <w:r w:rsidR="003909D9" w:rsidRPr="0038510C">
        <w:rPr>
          <w:rFonts w:ascii="Times New Roman" w:hAnsi="Times New Roman" w:cs="Times New Roman"/>
          <w:sz w:val="24"/>
          <w:szCs w:val="24"/>
        </w:rPr>
        <w:t xml:space="preserve"> = .094</w:t>
      </w:r>
      <w:r w:rsidR="004C5C35" w:rsidRPr="0038510C">
        <w:rPr>
          <w:rFonts w:ascii="Times New Roman" w:hAnsi="Times New Roman" w:cs="Times New Roman"/>
          <w:sz w:val="24"/>
          <w:szCs w:val="24"/>
        </w:rPr>
        <w:t>,</w:t>
      </w:r>
      <w:r w:rsidR="00C758C5" w:rsidRPr="0038510C">
        <w:rPr>
          <w:rFonts w:ascii="Times New Roman" w:hAnsi="Times New Roman" w:cs="Times New Roman"/>
          <w:sz w:val="24"/>
          <w:szCs w:val="24"/>
        </w:rPr>
        <w:t xml:space="preserve">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 .175</w:t>
      </w:r>
      <w:r w:rsidR="004C5C35" w:rsidRPr="0038510C">
        <w:rPr>
          <w:rFonts w:ascii="Times New Roman" w:hAnsi="Times New Roman" w:cs="Times New Roman"/>
          <w:sz w:val="24"/>
          <w:szCs w:val="24"/>
        </w:rPr>
        <w:t xml:space="preserve"> </w:t>
      </w:r>
      <w:r w:rsidR="004C5C35" w:rsidRPr="0038510C">
        <w:rPr>
          <w:rFonts w:ascii="Times New Roman" w:hAnsi="Times New Roman" w:cs="Times New Roman"/>
          <w:i/>
          <w:sz w:val="24"/>
          <w:szCs w:val="24"/>
        </w:rPr>
        <w:t>F</w:t>
      </w:r>
      <w:r w:rsidR="004C5C35" w:rsidRPr="0038510C">
        <w:rPr>
          <w:rFonts w:ascii="Times New Roman" w:hAnsi="Times New Roman" w:cs="Times New Roman"/>
          <w:sz w:val="24"/>
          <w:szCs w:val="24"/>
        </w:rPr>
        <w:t xml:space="preserve">(1, 15) </w:t>
      </w:r>
      <w:r w:rsidR="003909D9" w:rsidRPr="0038510C">
        <w:rPr>
          <w:rFonts w:ascii="Times New Roman" w:hAnsi="Times New Roman" w:cs="Times New Roman"/>
          <w:sz w:val="24"/>
          <w:szCs w:val="24"/>
        </w:rPr>
        <w:t xml:space="preserve">= .32, </w:t>
      </w:r>
      <w:r w:rsidR="003909D9" w:rsidRPr="00F05B60">
        <w:rPr>
          <w:rFonts w:ascii="Times New Roman" w:hAnsi="Times New Roman" w:cs="Times New Roman"/>
          <w:i/>
          <w:sz w:val="24"/>
          <w:szCs w:val="24"/>
        </w:rPr>
        <w:t>p</w:t>
      </w:r>
      <w:r w:rsidR="003909D9" w:rsidRPr="0038510C">
        <w:rPr>
          <w:rFonts w:ascii="Times New Roman" w:hAnsi="Times New Roman" w:cs="Times New Roman"/>
          <w:sz w:val="24"/>
          <w:szCs w:val="24"/>
        </w:rPr>
        <w:t xml:space="preserve"> = .860</w:t>
      </w:r>
      <w:r w:rsidR="00C758C5" w:rsidRPr="0038510C">
        <w:rPr>
          <w:rFonts w:ascii="Times New Roman" w:hAnsi="Times New Roman" w:cs="Times New Roman"/>
          <w:sz w:val="24"/>
          <w:szCs w:val="24"/>
        </w:rPr>
        <w:t>, =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.002</w:t>
      </w:r>
      <w:r w:rsidR="00A40B6A" w:rsidRPr="0038510C">
        <w:rPr>
          <w:rFonts w:ascii="Times New Roman" w:hAnsi="Times New Roman" w:cs="Times New Roman"/>
          <w:sz w:val="24"/>
          <w:szCs w:val="24"/>
        </w:rPr>
        <w:t>, respectively</w:t>
      </w:r>
      <w:r w:rsidR="00F8178E" w:rsidRPr="0038510C">
        <w:rPr>
          <w:rFonts w:ascii="Times New Roman" w:hAnsi="Times New Roman" w:cs="Times New Roman"/>
          <w:sz w:val="24"/>
          <w:szCs w:val="24"/>
        </w:rPr>
        <w:t>)</w:t>
      </w:r>
      <w:r w:rsidR="00A40B6A" w:rsidRPr="0038510C">
        <w:rPr>
          <w:rFonts w:ascii="Times New Roman" w:hAnsi="Times New Roman" w:cs="Times New Roman"/>
          <w:sz w:val="24"/>
          <w:szCs w:val="24"/>
        </w:rPr>
        <w:t xml:space="preserve">. </w:t>
      </w:r>
    </w:p>
    <w:p w:rsidR="004C5C35" w:rsidRPr="0038510C" w:rsidRDefault="00B94463" w:rsidP="00625F36">
      <w:pPr>
        <w:spacing w:line="360" w:lineRule="auto"/>
        <w:jc w:val="both"/>
        <w:rPr>
          <w:rFonts w:ascii="Times New Roman" w:hAnsi="Times New Roman" w:cs="Times New Roman"/>
        </w:rPr>
      </w:pPr>
      <w:r w:rsidRPr="0038510C">
        <w:rPr>
          <w:rFonts w:ascii="Times New Roman" w:hAnsi="Times New Roman" w:cs="Times New Roman"/>
          <w:sz w:val="24"/>
          <w:szCs w:val="24"/>
        </w:rPr>
        <w:t xml:space="preserve">At frontal sites, </w:t>
      </w:r>
      <w:r w:rsidR="004E23CB" w:rsidRPr="0038510C">
        <w:rPr>
          <w:rFonts w:ascii="Times New Roman" w:hAnsi="Times New Roman" w:cs="Times New Roman"/>
          <w:sz w:val="24"/>
          <w:szCs w:val="24"/>
        </w:rPr>
        <w:t>N140 amplitudes were</w:t>
      </w:r>
      <w:r w:rsidR="00B81474" w:rsidRPr="0038510C">
        <w:rPr>
          <w:rFonts w:ascii="Times New Roman" w:hAnsi="Times New Roman" w:cs="Times New Roman"/>
          <w:sz w:val="24"/>
          <w:szCs w:val="24"/>
        </w:rPr>
        <w:t xml:space="preserve"> also</w:t>
      </w:r>
      <w:r w:rsidRPr="0038510C">
        <w:rPr>
          <w:rFonts w:ascii="Times New Roman" w:hAnsi="Times New Roman" w:cs="Times New Roman"/>
          <w:sz w:val="24"/>
          <w:szCs w:val="24"/>
        </w:rPr>
        <w:t xml:space="preserve"> significantly modulated</w:t>
      </w:r>
      <w:r w:rsidR="004C5C35" w:rsidRPr="0038510C">
        <w:rPr>
          <w:rFonts w:ascii="Times New Roman" w:hAnsi="Times New Roman" w:cs="Times New Roman"/>
          <w:sz w:val="24"/>
          <w:szCs w:val="24"/>
        </w:rPr>
        <w:t xml:space="preserve"> by movement preparation </w:t>
      </w:r>
      <w:r w:rsidR="00B81474" w:rsidRPr="0038510C">
        <w:rPr>
          <w:rFonts w:ascii="Times New Roman" w:hAnsi="Times New Roman" w:cs="Times New Roman"/>
          <w:sz w:val="24"/>
          <w:szCs w:val="24"/>
        </w:rPr>
        <w:t>(</w:t>
      </w:r>
      <w:r w:rsidR="004C5C35" w:rsidRPr="0038510C">
        <w:rPr>
          <w:rFonts w:ascii="Times New Roman" w:hAnsi="Times New Roman" w:cs="Times New Roman"/>
          <w:i/>
          <w:sz w:val="24"/>
          <w:szCs w:val="24"/>
        </w:rPr>
        <w:t>F</w:t>
      </w:r>
      <w:r w:rsidR="004E23CB" w:rsidRPr="0038510C">
        <w:rPr>
          <w:rFonts w:ascii="Times New Roman" w:hAnsi="Times New Roman" w:cs="Times New Roman"/>
          <w:sz w:val="24"/>
          <w:szCs w:val="24"/>
        </w:rPr>
        <w:t xml:space="preserve">(1, 15) = 6.89, </w:t>
      </w:r>
      <w:r w:rsidR="004E23CB" w:rsidRPr="00F05B60">
        <w:rPr>
          <w:rFonts w:ascii="Times New Roman" w:hAnsi="Times New Roman" w:cs="Times New Roman"/>
          <w:i/>
          <w:sz w:val="24"/>
          <w:szCs w:val="24"/>
        </w:rPr>
        <w:t>p</w:t>
      </w:r>
      <w:r w:rsidR="004E23CB" w:rsidRPr="0038510C">
        <w:rPr>
          <w:rFonts w:ascii="Times New Roman" w:hAnsi="Times New Roman" w:cs="Times New Roman"/>
          <w:sz w:val="24"/>
          <w:szCs w:val="24"/>
        </w:rPr>
        <w:t xml:space="preserve"> = .019</w:t>
      </w:r>
      <w:r w:rsidR="00C758C5" w:rsidRPr="0038510C">
        <w:rPr>
          <w:rFonts w:ascii="Times New Roman" w:hAnsi="Times New Roman" w:cs="Times New Roman"/>
          <w:sz w:val="24"/>
          <w:szCs w:val="24"/>
        </w:rPr>
        <w:t>, =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.315</w:t>
      </w:r>
      <w:r w:rsidR="00B81474" w:rsidRPr="0038510C">
        <w:rPr>
          <w:rFonts w:ascii="Times New Roman" w:hAnsi="Times New Roman" w:cs="Times New Roman"/>
          <w:sz w:val="24"/>
          <w:szCs w:val="24"/>
        </w:rPr>
        <w:t>)</w:t>
      </w:r>
      <w:r w:rsidR="00BC7CE0" w:rsidRPr="0038510C">
        <w:rPr>
          <w:rFonts w:ascii="Times New Roman" w:hAnsi="Times New Roman" w:cs="Times New Roman"/>
          <w:sz w:val="24"/>
          <w:szCs w:val="24"/>
        </w:rPr>
        <w:t xml:space="preserve"> </w:t>
      </w:r>
      <w:r w:rsidR="00B81474" w:rsidRPr="0038510C">
        <w:rPr>
          <w:rFonts w:ascii="Times New Roman" w:hAnsi="Times New Roman" w:cs="Times New Roman"/>
          <w:sz w:val="24"/>
          <w:szCs w:val="24"/>
        </w:rPr>
        <w:t xml:space="preserve">as </w:t>
      </w:r>
      <w:r w:rsidR="002059E7" w:rsidRPr="0038510C">
        <w:rPr>
          <w:rFonts w:ascii="Times New Roman" w:hAnsi="Times New Roman" w:cs="Times New Roman"/>
          <w:sz w:val="24"/>
          <w:szCs w:val="24"/>
        </w:rPr>
        <w:t xml:space="preserve">N140 amplitudes were more negative during </w:t>
      </w:r>
      <w:r w:rsidR="00BC7CE0" w:rsidRPr="0038510C">
        <w:rPr>
          <w:rFonts w:ascii="Times New Roman" w:hAnsi="Times New Roman" w:cs="Times New Roman"/>
          <w:sz w:val="24"/>
          <w:szCs w:val="24"/>
        </w:rPr>
        <w:t>movement</w:t>
      </w:r>
      <w:r w:rsidR="00B81474" w:rsidRPr="0038510C">
        <w:rPr>
          <w:rFonts w:ascii="Times New Roman" w:hAnsi="Times New Roman" w:cs="Times New Roman"/>
          <w:sz w:val="24"/>
          <w:szCs w:val="24"/>
        </w:rPr>
        <w:t xml:space="preserve"> </w:t>
      </w:r>
      <w:r w:rsidR="002059E7" w:rsidRPr="0038510C">
        <w:rPr>
          <w:rFonts w:ascii="Times New Roman" w:hAnsi="Times New Roman" w:cs="Times New Roman"/>
          <w:sz w:val="24"/>
          <w:szCs w:val="24"/>
        </w:rPr>
        <w:t>preparation towards</w:t>
      </w:r>
      <w:r w:rsidR="00B81474" w:rsidRPr="0038510C">
        <w:rPr>
          <w:rFonts w:ascii="Times New Roman" w:hAnsi="Times New Roman" w:cs="Times New Roman"/>
          <w:sz w:val="24"/>
          <w:szCs w:val="24"/>
        </w:rPr>
        <w:t xml:space="preserve"> personal space </w:t>
      </w:r>
      <w:r w:rsidR="00BC7CE0" w:rsidRPr="0038510C">
        <w:rPr>
          <w:rFonts w:ascii="Times New Roman" w:hAnsi="Times New Roman" w:cs="Times New Roman"/>
          <w:sz w:val="24"/>
          <w:szCs w:val="24"/>
        </w:rPr>
        <w:t xml:space="preserve">(M = </w:t>
      </w:r>
      <w:r w:rsidR="00D640ED" w:rsidRPr="0038510C">
        <w:rPr>
          <w:rFonts w:ascii="Times New Roman" w:hAnsi="Times New Roman" w:cs="Times New Roman"/>
          <w:sz w:val="24"/>
          <w:szCs w:val="24"/>
        </w:rPr>
        <w:t>-5.14</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362511" w:rsidRPr="0038510C">
        <w:rPr>
          <w:rFonts w:ascii="Times New Roman" w:hAnsi="Times New Roman" w:cs="Times New Roman"/>
          <w:sz w:val="24"/>
          <w:szCs w:val="24"/>
        </w:rPr>
        <w:t>D</w:t>
      </w:r>
      <w:r w:rsidR="00BC7CE0" w:rsidRPr="0038510C">
        <w:rPr>
          <w:rFonts w:ascii="Times New Roman" w:hAnsi="Times New Roman" w:cs="Times New Roman"/>
          <w:sz w:val="24"/>
          <w:szCs w:val="24"/>
        </w:rPr>
        <w:t xml:space="preserve"> =</w:t>
      </w:r>
      <w:r w:rsidR="00362511" w:rsidRPr="0038510C">
        <w:rPr>
          <w:rFonts w:ascii="Times New Roman" w:hAnsi="Times New Roman" w:cs="Times New Roman"/>
          <w:sz w:val="24"/>
          <w:szCs w:val="24"/>
        </w:rPr>
        <w:t xml:space="preserve"> 2.61</w:t>
      </w:r>
      <w:r w:rsidR="00BC7CE0" w:rsidRPr="0038510C">
        <w:rPr>
          <w:rFonts w:ascii="Times New Roman" w:hAnsi="Times New Roman" w:cs="Times New Roman"/>
          <w:sz w:val="24"/>
          <w:szCs w:val="24"/>
        </w:rPr>
        <w:t>) compared to the N140</w:t>
      </w:r>
      <w:r w:rsidR="002059E7" w:rsidRPr="0038510C">
        <w:rPr>
          <w:rFonts w:ascii="Times New Roman" w:hAnsi="Times New Roman" w:cs="Times New Roman"/>
          <w:sz w:val="24"/>
          <w:szCs w:val="24"/>
        </w:rPr>
        <w:t xml:space="preserve"> components</w:t>
      </w:r>
      <w:r w:rsidR="00BC7CE0" w:rsidRPr="0038510C">
        <w:rPr>
          <w:rFonts w:ascii="Times New Roman" w:hAnsi="Times New Roman" w:cs="Times New Roman"/>
          <w:sz w:val="24"/>
          <w:szCs w:val="24"/>
        </w:rPr>
        <w:t xml:space="preserve"> elicited during peripersonal movement preparation (M = -3.68</w:t>
      </w:r>
      <w:r w:rsidR="00245AD9" w:rsidRPr="0038510C">
        <w:rPr>
          <w:rFonts w:ascii="Times New Roman" w:eastAsia="Times New Roman" w:hAnsi="Times New Roman" w:cs="Times New Roman"/>
          <w:kern w:val="0"/>
          <w:sz w:val="24"/>
          <w:szCs w:val="24"/>
          <w:shd w:val="clear" w:color="auto" w:fill="FFFFFF"/>
          <w:lang w:eastAsia="en-US"/>
        </w:rPr>
        <w:t>μV</w:t>
      </w:r>
      <w:r w:rsidR="00D640ED" w:rsidRPr="0038510C">
        <w:rPr>
          <w:rFonts w:ascii="Times New Roman" w:hAnsi="Times New Roman" w:cs="Times New Roman"/>
          <w:sz w:val="24"/>
          <w:szCs w:val="24"/>
        </w:rPr>
        <w:t>, S</w:t>
      </w:r>
      <w:r w:rsidR="00362511" w:rsidRPr="0038510C">
        <w:rPr>
          <w:rFonts w:ascii="Times New Roman" w:hAnsi="Times New Roman" w:cs="Times New Roman"/>
          <w:sz w:val="24"/>
          <w:szCs w:val="24"/>
        </w:rPr>
        <w:t>D</w:t>
      </w:r>
      <w:r w:rsidR="00BC7CE0" w:rsidRPr="0038510C">
        <w:rPr>
          <w:rFonts w:ascii="Times New Roman" w:hAnsi="Times New Roman" w:cs="Times New Roman"/>
          <w:sz w:val="24"/>
          <w:szCs w:val="24"/>
        </w:rPr>
        <w:t xml:space="preserve"> = </w:t>
      </w:r>
      <w:r w:rsidR="00362511" w:rsidRPr="0038510C">
        <w:rPr>
          <w:rFonts w:ascii="Times New Roman" w:hAnsi="Times New Roman" w:cs="Times New Roman"/>
          <w:sz w:val="24"/>
          <w:szCs w:val="24"/>
        </w:rPr>
        <w:t>2.87</w:t>
      </w:r>
      <w:r w:rsidR="00BC7CE0" w:rsidRPr="0038510C">
        <w:rPr>
          <w:rFonts w:ascii="Times New Roman" w:hAnsi="Times New Roman" w:cs="Times New Roman"/>
          <w:sz w:val="24"/>
          <w:szCs w:val="24"/>
        </w:rPr>
        <w:t xml:space="preserve">). </w:t>
      </w:r>
      <w:r w:rsidR="004C5C35" w:rsidRPr="0038510C">
        <w:rPr>
          <w:rFonts w:ascii="Times New Roman" w:hAnsi="Times New Roman" w:cs="Times New Roman"/>
          <w:sz w:val="24"/>
          <w:szCs w:val="24"/>
        </w:rPr>
        <w:t>A significant main</w:t>
      </w:r>
      <w:r w:rsidR="00B81474" w:rsidRPr="0038510C">
        <w:rPr>
          <w:rFonts w:ascii="Times New Roman" w:hAnsi="Times New Roman" w:cs="Times New Roman"/>
          <w:sz w:val="24"/>
          <w:szCs w:val="24"/>
        </w:rPr>
        <w:t xml:space="preserve"> effect of hemisphere was found</w:t>
      </w:r>
      <w:r w:rsidR="004C5C35" w:rsidRPr="0038510C">
        <w:rPr>
          <w:rFonts w:ascii="Times New Roman" w:hAnsi="Times New Roman" w:cs="Times New Roman"/>
          <w:sz w:val="24"/>
          <w:szCs w:val="24"/>
        </w:rPr>
        <w:t xml:space="preserve"> </w:t>
      </w:r>
      <w:r w:rsidR="00B81474" w:rsidRPr="0038510C">
        <w:rPr>
          <w:rFonts w:ascii="Times New Roman" w:hAnsi="Times New Roman" w:cs="Times New Roman"/>
          <w:sz w:val="24"/>
          <w:szCs w:val="24"/>
        </w:rPr>
        <w:t>(</w:t>
      </w:r>
      <w:r w:rsidR="004E23CB" w:rsidRPr="0038510C">
        <w:rPr>
          <w:rFonts w:ascii="Times New Roman" w:hAnsi="Times New Roman" w:cs="Times New Roman"/>
          <w:i/>
          <w:sz w:val="24"/>
          <w:szCs w:val="24"/>
        </w:rPr>
        <w:t>F</w:t>
      </w:r>
      <w:r w:rsidR="004E23CB" w:rsidRPr="0038510C">
        <w:rPr>
          <w:rFonts w:ascii="Times New Roman" w:hAnsi="Times New Roman" w:cs="Times New Roman"/>
          <w:sz w:val="24"/>
          <w:szCs w:val="24"/>
        </w:rPr>
        <w:t xml:space="preserve">(1, 15) = 15.22, </w:t>
      </w:r>
      <w:r w:rsidR="004E23CB" w:rsidRPr="00F05B60">
        <w:rPr>
          <w:rFonts w:ascii="Times New Roman" w:hAnsi="Times New Roman" w:cs="Times New Roman"/>
          <w:i/>
          <w:sz w:val="24"/>
          <w:szCs w:val="24"/>
        </w:rPr>
        <w:t>p</w:t>
      </w:r>
      <w:r w:rsidR="004E23CB" w:rsidRPr="0038510C">
        <w:rPr>
          <w:rFonts w:ascii="Times New Roman" w:hAnsi="Times New Roman" w:cs="Times New Roman"/>
          <w:sz w:val="24"/>
          <w:szCs w:val="24"/>
        </w:rPr>
        <w:t xml:space="preserve"> = .001</w:t>
      </w:r>
      <w:r w:rsidR="00C758C5" w:rsidRPr="0038510C">
        <w:rPr>
          <w:rFonts w:ascii="Times New Roman" w:hAnsi="Times New Roman" w:cs="Times New Roman"/>
          <w:sz w:val="24"/>
          <w:szCs w:val="24"/>
        </w:rPr>
        <w:t>, =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.504</w:t>
      </w:r>
      <w:r w:rsidR="00B81474" w:rsidRPr="0038510C">
        <w:rPr>
          <w:rFonts w:ascii="Times New Roman" w:hAnsi="Times New Roman" w:cs="Times New Roman"/>
          <w:sz w:val="24"/>
          <w:szCs w:val="24"/>
        </w:rPr>
        <w:t>)</w:t>
      </w:r>
      <w:r w:rsidR="004C5C35" w:rsidRPr="0038510C">
        <w:rPr>
          <w:rFonts w:ascii="Times New Roman" w:hAnsi="Times New Roman" w:cs="Times New Roman"/>
          <w:sz w:val="24"/>
          <w:szCs w:val="24"/>
        </w:rPr>
        <w:t xml:space="preserve"> however there was no interaction between movement preparation and hemi</w:t>
      </w:r>
      <w:r w:rsidR="004E23CB" w:rsidRPr="0038510C">
        <w:rPr>
          <w:rFonts w:ascii="Times New Roman" w:hAnsi="Times New Roman" w:cs="Times New Roman"/>
          <w:sz w:val="24"/>
          <w:szCs w:val="24"/>
        </w:rPr>
        <w:t xml:space="preserve">sphere, </w:t>
      </w:r>
      <w:r w:rsidR="004E23CB" w:rsidRPr="0038510C">
        <w:rPr>
          <w:rFonts w:ascii="Times New Roman" w:hAnsi="Times New Roman" w:cs="Times New Roman"/>
          <w:i/>
          <w:sz w:val="24"/>
          <w:szCs w:val="24"/>
        </w:rPr>
        <w:t>F</w:t>
      </w:r>
      <w:r w:rsidR="004E23CB" w:rsidRPr="0038510C">
        <w:rPr>
          <w:rFonts w:ascii="Times New Roman" w:hAnsi="Times New Roman" w:cs="Times New Roman"/>
          <w:sz w:val="24"/>
          <w:szCs w:val="24"/>
        </w:rPr>
        <w:t xml:space="preserve">(1, 15) = .001, </w:t>
      </w:r>
      <w:r w:rsidR="004E23CB" w:rsidRPr="00F05B60">
        <w:rPr>
          <w:rFonts w:ascii="Times New Roman" w:hAnsi="Times New Roman" w:cs="Times New Roman"/>
          <w:i/>
          <w:sz w:val="24"/>
          <w:szCs w:val="24"/>
        </w:rPr>
        <w:t>p</w:t>
      </w:r>
      <w:r w:rsidR="004E23CB" w:rsidRPr="0038510C">
        <w:rPr>
          <w:rFonts w:ascii="Times New Roman" w:hAnsi="Times New Roman" w:cs="Times New Roman"/>
          <w:sz w:val="24"/>
          <w:szCs w:val="24"/>
        </w:rPr>
        <w:t xml:space="preserve"> = .</w:t>
      </w:r>
      <w:r w:rsidR="004C5C35" w:rsidRPr="0038510C">
        <w:rPr>
          <w:rFonts w:ascii="Times New Roman" w:hAnsi="Times New Roman" w:cs="Times New Roman"/>
          <w:sz w:val="24"/>
          <w:szCs w:val="24"/>
        </w:rPr>
        <w:t>9</w:t>
      </w:r>
      <w:r w:rsidR="004E23CB" w:rsidRPr="0038510C">
        <w:rPr>
          <w:rFonts w:ascii="Times New Roman" w:hAnsi="Times New Roman" w:cs="Times New Roman"/>
          <w:sz w:val="24"/>
          <w:szCs w:val="24"/>
        </w:rPr>
        <w:t>82</w:t>
      </w:r>
      <w:r w:rsidR="00C758C5" w:rsidRPr="0038510C">
        <w:rPr>
          <w:rFonts w:ascii="Times New Roman" w:hAnsi="Times New Roman" w:cs="Times New Roman"/>
          <w:sz w:val="24"/>
          <w:szCs w:val="24"/>
        </w:rPr>
        <w:t>, η</w:t>
      </w:r>
      <w:r w:rsidR="00C758C5" w:rsidRPr="0038510C">
        <w:rPr>
          <w:rFonts w:ascii="Times New Roman" w:hAnsi="Times New Roman" w:cs="Times New Roman"/>
          <w:sz w:val="24"/>
          <w:szCs w:val="24"/>
          <w:vertAlign w:val="subscript"/>
        </w:rPr>
        <w:t>p</w:t>
      </w:r>
      <w:r w:rsidR="00C758C5" w:rsidRPr="0038510C">
        <w:rPr>
          <w:rFonts w:ascii="Times New Roman" w:hAnsi="Times New Roman" w:cs="Times New Roman"/>
          <w:sz w:val="24"/>
          <w:szCs w:val="24"/>
          <w:vertAlign w:val="superscript"/>
        </w:rPr>
        <w:t>2</w:t>
      </w:r>
      <w:r w:rsidR="00C758C5" w:rsidRPr="0038510C">
        <w:rPr>
          <w:rFonts w:ascii="Times New Roman" w:hAnsi="Times New Roman" w:cs="Times New Roman"/>
          <w:sz w:val="24"/>
          <w:szCs w:val="24"/>
        </w:rPr>
        <w:t xml:space="preserve"> &lt; .001</w:t>
      </w:r>
      <w:r w:rsidR="004C5C35" w:rsidRPr="0038510C">
        <w:rPr>
          <w:rFonts w:ascii="Times New Roman" w:hAnsi="Times New Roman" w:cs="Times New Roman"/>
          <w:sz w:val="24"/>
          <w:szCs w:val="24"/>
        </w:rPr>
        <w:t xml:space="preserve">. </w:t>
      </w:r>
      <w:r w:rsidRPr="0038510C">
        <w:rPr>
          <w:rFonts w:ascii="Times New Roman" w:hAnsi="Times New Roman" w:cs="Times New Roman"/>
          <w:sz w:val="24"/>
          <w:szCs w:val="24"/>
        </w:rPr>
        <w:t>No significan</w:t>
      </w:r>
      <w:r w:rsidR="00F8178E" w:rsidRPr="0038510C">
        <w:rPr>
          <w:rFonts w:ascii="Times New Roman" w:hAnsi="Times New Roman" w:cs="Times New Roman"/>
          <w:sz w:val="24"/>
          <w:szCs w:val="24"/>
        </w:rPr>
        <w:t>t effects were observed over</w:t>
      </w:r>
      <w:r w:rsidRPr="0038510C">
        <w:rPr>
          <w:rFonts w:ascii="Times New Roman" w:hAnsi="Times New Roman" w:cs="Times New Roman"/>
          <w:sz w:val="24"/>
          <w:szCs w:val="24"/>
        </w:rPr>
        <w:t xml:space="preserve"> posterior-occipital electrode sites. </w:t>
      </w:r>
      <w:r w:rsidR="004C5C35" w:rsidRPr="0038510C">
        <w:rPr>
          <w:rFonts w:ascii="Times New Roman" w:hAnsi="Times New Roman" w:cs="Times New Roman"/>
          <w:sz w:val="24"/>
          <w:szCs w:val="24"/>
        </w:rPr>
        <w:t xml:space="preserve"> </w:t>
      </w:r>
    </w:p>
    <w:p w:rsidR="001D0990" w:rsidRPr="0038510C" w:rsidRDefault="00347742" w:rsidP="00625F36">
      <w:pPr>
        <w:keepNext/>
        <w:spacing w:line="360" w:lineRule="auto"/>
        <w:jc w:val="both"/>
        <w:rPr>
          <w:rFonts w:ascii="Times New Roman" w:hAnsi="Times New Roman" w:cs="Times New Roman"/>
        </w:rPr>
      </w:pPr>
      <w:r>
        <w:rPr>
          <w:rFonts w:ascii="Times New Roman" w:hAnsi="Times New Roman" w:cs="Times New Roman"/>
          <w:noProof/>
          <w:lang w:eastAsia="en-GB"/>
        </w:rPr>
        <w:lastRenderedPageBreak/>
        <w:drawing>
          <wp:inline distT="0" distB="0" distL="0" distR="0">
            <wp:extent cx="5729605" cy="6851015"/>
            <wp:effectExtent l="19050" t="0" r="4445" b="0"/>
            <wp:docPr id="3" name="Picture 3" descr="SEP_rev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P_revised"/>
                    <pic:cNvPicPr>
                      <a:picLocks noChangeAspect="1" noChangeArrowheads="1"/>
                    </pic:cNvPicPr>
                  </pic:nvPicPr>
                  <pic:blipFill>
                    <a:blip r:embed="rId10"/>
                    <a:srcRect/>
                    <a:stretch>
                      <a:fillRect/>
                    </a:stretch>
                  </pic:blipFill>
                  <pic:spPr bwMode="auto">
                    <a:xfrm>
                      <a:off x="0" y="0"/>
                      <a:ext cx="5729605" cy="6851015"/>
                    </a:xfrm>
                    <a:prstGeom prst="rect">
                      <a:avLst/>
                    </a:prstGeom>
                    <a:noFill/>
                    <a:ln w="9525">
                      <a:noFill/>
                      <a:miter lim="800000"/>
                      <a:headEnd/>
                      <a:tailEnd/>
                    </a:ln>
                  </pic:spPr>
                </pic:pic>
              </a:graphicData>
            </a:graphic>
          </wp:inline>
        </w:drawing>
      </w:r>
    </w:p>
    <w:p w:rsidR="002B6E21" w:rsidRPr="0038510C" w:rsidRDefault="009F5B8E" w:rsidP="00625F36">
      <w:pPr>
        <w:pStyle w:val="Caption"/>
        <w:spacing w:line="360" w:lineRule="auto"/>
        <w:jc w:val="both"/>
        <w:rPr>
          <w:rFonts w:ascii="Times New Roman" w:hAnsi="Times New Roman" w:cs="Times New Roman"/>
          <w:b/>
          <w:i w:val="0"/>
        </w:rPr>
      </w:pPr>
      <w:r w:rsidRPr="0038510C">
        <w:rPr>
          <w:rFonts w:ascii="Times New Roman" w:hAnsi="Times New Roman" w:cs="Times New Roman"/>
          <w:b/>
          <w:i w:val="0"/>
        </w:rPr>
        <w:t>Figure 3. Grand averaged somatosensory probe-evoked potentials across selected frontal, central and posterior-occipital electrodes. Dotted line represents onset of the visual probe. Shaded area represent</w:t>
      </w:r>
      <w:r w:rsidR="00F32E01">
        <w:rPr>
          <w:rFonts w:ascii="Times New Roman" w:hAnsi="Times New Roman" w:cs="Times New Roman"/>
          <w:b/>
          <w:i w:val="0"/>
        </w:rPr>
        <w:t>s</w:t>
      </w:r>
      <w:r w:rsidRPr="0038510C">
        <w:rPr>
          <w:rFonts w:ascii="Times New Roman" w:hAnsi="Times New Roman" w:cs="Times New Roman"/>
          <w:b/>
          <w:i w:val="0"/>
        </w:rPr>
        <w:t xml:space="preserve"> the times with which the component peaks were detected. Bars show component mean peak values (error bars: +/- 2 SE)</w:t>
      </w:r>
      <w:r w:rsidR="00924034">
        <w:rPr>
          <w:rFonts w:ascii="Times New Roman" w:hAnsi="Times New Roman" w:cs="Times New Roman"/>
          <w:b/>
          <w:i w:val="0"/>
        </w:rPr>
        <w:t>, with P1 amplitudes showing as positivities and N1 amplitudes as negativities</w:t>
      </w:r>
      <w:r w:rsidRPr="0038510C">
        <w:rPr>
          <w:rFonts w:ascii="Times New Roman" w:hAnsi="Times New Roman" w:cs="Times New Roman"/>
          <w:b/>
          <w:i w:val="0"/>
        </w:rPr>
        <w:t>. The scalp map shows the distribution of the N140 at the average peak latency.</w:t>
      </w:r>
    </w:p>
    <w:p w:rsidR="00B428C3" w:rsidRPr="0038510C" w:rsidRDefault="00B428C3" w:rsidP="00625F36">
      <w:pPr>
        <w:numPr>
          <w:ilvl w:val="0"/>
          <w:numId w:val="1"/>
        </w:numPr>
        <w:spacing w:line="360" w:lineRule="auto"/>
        <w:jc w:val="center"/>
        <w:rPr>
          <w:rFonts w:ascii="Times New Roman" w:hAnsi="Times New Roman" w:cs="Times New Roman"/>
          <w:b/>
          <w:sz w:val="24"/>
          <w:szCs w:val="24"/>
        </w:rPr>
      </w:pPr>
      <w:r w:rsidRPr="0038510C">
        <w:rPr>
          <w:rFonts w:ascii="Times New Roman" w:hAnsi="Times New Roman" w:cs="Times New Roman"/>
          <w:b/>
          <w:sz w:val="24"/>
          <w:szCs w:val="24"/>
        </w:rPr>
        <w:lastRenderedPageBreak/>
        <w:t>Discussion</w:t>
      </w:r>
    </w:p>
    <w:p w:rsidR="00714F61" w:rsidRPr="0038510C" w:rsidRDefault="00A1091D" w:rsidP="00625F36">
      <w:pPr>
        <w:spacing w:line="360" w:lineRule="auto"/>
        <w:rPr>
          <w:rFonts w:ascii="Times New Roman" w:hAnsi="Times New Roman" w:cs="Times New Roman"/>
          <w:sz w:val="24"/>
          <w:szCs w:val="24"/>
        </w:rPr>
      </w:pPr>
      <w:r w:rsidRPr="0038510C">
        <w:rPr>
          <w:rFonts w:ascii="Times New Roman" w:hAnsi="Times New Roman" w:cs="Times New Roman"/>
          <w:sz w:val="24"/>
          <w:szCs w:val="24"/>
        </w:rPr>
        <w:t xml:space="preserve">This study investigated the coupling of action and perception by measuring </w:t>
      </w:r>
      <w:r w:rsidR="001D4A65" w:rsidRPr="0038510C">
        <w:rPr>
          <w:rFonts w:ascii="Times New Roman" w:hAnsi="Times New Roman" w:cs="Times New Roman"/>
          <w:sz w:val="24"/>
          <w:szCs w:val="24"/>
        </w:rPr>
        <w:t>modulations</w:t>
      </w:r>
      <w:r w:rsidRPr="0038510C">
        <w:rPr>
          <w:rFonts w:ascii="Times New Roman" w:hAnsi="Times New Roman" w:cs="Times New Roman"/>
          <w:sz w:val="24"/>
          <w:szCs w:val="24"/>
        </w:rPr>
        <w:t xml:space="preserve"> in sensory perception at the goal of movemen</w:t>
      </w:r>
      <w:r w:rsidR="008B1BA5" w:rsidRPr="0038510C">
        <w:rPr>
          <w:rFonts w:ascii="Times New Roman" w:hAnsi="Times New Roman" w:cs="Times New Roman"/>
          <w:sz w:val="24"/>
          <w:szCs w:val="24"/>
        </w:rPr>
        <w:t>ts towards different areas of</w:t>
      </w:r>
      <w:r w:rsidRPr="0038510C">
        <w:rPr>
          <w:rFonts w:ascii="Times New Roman" w:hAnsi="Times New Roman" w:cs="Times New Roman"/>
          <w:sz w:val="24"/>
          <w:szCs w:val="24"/>
        </w:rPr>
        <w:t xml:space="preserve"> space. </w:t>
      </w:r>
      <w:r w:rsidR="00F71921" w:rsidRPr="0038510C">
        <w:rPr>
          <w:rFonts w:ascii="Times New Roman" w:hAnsi="Times New Roman" w:cs="Times New Roman"/>
          <w:sz w:val="24"/>
          <w:szCs w:val="24"/>
        </w:rPr>
        <w:t xml:space="preserve">A </w:t>
      </w:r>
      <w:r w:rsidR="008338C6" w:rsidRPr="0038510C">
        <w:rPr>
          <w:rFonts w:ascii="Times New Roman" w:hAnsi="Times New Roman" w:cs="Times New Roman"/>
          <w:sz w:val="24"/>
          <w:szCs w:val="24"/>
        </w:rPr>
        <w:t>cue instructed</w:t>
      </w:r>
      <w:r w:rsidR="00F71921" w:rsidRPr="0038510C">
        <w:rPr>
          <w:rFonts w:ascii="Times New Roman" w:hAnsi="Times New Roman" w:cs="Times New Roman"/>
          <w:sz w:val="24"/>
          <w:szCs w:val="24"/>
        </w:rPr>
        <w:t xml:space="preserve"> participants </w:t>
      </w:r>
      <w:r w:rsidR="0026506D" w:rsidRPr="0038510C">
        <w:rPr>
          <w:rFonts w:ascii="Times New Roman" w:hAnsi="Times New Roman" w:cs="Times New Roman"/>
          <w:sz w:val="24"/>
          <w:szCs w:val="24"/>
        </w:rPr>
        <w:t>to prepare</w:t>
      </w:r>
      <w:r w:rsidR="00F71921" w:rsidRPr="0038510C">
        <w:rPr>
          <w:rFonts w:ascii="Times New Roman" w:hAnsi="Times New Roman" w:cs="Times New Roman"/>
          <w:sz w:val="24"/>
          <w:szCs w:val="24"/>
        </w:rPr>
        <w:t xml:space="preserve"> reaching movements towards goal locations in personal space</w:t>
      </w:r>
      <w:r w:rsidR="00F8178E" w:rsidRPr="0038510C">
        <w:rPr>
          <w:rFonts w:ascii="Times New Roman" w:hAnsi="Times New Roman" w:cs="Times New Roman"/>
          <w:sz w:val="24"/>
          <w:szCs w:val="24"/>
        </w:rPr>
        <w:t xml:space="preserve"> on the body surface</w:t>
      </w:r>
      <w:r w:rsidR="0026506D" w:rsidRPr="0038510C">
        <w:rPr>
          <w:rFonts w:ascii="Times New Roman" w:hAnsi="Times New Roman" w:cs="Times New Roman"/>
          <w:sz w:val="24"/>
          <w:szCs w:val="24"/>
        </w:rPr>
        <w:t xml:space="preserve"> </w:t>
      </w:r>
      <w:r w:rsidR="00F71921" w:rsidRPr="0038510C">
        <w:rPr>
          <w:rFonts w:ascii="Times New Roman" w:hAnsi="Times New Roman" w:cs="Times New Roman"/>
          <w:sz w:val="24"/>
          <w:szCs w:val="24"/>
        </w:rPr>
        <w:t>and peripersonal space</w:t>
      </w:r>
      <w:r w:rsidR="00F8178E" w:rsidRPr="0038510C">
        <w:rPr>
          <w:rFonts w:ascii="Times New Roman" w:hAnsi="Times New Roman" w:cs="Times New Roman"/>
          <w:sz w:val="24"/>
          <w:szCs w:val="24"/>
        </w:rPr>
        <w:t xml:space="preserve"> in front of them</w:t>
      </w:r>
      <w:r w:rsidR="00F71921" w:rsidRPr="0038510C">
        <w:rPr>
          <w:rFonts w:ascii="Times New Roman" w:hAnsi="Times New Roman" w:cs="Times New Roman"/>
          <w:sz w:val="24"/>
          <w:szCs w:val="24"/>
        </w:rPr>
        <w:t>. During movement preparation</w:t>
      </w:r>
      <w:r w:rsidR="0026506D" w:rsidRPr="0038510C">
        <w:rPr>
          <w:rFonts w:ascii="Times New Roman" w:hAnsi="Times New Roman" w:cs="Times New Roman"/>
          <w:sz w:val="24"/>
          <w:szCs w:val="24"/>
        </w:rPr>
        <w:t>,</w:t>
      </w:r>
      <w:r w:rsidR="00F71921" w:rsidRPr="0038510C">
        <w:rPr>
          <w:rFonts w:ascii="Times New Roman" w:hAnsi="Times New Roman" w:cs="Times New Roman"/>
          <w:sz w:val="24"/>
          <w:szCs w:val="24"/>
        </w:rPr>
        <w:t xml:space="preserve"> visua</w:t>
      </w:r>
      <w:r w:rsidR="006E21DD" w:rsidRPr="0038510C">
        <w:rPr>
          <w:rFonts w:ascii="Times New Roman" w:hAnsi="Times New Roman" w:cs="Times New Roman"/>
          <w:sz w:val="24"/>
          <w:szCs w:val="24"/>
        </w:rPr>
        <w:t>l task-irrelevant probe stimuli were</w:t>
      </w:r>
      <w:r w:rsidR="00F71921" w:rsidRPr="0038510C">
        <w:rPr>
          <w:rFonts w:ascii="Times New Roman" w:hAnsi="Times New Roman" w:cs="Times New Roman"/>
          <w:sz w:val="24"/>
          <w:szCs w:val="24"/>
        </w:rPr>
        <w:t xml:space="preserve"> presented at the goal</w:t>
      </w:r>
      <w:r w:rsidR="006E21DD" w:rsidRPr="0038510C">
        <w:rPr>
          <w:rFonts w:ascii="Times New Roman" w:hAnsi="Times New Roman" w:cs="Times New Roman"/>
          <w:sz w:val="24"/>
          <w:szCs w:val="24"/>
        </w:rPr>
        <w:t xml:space="preserve"> location</w:t>
      </w:r>
      <w:r w:rsidR="00F71921" w:rsidRPr="0038510C">
        <w:rPr>
          <w:rFonts w:ascii="Times New Roman" w:hAnsi="Times New Roman" w:cs="Times New Roman"/>
          <w:sz w:val="24"/>
          <w:szCs w:val="24"/>
        </w:rPr>
        <w:t xml:space="preserve"> of the </w:t>
      </w:r>
      <w:r w:rsidR="006E21DD" w:rsidRPr="0038510C">
        <w:rPr>
          <w:rFonts w:ascii="Times New Roman" w:hAnsi="Times New Roman" w:cs="Times New Roman"/>
          <w:sz w:val="24"/>
          <w:szCs w:val="24"/>
        </w:rPr>
        <w:t>movement</w:t>
      </w:r>
      <w:r w:rsidR="00CB07C4" w:rsidRPr="0038510C">
        <w:rPr>
          <w:rFonts w:ascii="Times New Roman" w:hAnsi="Times New Roman" w:cs="Times New Roman"/>
          <w:sz w:val="24"/>
          <w:szCs w:val="24"/>
        </w:rPr>
        <w:t xml:space="preserve"> towards peripersonal space</w:t>
      </w:r>
      <w:r w:rsidR="006E21DD" w:rsidRPr="0038510C">
        <w:rPr>
          <w:rFonts w:ascii="Times New Roman" w:hAnsi="Times New Roman" w:cs="Times New Roman"/>
          <w:sz w:val="24"/>
          <w:szCs w:val="24"/>
        </w:rPr>
        <w:t xml:space="preserve"> and</w:t>
      </w:r>
      <w:r w:rsidR="00F71921" w:rsidRPr="0038510C">
        <w:rPr>
          <w:rFonts w:ascii="Times New Roman" w:hAnsi="Times New Roman" w:cs="Times New Roman"/>
          <w:sz w:val="24"/>
          <w:szCs w:val="24"/>
        </w:rPr>
        <w:t xml:space="preserve"> tactile task-irrelevant probe</w:t>
      </w:r>
      <w:r w:rsidR="006E21DD" w:rsidRPr="0038510C">
        <w:rPr>
          <w:rFonts w:ascii="Times New Roman" w:hAnsi="Times New Roman" w:cs="Times New Roman"/>
          <w:sz w:val="24"/>
          <w:szCs w:val="24"/>
        </w:rPr>
        <w:t>s were delivered at</w:t>
      </w:r>
      <w:r w:rsidR="00F71921" w:rsidRPr="0038510C">
        <w:rPr>
          <w:rFonts w:ascii="Times New Roman" w:hAnsi="Times New Roman" w:cs="Times New Roman"/>
          <w:sz w:val="24"/>
          <w:szCs w:val="24"/>
        </w:rPr>
        <w:t xml:space="preserve"> the goal of the </w:t>
      </w:r>
      <w:r w:rsidR="00CB07C4" w:rsidRPr="0038510C">
        <w:rPr>
          <w:rFonts w:ascii="Times New Roman" w:hAnsi="Times New Roman" w:cs="Times New Roman"/>
          <w:sz w:val="24"/>
          <w:szCs w:val="24"/>
        </w:rPr>
        <w:t>movement towards personal space.</w:t>
      </w:r>
      <w:r w:rsidR="00F71921" w:rsidRPr="0038510C">
        <w:rPr>
          <w:rFonts w:ascii="Times New Roman" w:hAnsi="Times New Roman" w:cs="Times New Roman"/>
          <w:sz w:val="24"/>
          <w:szCs w:val="24"/>
        </w:rPr>
        <w:t xml:space="preserve"> Sensory perception at the goal locations was measured </w:t>
      </w:r>
      <w:r w:rsidR="00CB07C4" w:rsidRPr="0038510C">
        <w:rPr>
          <w:rFonts w:ascii="Times New Roman" w:hAnsi="Times New Roman" w:cs="Times New Roman"/>
          <w:sz w:val="24"/>
          <w:szCs w:val="24"/>
        </w:rPr>
        <w:t xml:space="preserve">as the </w:t>
      </w:r>
      <w:r w:rsidR="00F71921" w:rsidRPr="0038510C">
        <w:rPr>
          <w:rFonts w:ascii="Times New Roman" w:hAnsi="Times New Roman" w:cs="Times New Roman"/>
          <w:sz w:val="24"/>
          <w:szCs w:val="24"/>
        </w:rPr>
        <w:t xml:space="preserve">amplitude of event-related potential (ERP) components elicited by the probe stimuli. </w:t>
      </w:r>
      <w:r w:rsidR="0026506D" w:rsidRPr="0038510C">
        <w:rPr>
          <w:rFonts w:ascii="Times New Roman" w:hAnsi="Times New Roman" w:cs="Times New Roman"/>
          <w:sz w:val="24"/>
          <w:szCs w:val="24"/>
        </w:rPr>
        <w:t>ERP components elicited during personal and</w:t>
      </w:r>
      <w:r w:rsidR="008B1BA5" w:rsidRPr="0038510C">
        <w:rPr>
          <w:rFonts w:ascii="Times New Roman" w:hAnsi="Times New Roman" w:cs="Times New Roman"/>
          <w:sz w:val="24"/>
          <w:szCs w:val="24"/>
        </w:rPr>
        <w:t xml:space="preserve"> peri</w:t>
      </w:r>
      <w:r w:rsidR="0026506D" w:rsidRPr="0038510C">
        <w:rPr>
          <w:rFonts w:ascii="Times New Roman" w:hAnsi="Times New Roman" w:cs="Times New Roman"/>
          <w:sz w:val="24"/>
          <w:szCs w:val="24"/>
        </w:rPr>
        <w:t>personal movement preparation were compared in order to assess the sensory conseq</w:t>
      </w:r>
      <w:r w:rsidR="00472E91" w:rsidRPr="0038510C">
        <w:rPr>
          <w:rFonts w:ascii="Times New Roman" w:hAnsi="Times New Roman" w:cs="Times New Roman"/>
          <w:sz w:val="24"/>
          <w:szCs w:val="24"/>
        </w:rPr>
        <w:t>uences of movement</w:t>
      </w:r>
      <w:r w:rsidR="00E86C53" w:rsidRPr="0038510C">
        <w:rPr>
          <w:rFonts w:ascii="Times New Roman" w:hAnsi="Times New Roman" w:cs="Times New Roman"/>
          <w:sz w:val="24"/>
          <w:szCs w:val="24"/>
        </w:rPr>
        <w:t xml:space="preserve"> preparation towards</w:t>
      </w:r>
      <w:r w:rsidR="008B1BA5" w:rsidRPr="0038510C">
        <w:rPr>
          <w:rFonts w:ascii="Times New Roman" w:hAnsi="Times New Roman" w:cs="Times New Roman"/>
          <w:sz w:val="24"/>
          <w:szCs w:val="24"/>
        </w:rPr>
        <w:t xml:space="preserve"> different areas of</w:t>
      </w:r>
      <w:r w:rsidR="008A650D" w:rsidRPr="0038510C">
        <w:rPr>
          <w:rFonts w:ascii="Times New Roman" w:hAnsi="Times New Roman" w:cs="Times New Roman"/>
          <w:sz w:val="24"/>
          <w:szCs w:val="24"/>
        </w:rPr>
        <w:t xml:space="preserve"> space.</w:t>
      </w:r>
      <w:r w:rsidR="00C933EB" w:rsidRPr="0038510C">
        <w:rPr>
          <w:rFonts w:ascii="Times New Roman" w:hAnsi="Times New Roman" w:cs="Times New Roman"/>
          <w:sz w:val="24"/>
          <w:szCs w:val="24"/>
        </w:rPr>
        <w:t xml:space="preserve"> The key question was whether known links between movement preparation and visual sensory processing would generalise to somatosensory processing on unseen areas of the body surface.</w:t>
      </w:r>
    </w:p>
    <w:p w:rsidR="00C933EB" w:rsidRPr="0038510C" w:rsidRDefault="00C933EB" w:rsidP="00C933EB">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For the first time, we show that somatosensory processing at the goal of a movement towards the body shows a similar enhancement as observed previously in the visual domain (</w:t>
      </w:r>
      <w:r w:rsidR="00CB7C1C" w:rsidRPr="0038510C">
        <w:rPr>
          <w:rFonts w:ascii="Times New Roman" w:hAnsi="Times New Roman" w:cs="Times New Roman"/>
          <w:sz w:val="24"/>
          <w:szCs w:val="24"/>
        </w:rPr>
        <w:t>e.g. Gherri, van Velzen &amp; Eimer, 2009</w:t>
      </w:r>
      <w:r w:rsidRPr="0038510C">
        <w:rPr>
          <w:rFonts w:ascii="Times New Roman" w:hAnsi="Times New Roman" w:cs="Times New Roman"/>
          <w:sz w:val="24"/>
          <w:szCs w:val="24"/>
        </w:rPr>
        <w:t xml:space="preserve">); the somatosensory probe evoked N140 component was enhanced in amplitude during the preparation of a movement towards personal space compared to peripersonal space. This suggests that during movement preparation towards a goal on the body surface, tactile perceptual processing is facilitated near to the location of the movement goal. </w:t>
      </w:r>
      <w:r w:rsidR="005A10E1" w:rsidRPr="0038510C">
        <w:rPr>
          <w:rFonts w:ascii="Times New Roman" w:hAnsi="Times New Roman" w:cs="Times New Roman"/>
          <w:sz w:val="24"/>
          <w:szCs w:val="24"/>
        </w:rPr>
        <w:t xml:space="preserve">Although previous </w:t>
      </w:r>
      <w:r w:rsidRPr="0038510C">
        <w:rPr>
          <w:rFonts w:ascii="Times New Roman" w:hAnsi="Times New Roman" w:cs="Times New Roman"/>
          <w:sz w:val="24"/>
          <w:szCs w:val="24"/>
        </w:rPr>
        <w:t xml:space="preserve">behavioural (Rorden, 2002) and electrophysiological (Eimer, Forster, van Velzen &amp; Prabhu, 2005; Gherri &amp; Eimer, 2008) findings </w:t>
      </w:r>
      <w:r w:rsidR="005A10E1" w:rsidRPr="0038510C">
        <w:rPr>
          <w:rFonts w:ascii="Times New Roman" w:hAnsi="Times New Roman" w:cs="Times New Roman"/>
          <w:sz w:val="24"/>
          <w:szCs w:val="24"/>
        </w:rPr>
        <w:t xml:space="preserve">have shown </w:t>
      </w:r>
      <w:r w:rsidRPr="0038510C">
        <w:rPr>
          <w:rFonts w:ascii="Times New Roman" w:hAnsi="Times New Roman" w:cs="Times New Roman"/>
          <w:sz w:val="24"/>
          <w:szCs w:val="24"/>
        </w:rPr>
        <w:t>that preparing spatially directed movements results in enhanced responses to tactile stimuli presented at the goal locations relative to opposite locations</w:t>
      </w:r>
      <w:r w:rsidR="00A00A9F" w:rsidRPr="0038510C">
        <w:rPr>
          <w:rFonts w:ascii="Times New Roman" w:hAnsi="Times New Roman" w:cs="Times New Roman"/>
          <w:sz w:val="24"/>
          <w:szCs w:val="24"/>
        </w:rPr>
        <w:t>, ours is</w:t>
      </w:r>
      <w:r w:rsidR="005A10E1" w:rsidRPr="0038510C">
        <w:rPr>
          <w:rFonts w:ascii="Times New Roman" w:hAnsi="Times New Roman" w:cs="Times New Roman"/>
          <w:sz w:val="24"/>
          <w:szCs w:val="24"/>
        </w:rPr>
        <w:t xml:space="preserve"> the first demonstration of such links at the unseen goal of a movement towards the body</w:t>
      </w:r>
      <w:r w:rsidRPr="0038510C">
        <w:rPr>
          <w:rFonts w:ascii="Times New Roman" w:hAnsi="Times New Roman" w:cs="Times New Roman"/>
          <w:sz w:val="24"/>
          <w:szCs w:val="24"/>
        </w:rPr>
        <w:t xml:space="preserve">. </w:t>
      </w:r>
    </w:p>
    <w:p w:rsidR="00D7165D" w:rsidRDefault="00C933EB" w:rsidP="00C933EB">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 xml:space="preserve">The evidence provided here explores facilitation of sensory processing during spatially directed movements towards </w:t>
      </w:r>
      <w:r w:rsidR="00A05F72" w:rsidRPr="0038510C">
        <w:rPr>
          <w:rFonts w:ascii="Times New Roman" w:hAnsi="Times New Roman" w:cs="Times New Roman"/>
          <w:sz w:val="24"/>
          <w:szCs w:val="24"/>
        </w:rPr>
        <w:t xml:space="preserve">peripersonal as well as </w:t>
      </w:r>
      <w:r w:rsidRPr="0038510C">
        <w:rPr>
          <w:rFonts w:ascii="Times New Roman" w:hAnsi="Times New Roman" w:cs="Times New Roman"/>
          <w:sz w:val="24"/>
          <w:szCs w:val="24"/>
        </w:rPr>
        <w:t xml:space="preserve">personal space. Previous studies demonstrating modulations of the somatosensory N140 component by movement preparation delivered tactile stimulation to the hands, which were positioned in front of the participant (Eimer, Forster, van Velzen &amp; Prabhu, 2005; Gherri &amp; Eimer, 2008). Although in some cases the hands were occluded (Gherri &amp; Eimer, 2008) the goal of the movement was still situated in a location of space that is typically seen, and therefore located in visible space. Many of </w:t>
      </w:r>
      <w:r w:rsidRPr="0038510C">
        <w:rPr>
          <w:rFonts w:ascii="Times New Roman" w:hAnsi="Times New Roman" w:cs="Times New Roman"/>
          <w:sz w:val="24"/>
          <w:szCs w:val="24"/>
        </w:rPr>
        <w:lastRenderedPageBreak/>
        <w:t xml:space="preserve">the movements made towards personal space involve goal locations that cannot directly be viewed unless aided by the use of a mirror, for example movements towards the face, neck or upper chest. Control mechanisms for such movements presumably rely not on visual information but predominantly on tactile and proprioceptive information. The modulation of the N140 component by movement preparation reported here provides evidence </w:t>
      </w:r>
      <w:r w:rsidR="00A05F72" w:rsidRPr="0038510C">
        <w:rPr>
          <w:rFonts w:ascii="Times New Roman" w:hAnsi="Times New Roman" w:cs="Times New Roman"/>
          <w:sz w:val="24"/>
          <w:szCs w:val="24"/>
        </w:rPr>
        <w:t xml:space="preserve">that preparation of movements that rely on nonvisual sensory input leads to similar top-down effects on sensory processing. </w:t>
      </w:r>
      <w:r w:rsidR="00D7165D" w:rsidRPr="0038510C">
        <w:rPr>
          <w:rFonts w:ascii="Times New Roman" w:hAnsi="Times New Roman" w:cs="Times New Roman"/>
          <w:sz w:val="24"/>
          <w:szCs w:val="24"/>
        </w:rPr>
        <w:t xml:space="preserve">This, together with the fact that such modulations are observed when action is directed towards an unseen goal suggests that the top-down mechanisms driving these effects do not require visual access to task-relevant locations. </w:t>
      </w:r>
      <w:r w:rsidR="00647798" w:rsidRPr="0038510C">
        <w:rPr>
          <w:rFonts w:ascii="Times New Roman" w:hAnsi="Times New Roman" w:cs="Times New Roman"/>
          <w:sz w:val="24"/>
          <w:szCs w:val="24"/>
        </w:rPr>
        <w:t>Although the goal location of the movement toward personal space was not visible to participants, it is worth noting that the hand was not occluded from vision. Visual information was therefore partly available during movement preparation toward personal space. It is therefore not known whether the same pattern of effects arises when visual information of the effector limb is removed entirely.  In order to strengthen the claim that such movements rely more on tactile and proprioceptive information, future investigations should occlude the hand and arm from participants view.</w:t>
      </w:r>
    </w:p>
    <w:p w:rsidR="00E118B1" w:rsidRPr="00E118B1" w:rsidRDefault="00E118B1" w:rsidP="00E118B1">
      <w:pPr>
        <w:suppressAutoHyphens w:val="0"/>
        <w:spacing w:after="0" w:line="360" w:lineRule="auto"/>
        <w:jc w:val="both"/>
        <w:rPr>
          <w:rFonts w:ascii="Times" w:eastAsia="Times New Roman" w:hAnsi="Times" w:cs="Times New Roman"/>
          <w:kern w:val="0"/>
          <w:sz w:val="24"/>
          <w:szCs w:val="24"/>
          <w:lang w:eastAsia="en-US"/>
        </w:rPr>
      </w:pPr>
      <w:r w:rsidRPr="00E118B1">
        <w:rPr>
          <w:rFonts w:ascii="Times New Roman" w:eastAsia="Times New Roman" w:hAnsi="Times New Roman" w:cs="Times New Roman"/>
          <w:color w:val="222222"/>
          <w:kern w:val="0"/>
          <w:sz w:val="24"/>
          <w:szCs w:val="24"/>
          <w:shd w:val="clear" w:color="auto" w:fill="FFFFFF"/>
          <w:lang w:eastAsia="en-US"/>
        </w:rPr>
        <w:t>It is also noteworthy that reaction times as well as movement durations were faster when movements were directed towards the personal goal compared to the peripersonal goal, suggesting additional processing requirements for preparation of the latter. Whilst well known visual-motor transformations support movement planning towards visual targets in peripersonal space (</w:t>
      </w:r>
      <w:bookmarkStart w:id="0" w:name="OPT_ID_342"/>
      <w:r w:rsidRPr="00E118B1">
        <w:rPr>
          <w:rFonts w:ascii="Times New Roman" w:eastAsia="Times New Roman" w:hAnsi="Times New Roman" w:cs="Times New Roman"/>
          <w:kern w:val="0"/>
          <w:sz w:val="24"/>
          <w:szCs w:val="24"/>
          <w:shd w:val="clear" w:color="auto" w:fill="FFFFFF"/>
          <w:lang w:eastAsia="en-US"/>
        </w:rPr>
        <w:t>Soechting and Flanders</w:t>
      </w:r>
      <w:bookmarkEnd w:id="0"/>
      <w:r>
        <w:rPr>
          <w:rFonts w:ascii="Times New Roman" w:eastAsia="Times New Roman" w:hAnsi="Times New Roman" w:cs="Times New Roman"/>
          <w:kern w:val="0"/>
          <w:sz w:val="24"/>
          <w:szCs w:val="24"/>
          <w:shd w:val="clear" w:color="auto" w:fill="FFFFFF"/>
          <w:lang w:eastAsia="en-US"/>
        </w:rPr>
        <w:t>, 1992)</w:t>
      </w:r>
      <w:r w:rsidRPr="00E118B1">
        <w:rPr>
          <w:rFonts w:ascii="Times New Roman" w:eastAsia="Times New Roman" w:hAnsi="Times New Roman" w:cs="Times New Roman"/>
          <w:color w:val="222222"/>
          <w:kern w:val="0"/>
          <w:sz w:val="24"/>
          <w:szCs w:val="24"/>
          <w:shd w:val="clear" w:color="auto" w:fill="FFFFFF"/>
          <w:lang w:eastAsia="en-US"/>
        </w:rPr>
        <w:t xml:space="preserve"> less is known about the equivalent transformations required for movements towards body targets in personal space. However, reaching movements towards body targets rely on proprioceptive inputs already defined in intrinsic body coordinates, rather than more complex visual-motor transformations required for movements toward visual targets. This difference in the sensorimotor demands required to successfully complete the movements may explain the slower reaction times for movements towards the peripersonal goal relative to the personal goal. The findings here are a first step towards clarifying the mechanisms involved in movements towards unseen body space.</w:t>
      </w:r>
    </w:p>
    <w:p w:rsidR="00E118B1" w:rsidRPr="0038510C" w:rsidRDefault="00E118B1" w:rsidP="00C933EB">
      <w:pPr>
        <w:spacing w:line="360" w:lineRule="auto"/>
        <w:jc w:val="both"/>
        <w:rPr>
          <w:rFonts w:ascii="Times New Roman" w:hAnsi="Times New Roman" w:cs="Times New Roman"/>
          <w:sz w:val="24"/>
          <w:szCs w:val="24"/>
        </w:rPr>
      </w:pPr>
    </w:p>
    <w:p w:rsidR="006E598E" w:rsidRPr="0038510C" w:rsidRDefault="00321CC1" w:rsidP="00625F36">
      <w:pPr>
        <w:spacing w:line="360" w:lineRule="auto"/>
        <w:rPr>
          <w:rFonts w:ascii="Times New Roman" w:hAnsi="Times New Roman" w:cs="Times New Roman"/>
          <w:sz w:val="24"/>
          <w:szCs w:val="24"/>
        </w:rPr>
      </w:pPr>
      <w:r w:rsidRPr="0038510C">
        <w:rPr>
          <w:rFonts w:ascii="Times New Roman" w:hAnsi="Times New Roman" w:cs="Times New Roman"/>
          <w:sz w:val="24"/>
          <w:szCs w:val="24"/>
        </w:rPr>
        <w:t>As expected, visual processing near the movement goal in peripersonal space was enhanced when a reach</w:t>
      </w:r>
      <w:r w:rsidR="00FA68AA" w:rsidRPr="0038510C">
        <w:rPr>
          <w:rFonts w:ascii="Times New Roman" w:hAnsi="Times New Roman" w:cs="Times New Roman"/>
          <w:sz w:val="24"/>
          <w:szCs w:val="24"/>
        </w:rPr>
        <w:t>ing movement</w:t>
      </w:r>
      <w:r w:rsidRPr="0038510C">
        <w:rPr>
          <w:rFonts w:ascii="Times New Roman" w:hAnsi="Times New Roman" w:cs="Times New Roman"/>
          <w:sz w:val="24"/>
          <w:szCs w:val="24"/>
        </w:rPr>
        <w:t xml:space="preserve"> away from the body was prepared. This was evident from enlarged early ERP components over posterior-occipital scalp areas. These early components reflect </w:t>
      </w:r>
      <w:r w:rsidR="00A15FD2" w:rsidRPr="0038510C">
        <w:rPr>
          <w:rFonts w:ascii="Times New Roman" w:hAnsi="Times New Roman" w:cs="Times New Roman"/>
          <w:sz w:val="24"/>
          <w:szCs w:val="24"/>
        </w:rPr>
        <w:t>activity of extrastr</w:t>
      </w:r>
      <w:r w:rsidR="00C933EB" w:rsidRPr="0038510C">
        <w:rPr>
          <w:rFonts w:ascii="Times New Roman" w:hAnsi="Times New Roman" w:cs="Times New Roman"/>
          <w:sz w:val="24"/>
          <w:szCs w:val="24"/>
        </w:rPr>
        <w:t>ia</w:t>
      </w:r>
      <w:r w:rsidR="00A15FD2" w:rsidRPr="0038510C">
        <w:rPr>
          <w:rFonts w:ascii="Times New Roman" w:hAnsi="Times New Roman" w:cs="Times New Roman"/>
          <w:sz w:val="24"/>
          <w:szCs w:val="24"/>
        </w:rPr>
        <w:t>te visual cortices</w:t>
      </w:r>
      <w:r w:rsidRPr="0038510C">
        <w:rPr>
          <w:rFonts w:ascii="Times New Roman" w:hAnsi="Times New Roman" w:cs="Times New Roman"/>
          <w:sz w:val="24"/>
          <w:szCs w:val="24"/>
        </w:rPr>
        <w:t xml:space="preserve"> and their modulation confirm</w:t>
      </w:r>
      <w:r w:rsidR="00B06125" w:rsidRPr="0038510C">
        <w:rPr>
          <w:rFonts w:ascii="Times New Roman" w:hAnsi="Times New Roman" w:cs="Times New Roman"/>
          <w:sz w:val="24"/>
          <w:szCs w:val="24"/>
        </w:rPr>
        <w:t xml:space="preserve">s the links </w:t>
      </w:r>
      <w:r w:rsidR="00B06125" w:rsidRPr="0038510C">
        <w:rPr>
          <w:rFonts w:ascii="Times New Roman" w:hAnsi="Times New Roman" w:cs="Times New Roman"/>
          <w:sz w:val="24"/>
          <w:szCs w:val="24"/>
        </w:rPr>
        <w:lastRenderedPageBreak/>
        <w:t>previously observed of enhanced probe evoked N1 amplitudes near to the goal location of planned reaching movements (Gherri, van Velzen &amp; Eimer, 2009) as well as manual responses (Eimer, van Velzen, Gherri &amp; Press, 2006; Gherri &amp; Eimer, 2010) and at the location of upcoming sac</w:t>
      </w:r>
      <w:r w:rsidR="00DA6545" w:rsidRPr="0038510C">
        <w:rPr>
          <w:rFonts w:ascii="Times New Roman" w:hAnsi="Times New Roman" w:cs="Times New Roman"/>
          <w:sz w:val="24"/>
          <w:szCs w:val="24"/>
        </w:rPr>
        <w:t>cadic eye-movements (Eimer, van Velzen, Gherri &amp; Press</w:t>
      </w:r>
      <w:r w:rsidR="00B06125" w:rsidRPr="0038510C">
        <w:rPr>
          <w:rFonts w:ascii="Times New Roman" w:hAnsi="Times New Roman" w:cs="Times New Roman"/>
          <w:sz w:val="24"/>
          <w:szCs w:val="24"/>
        </w:rPr>
        <w:t>, 2007).</w:t>
      </w:r>
      <w:r w:rsidR="00D7165D" w:rsidRPr="0038510C">
        <w:rPr>
          <w:rFonts w:ascii="Times New Roman" w:hAnsi="Times New Roman" w:cs="Times New Roman"/>
          <w:sz w:val="24"/>
          <w:szCs w:val="24"/>
        </w:rPr>
        <w:t xml:space="preserve"> Note that </w:t>
      </w:r>
      <w:r w:rsidR="009C49AF" w:rsidRPr="0038510C">
        <w:rPr>
          <w:rFonts w:ascii="Times New Roman" w:hAnsi="Times New Roman" w:cs="Times New Roman"/>
          <w:sz w:val="24"/>
          <w:szCs w:val="24"/>
        </w:rPr>
        <w:t>in</w:t>
      </w:r>
      <w:r w:rsidR="00D7165D" w:rsidRPr="0038510C">
        <w:rPr>
          <w:rFonts w:ascii="Times New Roman" w:hAnsi="Times New Roman" w:cs="Times New Roman"/>
          <w:sz w:val="24"/>
          <w:szCs w:val="24"/>
        </w:rPr>
        <w:t xml:space="preserve"> these previous studies a goal location had to be selected from multiple </w:t>
      </w:r>
      <w:r w:rsidR="009C49AF" w:rsidRPr="0038510C">
        <w:rPr>
          <w:rFonts w:ascii="Times New Roman" w:hAnsi="Times New Roman" w:cs="Times New Roman"/>
          <w:sz w:val="24"/>
          <w:szCs w:val="24"/>
        </w:rPr>
        <w:t xml:space="preserve">possible </w:t>
      </w:r>
      <w:r w:rsidR="00D7165D" w:rsidRPr="0038510C">
        <w:rPr>
          <w:rFonts w:ascii="Times New Roman" w:hAnsi="Times New Roman" w:cs="Times New Roman"/>
          <w:sz w:val="24"/>
          <w:szCs w:val="24"/>
        </w:rPr>
        <w:t>goal</w:t>
      </w:r>
      <w:r w:rsidR="009C49AF" w:rsidRPr="0038510C">
        <w:rPr>
          <w:rFonts w:ascii="Times New Roman" w:hAnsi="Times New Roman" w:cs="Times New Roman"/>
          <w:sz w:val="24"/>
          <w:szCs w:val="24"/>
        </w:rPr>
        <w:t>s</w:t>
      </w:r>
      <w:r w:rsidR="00D7165D" w:rsidRPr="0038510C">
        <w:rPr>
          <w:rFonts w:ascii="Times New Roman" w:hAnsi="Times New Roman" w:cs="Times New Roman"/>
          <w:sz w:val="24"/>
          <w:szCs w:val="24"/>
        </w:rPr>
        <w:t xml:space="preserve"> in </w:t>
      </w:r>
      <w:r w:rsidR="009C49AF" w:rsidRPr="0038510C">
        <w:rPr>
          <w:rFonts w:ascii="Times New Roman" w:hAnsi="Times New Roman" w:cs="Times New Roman"/>
          <w:sz w:val="24"/>
          <w:szCs w:val="24"/>
        </w:rPr>
        <w:t>peri</w:t>
      </w:r>
      <w:r w:rsidR="00D7165D" w:rsidRPr="0038510C">
        <w:rPr>
          <w:rFonts w:ascii="Times New Roman" w:hAnsi="Times New Roman" w:cs="Times New Roman"/>
          <w:sz w:val="24"/>
          <w:szCs w:val="24"/>
        </w:rPr>
        <w:t xml:space="preserve">personal </w:t>
      </w:r>
      <w:r w:rsidR="009C49AF" w:rsidRPr="0038510C">
        <w:rPr>
          <w:rFonts w:ascii="Times New Roman" w:hAnsi="Times New Roman" w:cs="Times New Roman"/>
          <w:sz w:val="24"/>
          <w:szCs w:val="24"/>
        </w:rPr>
        <w:t xml:space="preserve">space. By contrast, </w:t>
      </w:r>
      <w:r w:rsidR="00D7165D" w:rsidRPr="0038510C">
        <w:rPr>
          <w:rFonts w:ascii="Times New Roman" w:hAnsi="Times New Roman" w:cs="Times New Roman"/>
          <w:sz w:val="24"/>
          <w:szCs w:val="24"/>
        </w:rPr>
        <w:t>the current study had only one possi</w:t>
      </w:r>
      <w:r w:rsidR="009C49AF" w:rsidRPr="0038510C">
        <w:rPr>
          <w:rFonts w:ascii="Times New Roman" w:hAnsi="Times New Roman" w:cs="Times New Roman"/>
          <w:sz w:val="24"/>
          <w:szCs w:val="24"/>
        </w:rPr>
        <w:t>ble goal in peripersonal space. Our findings suggest that competition between possible visible goals is not a necessary condition in order to demonstrate enhanced visual processing at the goal location.</w:t>
      </w:r>
      <w:r w:rsidR="00D7165D" w:rsidRPr="0038510C">
        <w:rPr>
          <w:rFonts w:ascii="Times New Roman" w:hAnsi="Times New Roman" w:cs="Times New Roman"/>
          <w:sz w:val="24"/>
          <w:szCs w:val="24"/>
        </w:rPr>
        <w:t xml:space="preserve"> </w:t>
      </w:r>
    </w:p>
    <w:p w:rsidR="00D73CD4" w:rsidRPr="0038510C" w:rsidRDefault="00E92262" w:rsidP="00625F36">
      <w:pPr>
        <w:spacing w:line="360" w:lineRule="auto"/>
        <w:jc w:val="both"/>
        <w:rPr>
          <w:rFonts w:ascii="Times New Roman" w:hAnsi="Times New Roman" w:cs="Times New Roman"/>
          <w:sz w:val="24"/>
          <w:szCs w:val="24"/>
        </w:rPr>
      </w:pPr>
      <w:r w:rsidRPr="0038510C">
        <w:rPr>
          <w:rFonts w:ascii="Times New Roman" w:hAnsi="Times New Roman" w:cs="Times New Roman"/>
          <w:sz w:val="24"/>
          <w:szCs w:val="24"/>
        </w:rPr>
        <w:t>P</w:t>
      </w:r>
      <w:r w:rsidR="00E63659" w:rsidRPr="0038510C">
        <w:rPr>
          <w:rFonts w:ascii="Times New Roman" w:hAnsi="Times New Roman" w:cs="Times New Roman"/>
          <w:sz w:val="24"/>
          <w:szCs w:val="24"/>
        </w:rPr>
        <w:t>erception-action coupling</w:t>
      </w:r>
      <w:r w:rsidR="00421AF0" w:rsidRPr="0038510C">
        <w:rPr>
          <w:rFonts w:ascii="Times New Roman" w:hAnsi="Times New Roman" w:cs="Times New Roman"/>
          <w:sz w:val="24"/>
          <w:szCs w:val="24"/>
        </w:rPr>
        <w:t xml:space="preserve"> research often demonstrates the remarkable similarities between the modulations of sensory perception </w:t>
      </w:r>
      <w:r w:rsidR="005A6C62" w:rsidRPr="0038510C">
        <w:rPr>
          <w:rFonts w:ascii="Times New Roman" w:hAnsi="Times New Roman" w:cs="Times New Roman"/>
          <w:sz w:val="24"/>
          <w:szCs w:val="24"/>
        </w:rPr>
        <w:t>resulting from shifts of covert attention and movement preparation</w:t>
      </w:r>
      <w:r w:rsidR="00D73CD4" w:rsidRPr="0038510C">
        <w:rPr>
          <w:rFonts w:ascii="Times New Roman" w:hAnsi="Times New Roman" w:cs="Times New Roman"/>
          <w:sz w:val="24"/>
          <w:szCs w:val="24"/>
        </w:rPr>
        <w:t>. These</w:t>
      </w:r>
      <w:r w:rsidR="00421AF0" w:rsidRPr="0038510C">
        <w:rPr>
          <w:rFonts w:ascii="Times New Roman" w:hAnsi="Times New Roman" w:cs="Times New Roman"/>
          <w:sz w:val="24"/>
          <w:szCs w:val="24"/>
        </w:rPr>
        <w:t xml:space="preserve"> similar modulations of sensory processing support </w:t>
      </w:r>
      <w:r w:rsidR="00D73CD4" w:rsidRPr="0038510C">
        <w:rPr>
          <w:rFonts w:ascii="Times New Roman" w:hAnsi="Times New Roman" w:cs="Times New Roman"/>
          <w:sz w:val="24"/>
          <w:szCs w:val="24"/>
        </w:rPr>
        <w:t>the claim that attention and action share common control mechanisms (Rizzolatti et al, 1987)</w:t>
      </w:r>
      <w:r w:rsidR="00421AF0" w:rsidRPr="0038510C">
        <w:rPr>
          <w:rFonts w:ascii="Times New Roman" w:hAnsi="Times New Roman" w:cs="Times New Roman"/>
          <w:sz w:val="24"/>
          <w:szCs w:val="24"/>
        </w:rPr>
        <w:t>. Much of the evidence has focused on the shared control mechanisms of eye-movement preparation</w:t>
      </w:r>
      <w:r w:rsidR="004E5440" w:rsidRPr="0038510C">
        <w:rPr>
          <w:rFonts w:ascii="Times New Roman" w:hAnsi="Times New Roman" w:cs="Times New Roman"/>
          <w:sz w:val="24"/>
          <w:szCs w:val="24"/>
        </w:rPr>
        <w:t xml:space="preserve"> and visual-spatial attention. Growing evidence is suggesting that this coupling of action and perception extends</w:t>
      </w:r>
      <w:r w:rsidR="00421AF0" w:rsidRPr="0038510C">
        <w:rPr>
          <w:rFonts w:ascii="Times New Roman" w:hAnsi="Times New Roman" w:cs="Times New Roman"/>
          <w:sz w:val="24"/>
          <w:szCs w:val="24"/>
        </w:rPr>
        <w:t xml:space="preserve"> beyond the </w:t>
      </w:r>
      <w:r w:rsidR="004E5440" w:rsidRPr="0038510C">
        <w:rPr>
          <w:rFonts w:ascii="Times New Roman" w:hAnsi="Times New Roman" w:cs="Times New Roman"/>
          <w:sz w:val="24"/>
          <w:szCs w:val="24"/>
        </w:rPr>
        <w:t xml:space="preserve">oculomotor and visual attention domains. The preparation of eye, manual and reaching movements have been shown to reliably alter the processing of not only visual, but also tactile sensory processing. </w:t>
      </w:r>
      <w:r w:rsidRPr="0038510C">
        <w:rPr>
          <w:rFonts w:ascii="Times New Roman" w:hAnsi="Times New Roman" w:cs="Times New Roman"/>
          <w:sz w:val="24"/>
          <w:szCs w:val="24"/>
        </w:rPr>
        <w:t xml:space="preserve">Our </w:t>
      </w:r>
      <w:r w:rsidR="00377C05" w:rsidRPr="0038510C">
        <w:rPr>
          <w:rFonts w:ascii="Times New Roman" w:hAnsi="Times New Roman" w:cs="Times New Roman"/>
          <w:sz w:val="24"/>
          <w:szCs w:val="24"/>
        </w:rPr>
        <w:t xml:space="preserve">results extend the supporting evidence for </w:t>
      </w:r>
      <w:r w:rsidRPr="0038510C">
        <w:rPr>
          <w:rFonts w:ascii="Times New Roman" w:hAnsi="Times New Roman" w:cs="Times New Roman"/>
          <w:sz w:val="24"/>
          <w:szCs w:val="24"/>
        </w:rPr>
        <w:t>tight coupling between action and perception</w:t>
      </w:r>
      <w:r w:rsidR="00377C05" w:rsidRPr="0038510C">
        <w:rPr>
          <w:rFonts w:ascii="Times New Roman" w:hAnsi="Times New Roman" w:cs="Times New Roman"/>
          <w:sz w:val="24"/>
          <w:szCs w:val="24"/>
        </w:rPr>
        <w:t xml:space="preserve"> by demonstrating that motor planning affects sensory processing </w:t>
      </w:r>
      <w:r w:rsidRPr="0038510C">
        <w:rPr>
          <w:rFonts w:ascii="Times New Roman" w:hAnsi="Times New Roman" w:cs="Times New Roman"/>
          <w:sz w:val="24"/>
          <w:szCs w:val="24"/>
        </w:rPr>
        <w:t>in a previously unstudied functional area of space</w:t>
      </w:r>
      <w:r w:rsidR="00D14D65" w:rsidRPr="0038510C">
        <w:rPr>
          <w:rFonts w:ascii="Times New Roman" w:hAnsi="Times New Roman" w:cs="Times New Roman"/>
          <w:sz w:val="24"/>
          <w:szCs w:val="24"/>
        </w:rPr>
        <w:t>, in particular at locations on the body surface</w:t>
      </w:r>
      <w:r w:rsidRPr="0038510C">
        <w:rPr>
          <w:rFonts w:ascii="Times New Roman" w:hAnsi="Times New Roman" w:cs="Times New Roman"/>
          <w:sz w:val="24"/>
          <w:szCs w:val="24"/>
        </w:rPr>
        <w:t xml:space="preserve">. Further, we show that the </w:t>
      </w:r>
      <w:r w:rsidR="00D14D65" w:rsidRPr="0038510C">
        <w:rPr>
          <w:rFonts w:ascii="Times New Roman" w:hAnsi="Times New Roman" w:cs="Times New Roman"/>
          <w:sz w:val="24"/>
          <w:szCs w:val="24"/>
        </w:rPr>
        <w:t xml:space="preserve">mechanisms that set up the </w:t>
      </w:r>
      <w:r w:rsidRPr="0038510C">
        <w:rPr>
          <w:rFonts w:ascii="Times New Roman" w:hAnsi="Times New Roman" w:cs="Times New Roman"/>
          <w:sz w:val="24"/>
          <w:szCs w:val="24"/>
        </w:rPr>
        <w:t>spatially specific modulation of sensory processing across the movement space (</w:t>
      </w:r>
      <w:r w:rsidR="00D14D65" w:rsidRPr="0038510C">
        <w:rPr>
          <w:rFonts w:ascii="Times New Roman" w:hAnsi="Times New Roman" w:cs="Times New Roman"/>
          <w:sz w:val="24"/>
          <w:szCs w:val="24"/>
        </w:rPr>
        <w:t xml:space="preserve">see </w:t>
      </w:r>
      <w:r w:rsidR="00CB7C1C" w:rsidRPr="0038510C">
        <w:rPr>
          <w:rFonts w:ascii="Times New Roman" w:hAnsi="Times New Roman" w:cs="Times New Roman"/>
          <w:sz w:val="24"/>
          <w:szCs w:val="24"/>
        </w:rPr>
        <w:t>Baldauf and Deubel, 2009; 2010</w:t>
      </w:r>
      <w:r w:rsidR="00D14D65" w:rsidRPr="0038510C">
        <w:rPr>
          <w:rFonts w:ascii="Times New Roman" w:hAnsi="Times New Roman" w:cs="Times New Roman"/>
          <w:sz w:val="24"/>
          <w:szCs w:val="24"/>
        </w:rPr>
        <w:t>, Mason et al, 2015</w:t>
      </w:r>
      <w:r w:rsidRPr="0038510C">
        <w:rPr>
          <w:rFonts w:ascii="Times New Roman" w:hAnsi="Times New Roman" w:cs="Times New Roman"/>
          <w:sz w:val="24"/>
          <w:szCs w:val="24"/>
        </w:rPr>
        <w:t>)</w:t>
      </w:r>
      <w:r w:rsidR="00D14D65" w:rsidRPr="0038510C">
        <w:rPr>
          <w:rFonts w:ascii="Times New Roman" w:hAnsi="Times New Roman" w:cs="Times New Roman"/>
          <w:sz w:val="24"/>
          <w:szCs w:val="24"/>
        </w:rPr>
        <w:t xml:space="preserve"> do not require visual access of that movement space. These ‘attentional landscapes’ that have previously been identified for visual processing in peripersonal space may have an equivalent for </w:t>
      </w:r>
      <w:r w:rsidR="00D94A1B" w:rsidRPr="0038510C">
        <w:rPr>
          <w:rFonts w:ascii="Times New Roman" w:hAnsi="Times New Roman" w:cs="Times New Roman"/>
          <w:sz w:val="24"/>
          <w:szCs w:val="24"/>
        </w:rPr>
        <w:t>somatosensation</w:t>
      </w:r>
      <w:r w:rsidR="00D14D65" w:rsidRPr="0038510C">
        <w:rPr>
          <w:rFonts w:ascii="Times New Roman" w:hAnsi="Times New Roman" w:cs="Times New Roman"/>
          <w:sz w:val="24"/>
          <w:szCs w:val="24"/>
        </w:rPr>
        <w:t xml:space="preserve"> on the b</w:t>
      </w:r>
      <w:r w:rsidR="00D94A1B" w:rsidRPr="0038510C">
        <w:rPr>
          <w:rFonts w:ascii="Times New Roman" w:hAnsi="Times New Roman" w:cs="Times New Roman"/>
          <w:sz w:val="24"/>
          <w:szCs w:val="24"/>
        </w:rPr>
        <w:t>ody surface</w:t>
      </w:r>
      <w:r w:rsidR="00D14D65" w:rsidRPr="0038510C">
        <w:rPr>
          <w:rFonts w:ascii="Times New Roman" w:hAnsi="Times New Roman" w:cs="Times New Roman"/>
          <w:sz w:val="24"/>
          <w:szCs w:val="24"/>
        </w:rPr>
        <w:t xml:space="preserve">. </w:t>
      </w:r>
      <w:r w:rsidR="00D94A1B" w:rsidRPr="0038510C">
        <w:rPr>
          <w:rFonts w:ascii="Times New Roman" w:hAnsi="Times New Roman" w:cs="Times New Roman"/>
          <w:sz w:val="24"/>
          <w:szCs w:val="24"/>
        </w:rPr>
        <w:t>Determining the specific features of such landscapes in terms of spatial and temporal dynamics requires further investigation.</w:t>
      </w:r>
    </w:p>
    <w:p w:rsidR="00B44B37" w:rsidRPr="0038510C" w:rsidRDefault="00B44B37" w:rsidP="00625F36">
      <w:pPr>
        <w:numPr>
          <w:ilvl w:val="0"/>
          <w:numId w:val="1"/>
        </w:numPr>
        <w:spacing w:line="360" w:lineRule="auto"/>
        <w:jc w:val="center"/>
        <w:rPr>
          <w:rFonts w:ascii="Times New Roman" w:hAnsi="Times New Roman" w:cs="Times New Roman"/>
          <w:b/>
          <w:sz w:val="24"/>
          <w:szCs w:val="24"/>
        </w:rPr>
      </w:pPr>
      <w:r w:rsidRPr="0038510C">
        <w:rPr>
          <w:rFonts w:ascii="Times New Roman" w:hAnsi="Times New Roman" w:cs="Times New Roman"/>
          <w:b/>
          <w:sz w:val="24"/>
          <w:szCs w:val="24"/>
        </w:rPr>
        <w:t>References</w:t>
      </w:r>
    </w:p>
    <w:p w:rsidR="00AE0A4B" w:rsidRPr="0038510C" w:rsidRDefault="00AE0A4B" w:rsidP="00AE0A4B">
      <w:pPr>
        <w:pStyle w:val="NormalWeb"/>
        <w:spacing w:line="360" w:lineRule="auto"/>
        <w:ind w:left="480" w:hanging="480"/>
        <w:rPr>
          <w:rFonts w:ascii="Times New Roman" w:hAnsi="Times New Roman"/>
          <w:noProof/>
          <w:sz w:val="24"/>
          <w:szCs w:val="24"/>
        </w:rPr>
      </w:pPr>
      <w:r w:rsidRPr="0038510C">
        <w:rPr>
          <w:rFonts w:ascii="Times New Roman" w:hAnsi="Times New Roman"/>
          <w:noProof/>
          <w:sz w:val="24"/>
          <w:szCs w:val="24"/>
          <w:lang w:val="nl-NL"/>
        </w:rPr>
        <w:t xml:space="preserve">Astafiev, S. V, Shulman, G. L., Stanley, C. M., Snyder, A. Z., Essen, D. C. Van, &amp; Corbetta, M. (2003). </w:t>
      </w:r>
      <w:r w:rsidRPr="0038510C">
        <w:rPr>
          <w:rFonts w:ascii="Times New Roman" w:hAnsi="Times New Roman"/>
          <w:noProof/>
          <w:sz w:val="24"/>
          <w:szCs w:val="24"/>
        </w:rPr>
        <w:t xml:space="preserve">Functional Organization of Human Intraparietal and Frontal Cortex for Attending , Looking , and Pointing, </w:t>
      </w:r>
      <w:r w:rsidRPr="0038510C">
        <w:rPr>
          <w:rFonts w:ascii="Times New Roman" w:hAnsi="Times New Roman"/>
          <w:i/>
          <w:iCs/>
          <w:noProof/>
          <w:sz w:val="24"/>
          <w:szCs w:val="24"/>
        </w:rPr>
        <w:t>23</w:t>
      </w:r>
      <w:r w:rsidRPr="0038510C">
        <w:rPr>
          <w:rFonts w:ascii="Times New Roman" w:hAnsi="Times New Roman"/>
          <w:noProof/>
          <w:sz w:val="24"/>
          <w:szCs w:val="24"/>
        </w:rPr>
        <w:t>(11), 4689–4699.</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lastRenderedPageBreak/>
        <w:t xml:space="preserve">Baldauf, D., &amp; Deubel, H. (2009). Attentional selection of multiple goal positions before rapid hand movement sequences: An event-related potential study. </w:t>
      </w:r>
      <w:r w:rsidRPr="0038510C">
        <w:rPr>
          <w:rFonts w:ascii="Times New Roman" w:hAnsi="Times New Roman" w:cs="Times New Roman"/>
          <w:i/>
          <w:iCs/>
          <w:sz w:val="24"/>
          <w:szCs w:val="24"/>
        </w:rPr>
        <w:t>Journal of Cognitive Neuroscience</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21</w:t>
      </w:r>
      <w:r w:rsidRPr="0038510C">
        <w:rPr>
          <w:rFonts w:ascii="Times New Roman" w:hAnsi="Times New Roman" w:cs="Times New Roman"/>
          <w:sz w:val="24"/>
          <w:szCs w:val="24"/>
        </w:rPr>
        <w:t>(1), 18-29.</w:t>
      </w:r>
    </w:p>
    <w:p w:rsidR="007659D0" w:rsidRPr="0038510C" w:rsidRDefault="00CB7C1C" w:rsidP="0073390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Baldauf, D., &amp; Deubel, H. (2010). Attentional landscapes in reaching and grasping. </w:t>
      </w:r>
      <w:r w:rsidRPr="0038510C">
        <w:rPr>
          <w:rFonts w:ascii="Times New Roman" w:hAnsi="Times New Roman" w:cs="Times New Roman"/>
          <w:i/>
          <w:iCs/>
          <w:sz w:val="24"/>
          <w:szCs w:val="24"/>
        </w:rPr>
        <w:t>Vision research</w:t>
      </w:r>
      <w:r w:rsidRPr="0038510C">
        <w:rPr>
          <w:rFonts w:ascii="Times New Roman" w:hAnsi="Times New Roman" w:cs="Times New Roman"/>
          <w:sz w:val="24"/>
          <w:szCs w:val="24"/>
        </w:rPr>
        <w:t>, </w:t>
      </w:r>
      <w:r w:rsidRPr="0038510C">
        <w:rPr>
          <w:rFonts w:ascii="Times New Roman" w:hAnsi="Times New Roman" w:cs="Times New Roman"/>
          <w:i/>
          <w:iCs/>
          <w:sz w:val="24"/>
          <w:szCs w:val="24"/>
        </w:rPr>
        <w:t>50</w:t>
      </w:r>
      <w:r w:rsidRPr="0038510C">
        <w:rPr>
          <w:rFonts w:ascii="Times New Roman" w:hAnsi="Times New Roman" w:cs="Times New Roman"/>
          <w:sz w:val="24"/>
          <w:szCs w:val="24"/>
        </w:rPr>
        <w:t>(11), 999-1013.</w:t>
      </w:r>
    </w:p>
    <w:p w:rsidR="00733906" w:rsidRPr="0038510C" w:rsidRDefault="00733906" w:rsidP="00733906">
      <w:pPr>
        <w:pStyle w:val="NormalWeb"/>
        <w:spacing w:line="360" w:lineRule="auto"/>
        <w:ind w:left="480" w:hanging="480"/>
        <w:rPr>
          <w:rFonts w:ascii="Times New Roman" w:hAnsi="Times New Roman"/>
          <w:noProof/>
          <w:sz w:val="24"/>
          <w:szCs w:val="24"/>
        </w:rPr>
      </w:pPr>
      <w:r w:rsidRPr="0038510C">
        <w:rPr>
          <w:rFonts w:ascii="Times New Roman" w:hAnsi="Times New Roman"/>
          <w:noProof/>
          <w:sz w:val="24"/>
          <w:szCs w:val="24"/>
        </w:rPr>
        <w:t xml:space="preserve">Corbetta, M., Akbudak, E., Conturo, T. E., Snyder, a </w:t>
      </w:r>
      <w:r w:rsidR="007659D0" w:rsidRPr="0038510C">
        <w:rPr>
          <w:rFonts w:ascii="Times New Roman" w:hAnsi="Times New Roman"/>
          <w:noProof/>
          <w:sz w:val="24"/>
          <w:szCs w:val="24"/>
        </w:rPr>
        <w:t>Z., Ollinger, J. M., Drury, H. A</w:t>
      </w:r>
      <w:r w:rsidRPr="0038510C">
        <w:rPr>
          <w:rFonts w:ascii="Times New Roman" w:hAnsi="Times New Roman"/>
          <w:noProof/>
          <w:sz w:val="24"/>
          <w:szCs w:val="24"/>
        </w:rPr>
        <w:t xml:space="preserve">, </w:t>
      </w:r>
      <w:r w:rsidR="007659D0" w:rsidRPr="0038510C">
        <w:rPr>
          <w:rFonts w:ascii="Times New Roman" w:hAnsi="Times New Roman"/>
          <w:noProof/>
          <w:sz w:val="24"/>
          <w:szCs w:val="24"/>
        </w:rPr>
        <w:t xml:space="preserve">Linenweber, M.R., Petersen, S.E., Raichle, M.E., Van Essen, D.C., &amp; </w:t>
      </w:r>
      <w:r w:rsidRPr="0038510C">
        <w:rPr>
          <w:rFonts w:ascii="Times New Roman" w:hAnsi="Times New Roman"/>
          <w:noProof/>
          <w:sz w:val="24"/>
          <w:szCs w:val="24"/>
        </w:rPr>
        <w:t xml:space="preserve">Shulman, G. L. (1998). A common network of functional areas for attention and eye movements. </w:t>
      </w:r>
      <w:r w:rsidRPr="0038510C">
        <w:rPr>
          <w:rFonts w:ascii="Times New Roman" w:hAnsi="Times New Roman"/>
          <w:i/>
          <w:iCs/>
          <w:noProof/>
          <w:sz w:val="24"/>
          <w:szCs w:val="24"/>
        </w:rPr>
        <w:t>Neuron</w:t>
      </w:r>
      <w:r w:rsidRPr="0038510C">
        <w:rPr>
          <w:rFonts w:ascii="Times New Roman" w:hAnsi="Times New Roman"/>
          <w:noProof/>
          <w:sz w:val="24"/>
          <w:szCs w:val="24"/>
        </w:rPr>
        <w:t xml:space="preserve">, </w:t>
      </w:r>
      <w:r w:rsidRPr="0038510C">
        <w:rPr>
          <w:rFonts w:ascii="Times New Roman" w:hAnsi="Times New Roman"/>
          <w:i/>
          <w:iCs/>
          <w:noProof/>
          <w:sz w:val="24"/>
          <w:szCs w:val="24"/>
        </w:rPr>
        <w:t>21</w:t>
      </w:r>
      <w:r w:rsidRPr="0038510C">
        <w:rPr>
          <w:rFonts w:ascii="Times New Roman" w:hAnsi="Times New Roman"/>
          <w:noProof/>
          <w:sz w:val="24"/>
          <w:szCs w:val="24"/>
        </w:rPr>
        <w:t>(4), 761–73.</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Deubel, H., &amp; Schneider, W. (1996). Saccade target selection and object recognition: evidence for a common attentional mechanism. </w:t>
      </w:r>
      <w:r w:rsidRPr="0038510C">
        <w:rPr>
          <w:rFonts w:ascii="Times New Roman" w:hAnsi="Times New Roman" w:cs="Times New Roman"/>
          <w:i/>
          <w:sz w:val="24"/>
          <w:szCs w:val="24"/>
        </w:rPr>
        <w:t>Vision research, 36</w:t>
      </w:r>
      <w:r w:rsidRPr="0038510C">
        <w:rPr>
          <w:rFonts w:ascii="Times New Roman" w:hAnsi="Times New Roman" w:cs="Times New Roman"/>
          <w:sz w:val="24"/>
          <w:szCs w:val="24"/>
        </w:rPr>
        <w:t>(12), 1827-37.</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Deubel, H., Schneider, W., &amp; Paprotta, I. (1998). Selective dorsal and ventral processing: Evidence for a common attentional mechanism in reaching and perception. </w:t>
      </w:r>
      <w:r w:rsidRPr="0038510C">
        <w:rPr>
          <w:rFonts w:ascii="Times New Roman" w:hAnsi="Times New Roman" w:cs="Times New Roman"/>
          <w:i/>
          <w:sz w:val="24"/>
          <w:szCs w:val="24"/>
        </w:rPr>
        <w:t>Visual Cognition, 5</w:t>
      </w:r>
      <w:r w:rsidRPr="0038510C">
        <w:rPr>
          <w:rFonts w:ascii="Times New Roman" w:hAnsi="Times New Roman" w:cs="Times New Roman"/>
          <w:sz w:val="24"/>
          <w:szCs w:val="24"/>
        </w:rPr>
        <w:t>(12), 81-107.</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lang w:val="nl-NL"/>
        </w:rPr>
      </w:pPr>
      <w:r w:rsidRPr="00206C92">
        <w:rPr>
          <w:rFonts w:ascii="Times New Roman" w:hAnsi="Times New Roman" w:cs="Times New Roman"/>
          <w:sz w:val="24"/>
          <w:szCs w:val="24"/>
        </w:rPr>
        <w:t xml:space="preserve">Eimer, M., Forster, B., Velzen, J. V., &amp; Prabhu, G. (2005). </w:t>
      </w:r>
      <w:r w:rsidRPr="0038510C">
        <w:rPr>
          <w:rFonts w:ascii="Times New Roman" w:hAnsi="Times New Roman" w:cs="Times New Roman"/>
          <w:sz w:val="24"/>
          <w:szCs w:val="24"/>
        </w:rPr>
        <w:t xml:space="preserve">Covert manual response preparation triggers attentional shifts: ERP evidence for the premotor theory of attention. </w:t>
      </w:r>
      <w:r w:rsidRPr="0038510C">
        <w:rPr>
          <w:rFonts w:ascii="Times New Roman" w:hAnsi="Times New Roman" w:cs="Times New Roman"/>
          <w:i/>
          <w:iCs/>
          <w:sz w:val="24"/>
          <w:szCs w:val="24"/>
          <w:lang w:val="nl-NL"/>
        </w:rPr>
        <w:t>Neuropsychologia</w:t>
      </w:r>
      <w:r w:rsidRPr="0038510C">
        <w:rPr>
          <w:rFonts w:ascii="Times New Roman" w:hAnsi="Times New Roman" w:cs="Times New Roman"/>
          <w:sz w:val="24"/>
          <w:szCs w:val="24"/>
          <w:lang w:val="nl-NL"/>
        </w:rPr>
        <w:t xml:space="preserve">, </w:t>
      </w:r>
      <w:r w:rsidRPr="0038510C">
        <w:rPr>
          <w:rFonts w:ascii="Times New Roman" w:hAnsi="Times New Roman" w:cs="Times New Roman"/>
          <w:i/>
          <w:iCs/>
          <w:sz w:val="24"/>
          <w:szCs w:val="24"/>
          <w:lang w:val="nl-NL"/>
        </w:rPr>
        <w:t>43</w:t>
      </w:r>
      <w:r w:rsidRPr="0038510C">
        <w:rPr>
          <w:rFonts w:ascii="Times New Roman" w:hAnsi="Times New Roman" w:cs="Times New Roman"/>
          <w:sz w:val="24"/>
          <w:szCs w:val="24"/>
          <w:lang w:val="nl-NL"/>
        </w:rPr>
        <w:t xml:space="preserve">(6), 957-966. </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lang w:val="nl-NL"/>
        </w:rPr>
        <w:t xml:space="preserve">Eimer, M., Van Velzen, J., Gherri, E., &amp; Press, C. (2007). </w:t>
      </w:r>
      <w:r w:rsidRPr="0038510C">
        <w:rPr>
          <w:rFonts w:ascii="Times New Roman" w:hAnsi="Times New Roman" w:cs="Times New Roman"/>
          <w:sz w:val="24"/>
          <w:szCs w:val="24"/>
        </w:rPr>
        <w:t xml:space="preserve">ERP correlates of shared control mechanisms involved in saccade preparation and in covert attention. </w:t>
      </w:r>
      <w:r w:rsidRPr="0038510C">
        <w:rPr>
          <w:rFonts w:ascii="Times New Roman" w:hAnsi="Times New Roman" w:cs="Times New Roman"/>
          <w:i/>
          <w:sz w:val="24"/>
          <w:szCs w:val="24"/>
        </w:rPr>
        <w:t>Brain research, 1135</w:t>
      </w:r>
      <w:r w:rsidRPr="0038510C">
        <w:rPr>
          <w:rFonts w:ascii="Times New Roman" w:hAnsi="Times New Roman" w:cs="Times New Roman"/>
          <w:sz w:val="24"/>
          <w:szCs w:val="24"/>
        </w:rPr>
        <w:t>(1), 154-66.</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Eimer, M., Van Velzen, J., Gherri, E., &amp; Press, C. (2006). Manual response preparation and saccade programming are linked to attention shifts: ERP evidence for covert attentional orienting and spatially specific modulations of visual processing. </w:t>
      </w:r>
      <w:r w:rsidRPr="0038510C">
        <w:rPr>
          <w:rFonts w:ascii="Times New Roman" w:hAnsi="Times New Roman" w:cs="Times New Roman"/>
          <w:i/>
          <w:iCs/>
          <w:sz w:val="24"/>
          <w:szCs w:val="24"/>
        </w:rPr>
        <w:t>Brain research</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1105</w:t>
      </w:r>
      <w:r w:rsidRPr="0038510C">
        <w:rPr>
          <w:rFonts w:ascii="Times New Roman" w:hAnsi="Times New Roman" w:cs="Times New Roman"/>
          <w:sz w:val="24"/>
          <w:szCs w:val="24"/>
        </w:rPr>
        <w:t xml:space="preserve">(1), 7-19. </w:t>
      </w:r>
    </w:p>
    <w:p w:rsidR="007659D0" w:rsidRPr="0038510C" w:rsidRDefault="00B446EE" w:rsidP="00D37AAC">
      <w:pPr>
        <w:suppressAutoHyphens w:val="0"/>
        <w:spacing w:after="0" w:line="360" w:lineRule="auto"/>
        <w:ind w:left="567" w:hanging="567"/>
        <w:rPr>
          <w:rFonts w:ascii="Times New Roman" w:eastAsia="Times New Roman" w:hAnsi="Times New Roman" w:cs="Times New Roman"/>
          <w:kern w:val="0"/>
          <w:sz w:val="24"/>
          <w:szCs w:val="24"/>
          <w:lang w:eastAsia="en-US"/>
        </w:rPr>
      </w:pPr>
      <w:r w:rsidRPr="0038510C">
        <w:rPr>
          <w:rFonts w:ascii="Times New Roman" w:eastAsia="Times New Roman" w:hAnsi="Times New Roman" w:cs="Times New Roman"/>
          <w:kern w:val="0"/>
          <w:sz w:val="24"/>
          <w:szCs w:val="24"/>
          <w:shd w:val="clear" w:color="auto" w:fill="FFFFFF"/>
          <w:lang w:eastAsia="en-US"/>
        </w:rPr>
        <w:t>Forster, B., &amp; Eimer, M. (2007). Covert unimanual response preparation triggers attention shifts to effectors rather than goal locations. </w:t>
      </w:r>
      <w:r w:rsidRPr="0038510C">
        <w:rPr>
          <w:rFonts w:ascii="Times New Roman" w:eastAsia="Times New Roman" w:hAnsi="Times New Roman" w:cs="Times New Roman"/>
          <w:i/>
          <w:iCs/>
          <w:kern w:val="0"/>
          <w:sz w:val="24"/>
          <w:szCs w:val="24"/>
          <w:shd w:val="clear" w:color="auto" w:fill="FFFFFF"/>
          <w:lang w:eastAsia="en-US"/>
        </w:rPr>
        <w:t>Neuroscience letters</w:t>
      </w:r>
      <w:r w:rsidRPr="0038510C">
        <w:rPr>
          <w:rFonts w:ascii="Times New Roman" w:eastAsia="Times New Roman" w:hAnsi="Times New Roman" w:cs="Times New Roman"/>
          <w:kern w:val="0"/>
          <w:sz w:val="24"/>
          <w:szCs w:val="24"/>
          <w:shd w:val="clear" w:color="auto" w:fill="FFFFFF"/>
          <w:lang w:eastAsia="en-US"/>
        </w:rPr>
        <w:t>,</w:t>
      </w:r>
      <w:r w:rsidRPr="0038510C">
        <w:rPr>
          <w:rFonts w:ascii="Times New Roman" w:eastAsia="Times New Roman" w:hAnsi="Times New Roman" w:cs="Times New Roman"/>
          <w:i/>
          <w:iCs/>
          <w:kern w:val="0"/>
          <w:sz w:val="24"/>
          <w:szCs w:val="24"/>
          <w:shd w:val="clear" w:color="auto" w:fill="FFFFFF"/>
          <w:lang w:eastAsia="en-US"/>
        </w:rPr>
        <w:t>419</w:t>
      </w:r>
      <w:r w:rsidRPr="0038510C">
        <w:rPr>
          <w:rFonts w:ascii="Times New Roman" w:eastAsia="Times New Roman" w:hAnsi="Times New Roman" w:cs="Times New Roman"/>
          <w:kern w:val="0"/>
          <w:sz w:val="24"/>
          <w:szCs w:val="24"/>
          <w:shd w:val="clear" w:color="auto" w:fill="FFFFFF"/>
          <w:lang w:eastAsia="en-US"/>
        </w:rPr>
        <w:t>(2), 142-146.</w:t>
      </w:r>
    </w:p>
    <w:p w:rsidR="00917D58" w:rsidRPr="0038510C"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Gherri, E., &amp; Eimer, M. (2008). Links between eye movement preparation and the attentional processing of tactile events: an event-related brain potential study. </w:t>
      </w:r>
      <w:r w:rsidRPr="0038510C">
        <w:rPr>
          <w:rFonts w:ascii="Times New Roman" w:hAnsi="Times New Roman" w:cs="Times New Roman"/>
          <w:i/>
          <w:iCs/>
          <w:sz w:val="24"/>
          <w:szCs w:val="24"/>
        </w:rPr>
        <w:t>Clinical neurophysiology</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119</w:t>
      </w:r>
      <w:r w:rsidRPr="0038510C">
        <w:rPr>
          <w:rFonts w:ascii="Times New Roman" w:hAnsi="Times New Roman" w:cs="Times New Roman"/>
          <w:sz w:val="24"/>
          <w:szCs w:val="24"/>
        </w:rPr>
        <w:t>(11), 2587-2597.</w:t>
      </w:r>
    </w:p>
    <w:p w:rsidR="00917D58" w:rsidRPr="0038510C"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lastRenderedPageBreak/>
        <w:t xml:space="preserve">Gherri, E., &amp; Eimer, M. (2010). Manual response preparation disrupts spatial attention: an electrophysiological investigation of links between action and attention. </w:t>
      </w:r>
      <w:r w:rsidRPr="0038510C">
        <w:rPr>
          <w:rFonts w:ascii="Times New Roman" w:hAnsi="Times New Roman" w:cs="Times New Roman"/>
          <w:i/>
          <w:iCs/>
          <w:sz w:val="24"/>
          <w:szCs w:val="24"/>
        </w:rPr>
        <w:t>Neuropsychologia</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48</w:t>
      </w:r>
      <w:r w:rsidRPr="0038510C">
        <w:rPr>
          <w:rFonts w:ascii="Times New Roman" w:hAnsi="Times New Roman" w:cs="Times New Roman"/>
          <w:sz w:val="24"/>
          <w:szCs w:val="24"/>
        </w:rPr>
        <w:t>(4), 961-969.</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Gherri, E., Van Velzen, J., &amp; Eimer, M. (2009). The instructed context of a motor task modulates covert response preparation and shifts of spatial attention. </w:t>
      </w:r>
      <w:r w:rsidRPr="0038510C">
        <w:rPr>
          <w:rFonts w:ascii="Times New Roman" w:hAnsi="Times New Roman" w:cs="Times New Roman"/>
          <w:i/>
          <w:sz w:val="24"/>
          <w:szCs w:val="24"/>
        </w:rPr>
        <w:t>Psychophysiology, 46</w:t>
      </w:r>
      <w:r w:rsidRPr="0038510C">
        <w:rPr>
          <w:rFonts w:ascii="Times New Roman" w:hAnsi="Times New Roman" w:cs="Times New Roman"/>
          <w:sz w:val="24"/>
          <w:szCs w:val="24"/>
        </w:rPr>
        <w:t>(3), 655-667.</w:t>
      </w:r>
    </w:p>
    <w:p w:rsidR="00917D58" w:rsidRPr="0038510C"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Goodale, M., &amp; Milner, A. (1992). Separate visual pathways tor perception and action. </w:t>
      </w:r>
      <w:r w:rsidRPr="0038510C">
        <w:rPr>
          <w:rFonts w:ascii="Times New Roman" w:hAnsi="Times New Roman" w:cs="Times New Roman"/>
          <w:i/>
          <w:sz w:val="24"/>
          <w:szCs w:val="24"/>
        </w:rPr>
        <w:t>Trends in Neurosciences, 15</w:t>
      </w:r>
      <w:r w:rsidRPr="0038510C">
        <w:rPr>
          <w:rFonts w:ascii="Times New Roman" w:hAnsi="Times New Roman" w:cs="Times New Roman"/>
          <w:sz w:val="24"/>
          <w:szCs w:val="24"/>
        </w:rPr>
        <w:t>(1), 20-25.</w:t>
      </w:r>
    </w:p>
    <w:p w:rsidR="00917D58" w:rsidRPr="0038510C"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Heinze, H. J., Luck, S. J., Munte, T. F., Gös, A., Mangun, G. R., &amp; Hillyard, S. A. (1994). Attention to adjacent and separate positions in space: An electrophysiological analysis. </w:t>
      </w:r>
      <w:r w:rsidRPr="0038510C">
        <w:rPr>
          <w:rFonts w:ascii="Times New Roman" w:hAnsi="Times New Roman" w:cs="Times New Roman"/>
          <w:i/>
          <w:iCs/>
          <w:sz w:val="24"/>
          <w:szCs w:val="24"/>
        </w:rPr>
        <w:t>Perception &amp; Psychophysics</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56</w:t>
      </w:r>
      <w:r w:rsidRPr="0038510C">
        <w:rPr>
          <w:rFonts w:ascii="Times New Roman" w:hAnsi="Times New Roman" w:cs="Times New Roman"/>
          <w:sz w:val="24"/>
          <w:szCs w:val="24"/>
        </w:rPr>
        <w:t>(1), 42-52.</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206C92">
        <w:rPr>
          <w:rFonts w:ascii="Times New Roman" w:hAnsi="Times New Roman" w:cs="Times New Roman"/>
          <w:sz w:val="24"/>
          <w:szCs w:val="24"/>
        </w:rPr>
        <w:t xml:space="preserve">Hillyard, S. A., Vogel, E. K., &amp; Luck, S. J. (1998). </w:t>
      </w:r>
      <w:r w:rsidRPr="0038510C">
        <w:rPr>
          <w:rFonts w:ascii="Times New Roman" w:hAnsi="Times New Roman" w:cs="Times New Roman"/>
          <w:sz w:val="24"/>
          <w:szCs w:val="24"/>
        </w:rPr>
        <w:t xml:space="preserve">Sensory gain control (amplification) as a mechanism of selective attention: electrophysiological and neuroimaging evidence. </w:t>
      </w:r>
      <w:r w:rsidRPr="0038510C">
        <w:rPr>
          <w:rFonts w:ascii="Times New Roman" w:hAnsi="Times New Roman" w:cs="Times New Roman"/>
          <w:i/>
          <w:sz w:val="24"/>
          <w:szCs w:val="24"/>
        </w:rPr>
        <w:t>Philosophical transactions of the Royal Society of London. Series B, Biological sciences, 353</w:t>
      </w:r>
      <w:r w:rsidRPr="0038510C">
        <w:rPr>
          <w:rFonts w:ascii="Times New Roman" w:hAnsi="Times New Roman" w:cs="Times New Roman"/>
          <w:sz w:val="24"/>
          <w:szCs w:val="24"/>
        </w:rPr>
        <w:t>(1373), 1257-70.</w:t>
      </w:r>
    </w:p>
    <w:p w:rsidR="00917D58" w:rsidRPr="00206C92"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Hoffman, J. E., &amp; Subramaniam, B. (1995). The role of visual attention in saccadic eye movements. </w:t>
      </w:r>
      <w:r w:rsidRPr="00206C92">
        <w:rPr>
          <w:rFonts w:ascii="Times New Roman" w:hAnsi="Times New Roman" w:cs="Times New Roman"/>
          <w:i/>
          <w:iCs/>
          <w:sz w:val="24"/>
          <w:szCs w:val="24"/>
        </w:rPr>
        <w:t>Perception &amp; psychophysics</w:t>
      </w:r>
      <w:r w:rsidRPr="00206C92">
        <w:rPr>
          <w:rFonts w:ascii="Times New Roman" w:hAnsi="Times New Roman" w:cs="Times New Roman"/>
          <w:sz w:val="24"/>
          <w:szCs w:val="24"/>
        </w:rPr>
        <w:t xml:space="preserve">, </w:t>
      </w:r>
      <w:r w:rsidRPr="00206C92">
        <w:rPr>
          <w:rFonts w:ascii="Times New Roman" w:hAnsi="Times New Roman" w:cs="Times New Roman"/>
          <w:i/>
          <w:iCs/>
          <w:sz w:val="24"/>
          <w:szCs w:val="24"/>
        </w:rPr>
        <w:t>57</w:t>
      </w:r>
      <w:r w:rsidRPr="00206C92">
        <w:rPr>
          <w:rFonts w:ascii="Times New Roman" w:hAnsi="Times New Roman" w:cs="Times New Roman"/>
          <w:sz w:val="24"/>
          <w:szCs w:val="24"/>
        </w:rPr>
        <w:t>(6), 787-795.</w:t>
      </w:r>
    </w:p>
    <w:p w:rsidR="00917D58" w:rsidRPr="0038510C" w:rsidRDefault="00917D58" w:rsidP="00625F36">
      <w:pPr>
        <w:pStyle w:val="NormalWeb"/>
        <w:spacing w:line="360" w:lineRule="auto"/>
        <w:ind w:left="567" w:hanging="567"/>
        <w:rPr>
          <w:rFonts w:ascii="Times New Roman" w:hAnsi="Times New Roman"/>
          <w:sz w:val="24"/>
          <w:szCs w:val="24"/>
        </w:rPr>
      </w:pPr>
      <w:r w:rsidRPr="0038510C">
        <w:rPr>
          <w:rFonts w:ascii="Times New Roman" w:hAnsi="Times New Roman"/>
          <w:sz w:val="24"/>
          <w:szCs w:val="24"/>
        </w:rPr>
        <w:t xml:space="preserve">Irwin, D.E., &amp; Gordon, R.D. (1998). Eye movements, attention, and trans-saccadic memory. </w:t>
      </w:r>
      <w:r w:rsidRPr="0038510C">
        <w:rPr>
          <w:rFonts w:ascii="Times New Roman" w:hAnsi="Times New Roman"/>
          <w:i/>
          <w:iCs/>
          <w:sz w:val="24"/>
          <w:szCs w:val="24"/>
        </w:rPr>
        <w:t>Visual Cognition</w:t>
      </w:r>
      <w:r w:rsidRPr="0038510C">
        <w:rPr>
          <w:rFonts w:ascii="Times New Roman" w:hAnsi="Times New Roman"/>
          <w:sz w:val="24"/>
          <w:szCs w:val="24"/>
        </w:rPr>
        <w:t xml:space="preserve">, </w:t>
      </w:r>
      <w:r w:rsidRPr="0038510C">
        <w:rPr>
          <w:rFonts w:ascii="Times New Roman" w:hAnsi="Times New Roman"/>
          <w:i/>
          <w:iCs/>
          <w:sz w:val="24"/>
          <w:szCs w:val="24"/>
        </w:rPr>
        <w:t>5</w:t>
      </w:r>
      <w:r w:rsidRPr="0038510C">
        <w:rPr>
          <w:rFonts w:ascii="Times New Roman" w:hAnsi="Times New Roman"/>
          <w:sz w:val="24"/>
          <w:szCs w:val="24"/>
        </w:rPr>
        <w:t xml:space="preserve">, 127–155. </w:t>
      </w:r>
    </w:p>
    <w:p w:rsidR="00B446EE" w:rsidRPr="0038510C" w:rsidRDefault="00B446EE" w:rsidP="00D37AAC">
      <w:pPr>
        <w:suppressAutoHyphens w:val="0"/>
        <w:spacing w:after="0" w:line="360" w:lineRule="auto"/>
        <w:ind w:left="567" w:hanging="567"/>
        <w:rPr>
          <w:rFonts w:ascii="Times New Roman" w:eastAsia="Times New Roman" w:hAnsi="Times New Roman" w:cs="Times New Roman"/>
          <w:kern w:val="0"/>
          <w:sz w:val="24"/>
          <w:szCs w:val="24"/>
          <w:shd w:val="clear" w:color="auto" w:fill="FFFFFF"/>
          <w:lang w:eastAsia="en-US"/>
        </w:rPr>
      </w:pPr>
      <w:r w:rsidRPr="0038510C">
        <w:rPr>
          <w:rFonts w:ascii="Times New Roman" w:eastAsia="Times New Roman" w:hAnsi="Times New Roman" w:cs="Times New Roman"/>
          <w:kern w:val="0"/>
          <w:sz w:val="24"/>
          <w:szCs w:val="24"/>
          <w:shd w:val="clear" w:color="auto" w:fill="FFFFFF"/>
          <w:lang w:eastAsia="en-US"/>
        </w:rPr>
        <w:t>Juravle, G., &amp; Deubel, H. (2009). Action preparation enhances the processing of tactile targets. </w:t>
      </w:r>
      <w:r w:rsidRPr="0038510C">
        <w:rPr>
          <w:rFonts w:ascii="Times New Roman" w:eastAsia="Times New Roman" w:hAnsi="Times New Roman" w:cs="Times New Roman"/>
          <w:i/>
          <w:iCs/>
          <w:kern w:val="0"/>
          <w:sz w:val="24"/>
          <w:szCs w:val="24"/>
          <w:shd w:val="clear" w:color="auto" w:fill="FFFFFF"/>
          <w:lang w:eastAsia="en-US"/>
        </w:rPr>
        <w:t>Experimental brain research</w:t>
      </w:r>
      <w:r w:rsidRPr="0038510C">
        <w:rPr>
          <w:rFonts w:ascii="Times New Roman" w:eastAsia="Times New Roman" w:hAnsi="Times New Roman" w:cs="Times New Roman"/>
          <w:kern w:val="0"/>
          <w:sz w:val="24"/>
          <w:szCs w:val="24"/>
          <w:shd w:val="clear" w:color="auto" w:fill="FFFFFF"/>
          <w:lang w:eastAsia="en-US"/>
        </w:rPr>
        <w:t>, </w:t>
      </w:r>
      <w:r w:rsidRPr="0038510C">
        <w:rPr>
          <w:rFonts w:ascii="Times New Roman" w:eastAsia="Times New Roman" w:hAnsi="Times New Roman" w:cs="Times New Roman"/>
          <w:i/>
          <w:iCs/>
          <w:kern w:val="0"/>
          <w:sz w:val="24"/>
          <w:szCs w:val="24"/>
          <w:shd w:val="clear" w:color="auto" w:fill="FFFFFF"/>
          <w:lang w:eastAsia="en-US"/>
        </w:rPr>
        <w:t>198</w:t>
      </w:r>
      <w:r w:rsidRPr="0038510C">
        <w:rPr>
          <w:rFonts w:ascii="Times New Roman" w:eastAsia="Times New Roman" w:hAnsi="Times New Roman" w:cs="Times New Roman"/>
          <w:kern w:val="0"/>
          <w:sz w:val="24"/>
          <w:szCs w:val="24"/>
          <w:shd w:val="clear" w:color="auto" w:fill="FFFFFF"/>
          <w:lang w:eastAsia="en-US"/>
        </w:rPr>
        <w:t>(2-3), 301-311.</w:t>
      </w:r>
    </w:p>
    <w:p w:rsidR="00917D58" w:rsidRPr="0038510C"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Linnell, K. J., Humphreys, G. W., McIntyre, D. B., Laitinen, S., &amp; Wing, A. M. (2005). Action modulates object-based selection. </w:t>
      </w:r>
      <w:r w:rsidRPr="0038510C">
        <w:rPr>
          <w:rFonts w:ascii="Times New Roman" w:hAnsi="Times New Roman" w:cs="Times New Roman"/>
          <w:i/>
          <w:iCs/>
          <w:sz w:val="24"/>
          <w:szCs w:val="24"/>
        </w:rPr>
        <w:t>Vision research</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45</w:t>
      </w:r>
      <w:r w:rsidRPr="0038510C">
        <w:rPr>
          <w:rFonts w:ascii="Times New Roman" w:hAnsi="Times New Roman" w:cs="Times New Roman"/>
          <w:sz w:val="24"/>
          <w:szCs w:val="24"/>
        </w:rPr>
        <w:t>(17), 2268-2286</w:t>
      </w:r>
    </w:p>
    <w:p w:rsidR="00E621B1" w:rsidRPr="0038510C" w:rsidRDefault="00E621B1" w:rsidP="00E621B1">
      <w:pPr>
        <w:suppressAutoHyphens w:val="0"/>
        <w:spacing w:after="0" w:line="360" w:lineRule="auto"/>
        <w:ind w:left="567" w:hanging="567"/>
        <w:rPr>
          <w:rFonts w:ascii="Times New Roman" w:eastAsia="Times New Roman" w:hAnsi="Times New Roman" w:cs="Times New Roman"/>
          <w:kern w:val="0"/>
          <w:sz w:val="24"/>
          <w:szCs w:val="24"/>
          <w:lang w:eastAsia="en-US"/>
        </w:rPr>
      </w:pPr>
      <w:r w:rsidRPr="0038510C">
        <w:rPr>
          <w:rFonts w:ascii="Times New Roman" w:eastAsia="Times New Roman" w:hAnsi="Times New Roman" w:cs="Times New Roman"/>
          <w:kern w:val="0"/>
          <w:sz w:val="24"/>
          <w:szCs w:val="24"/>
          <w:shd w:val="clear" w:color="auto" w:fill="FFFFFF"/>
          <w:lang w:eastAsia="en-US"/>
        </w:rPr>
        <w:t>Mason, L., Linnell, K. J., Davis, R., &amp; Van Velzen, J. (2015). Visual processing at goal and effector locations is dynamically enhanced during motor preparation. </w:t>
      </w:r>
      <w:r w:rsidRPr="0038510C">
        <w:rPr>
          <w:rFonts w:ascii="Times New Roman" w:eastAsia="Times New Roman" w:hAnsi="Times New Roman" w:cs="Times New Roman"/>
          <w:i/>
          <w:iCs/>
          <w:kern w:val="0"/>
          <w:sz w:val="24"/>
          <w:szCs w:val="24"/>
          <w:shd w:val="clear" w:color="auto" w:fill="FFFFFF"/>
          <w:lang w:eastAsia="en-US"/>
        </w:rPr>
        <w:t>NeuroImage</w:t>
      </w:r>
      <w:r w:rsidR="00CB7C1C" w:rsidRPr="0038510C">
        <w:rPr>
          <w:rFonts w:ascii="Times New Roman" w:eastAsia="Times New Roman" w:hAnsi="Times New Roman" w:cs="Times New Roman"/>
          <w:i/>
          <w:iCs/>
          <w:kern w:val="0"/>
          <w:sz w:val="24"/>
          <w:szCs w:val="24"/>
          <w:shd w:val="clear" w:color="auto" w:fill="FFFFFF"/>
          <w:lang w:eastAsia="en-US"/>
        </w:rPr>
        <w:t xml:space="preserve">, 117, </w:t>
      </w:r>
      <w:r w:rsidR="00CB7C1C" w:rsidRPr="0038510C">
        <w:rPr>
          <w:rFonts w:ascii="Times New Roman" w:eastAsia="Times New Roman" w:hAnsi="Times New Roman" w:cs="Times New Roman"/>
          <w:iCs/>
          <w:kern w:val="0"/>
          <w:sz w:val="24"/>
          <w:szCs w:val="24"/>
          <w:shd w:val="clear" w:color="auto" w:fill="FFFFFF"/>
          <w:lang w:eastAsia="en-US"/>
        </w:rPr>
        <w:t>243-249</w:t>
      </w:r>
      <w:r w:rsidRPr="0038510C">
        <w:rPr>
          <w:rFonts w:ascii="Times New Roman" w:eastAsia="Times New Roman" w:hAnsi="Times New Roman" w:cs="Times New Roman"/>
          <w:kern w:val="0"/>
          <w:sz w:val="24"/>
          <w:szCs w:val="24"/>
          <w:shd w:val="clear" w:color="auto" w:fill="FFFFFF"/>
          <w:lang w:eastAsia="en-US"/>
        </w:rPr>
        <w:t>.</w:t>
      </w:r>
    </w:p>
    <w:p w:rsidR="00917D58" w:rsidRPr="00206C92"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lang w:val="nl-NL"/>
        </w:rPr>
      </w:pPr>
      <w:r w:rsidRPr="0038510C">
        <w:rPr>
          <w:rFonts w:ascii="Times New Roman" w:hAnsi="Times New Roman" w:cs="Times New Roman"/>
          <w:sz w:val="24"/>
          <w:szCs w:val="24"/>
        </w:rPr>
        <w:t xml:space="preserve">Moore, T., &amp; Fallah, M. (2004). Microstimulation of the frontal eye field and its effects on covert spatial attention. </w:t>
      </w:r>
      <w:r w:rsidRPr="00206C92">
        <w:rPr>
          <w:rFonts w:ascii="Times New Roman" w:hAnsi="Times New Roman" w:cs="Times New Roman"/>
          <w:i/>
          <w:sz w:val="24"/>
          <w:szCs w:val="24"/>
          <w:lang w:val="nl-NL"/>
        </w:rPr>
        <w:t>Journal of neurophysiology, 91</w:t>
      </w:r>
      <w:r w:rsidRPr="00206C92">
        <w:rPr>
          <w:rFonts w:ascii="Times New Roman" w:hAnsi="Times New Roman" w:cs="Times New Roman"/>
          <w:sz w:val="24"/>
          <w:szCs w:val="24"/>
          <w:lang w:val="nl-NL"/>
        </w:rPr>
        <w:t>(1), 152-62.</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lang w:val="nl-NL"/>
        </w:rPr>
        <w:t xml:space="preserve">Neggers, S F W, Huijbers, W., Vrijlandt, C. M., Vlaskamp, B. N. S., Schutter, D. J. L. G., &amp; </w:t>
      </w:r>
      <w:r w:rsidRPr="0038510C">
        <w:rPr>
          <w:rFonts w:ascii="Times New Roman" w:hAnsi="Times New Roman" w:cs="Times New Roman"/>
          <w:sz w:val="24"/>
          <w:szCs w:val="24"/>
          <w:lang w:val="nl-NL"/>
        </w:rPr>
        <w:lastRenderedPageBreak/>
        <w:t xml:space="preserve">Kenemans, J. L. (2007). </w:t>
      </w:r>
      <w:r w:rsidRPr="0038510C">
        <w:rPr>
          <w:rFonts w:ascii="Times New Roman" w:hAnsi="Times New Roman" w:cs="Times New Roman"/>
          <w:sz w:val="24"/>
          <w:szCs w:val="24"/>
        </w:rPr>
        <w:t xml:space="preserve">TMS pulses on the frontal eye fields break coupling between visuospatial attention and eye movements. </w:t>
      </w:r>
      <w:r w:rsidRPr="0038510C">
        <w:rPr>
          <w:rFonts w:ascii="Times New Roman" w:hAnsi="Times New Roman" w:cs="Times New Roman"/>
          <w:i/>
          <w:sz w:val="24"/>
          <w:szCs w:val="24"/>
        </w:rPr>
        <w:t>Journal of neurophysiology, 98</w:t>
      </w:r>
      <w:r w:rsidRPr="0038510C">
        <w:rPr>
          <w:rFonts w:ascii="Times New Roman" w:hAnsi="Times New Roman" w:cs="Times New Roman"/>
          <w:sz w:val="24"/>
          <w:szCs w:val="24"/>
        </w:rPr>
        <w:t>(5), 2765-78.</w:t>
      </w:r>
    </w:p>
    <w:p w:rsidR="00AE0A4B" w:rsidRPr="0038510C" w:rsidRDefault="00AE0A4B" w:rsidP="00733906">
      <w:pPr>
        <w:pStyle w:val="NormalWeb"/>
        <w:spacing w:line="360" w:lineRule="auto"/>
        <w:ind w:left="480" w:hanging="480"/>
        <w:rPr>
          <w:rFonts w:ascii="Times New Roman" w:hAnsi="Times New Roman"/>
          <w:sz w:val="24"/>
          <w:szCs w:val="24"/>
        </w:rPr>
      </w:pPr>
      <w:r w:rsidRPr="0038510C">
        <w:rPr>
          <w:rFonts w:ascii="Times New Roman" w:hAnsi="Times New Roman"/>
          <w:noProof/>
          <w:sz w:val="24"/>
          <w:szCs w:val="24"/>
        </w:rPr>
        <w:t xml:space="preserve">Perry, R. J., &amp; Zeki, S. (2000). The neurology of saccades and covert shifts in spatial attention: an event-related fMRI study. </w:t>
      </w:r>
      <w:r w:rsidRPr="0038510C">
        <w:rPr>
          <w:rFonts w:ascii="Times New Roman" w:hAnsi="Times New Roman"/>
          <w:i/>
          <w:iCs/>
          <w:noProof/>
          <w:sz w:val="24"/>
          <w:szCs w:val="24"/>
        </w:rPr>
        <w:t>Brain : A Journal of Neurology</w:t>
      </w:r>
      <w:r w:rsidRPr="0038510C">
        <w:rPr>
          <w:rFonts w:ascii="Times New Roman" w:hAnsi="Times New Roman"/>
          <w:noProof/>
          <w:sz w:val="24"/>
          <w:szCs w:val="24"/>
        </w:rPr>
        <w:t xml:space="preserve">, </w:t>
      </w:r>
      <w:r w:rsidRPr="0038510C">
        <w:rPr>
          <w:rFonts w:ascii="Times New Roman" w:hAnsi="Times New Roman"/>
          <w:i/>
          <w:iCs/>
          <w:noProof/>
          <w:sz w:val="24"/>
          <w:szCs w:val="24"/>
        </w:rPr>
        <w:t>123 ( Pt 1</w:t>
      </w:r>
      <w:r w:rsidRPr="0038510C">
        <w:rPr>
          <w:rFonts w:ascii="Times New Roman" w:hAnsi="Times New Roman"/>
          <w:noProof/>
          <w:sz w:val="24"/>
          <w:szCs w:val="24"/>
        </w:rPr>
        <w:t>, 2273–88.</w:t>
      </w:r>
    </w:p>
    <w:p w:rsidR="00917D58" w:rsidRPr="0038510C"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lang w:val="nl-NL"/>
        </w:rPr>
        <w:t xml:space="preserve">Posner, M. I., &amp; Dehaene, S. (1994). </w:t>
      </w:r>
      <w:r w:rsidRPr="0038510C">
        <w:rPr>
          <w:rFonts w:ascii="Times New Roman" w:hAnsi="Times New Roman" w:cs="Times New Roman"/>
          <w:sz w:val="24"/>
          <w:szCs w:val="24"/>
        </w:rPr>
        <w:t xml:space="preserve">Attentional networks. </w:t>
      </w:r>
      <w:r w:rsidRPr="0038510C">
        <w:rPr>
          <w:rFonts w:ascii="Times New Roman" w:hAnsi="Times New Roman" w:cs="Times New Roman"/>
          <w:i/>
          <w:iCs/>
          <w:sz w:val="24"/>
          <w:szCs w:val="24"/>
        </w:rPr>
        <w:t>Trends in neurosciences</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17</w:t>
      </w:r>
      <w:r w:rsidRPr="0038510C">
        <w:rPr>
          <w:rFonts w:ascii="Times New Roman" w:hAnsi="Times New Roman" w:cs="Times New Roman"/>
          <w:sz w:val="24"/>
          <w:szCs w:val="24"/>
        </w:rPr>
        <w:t xml:space="preserve">(2), 75-79. </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Posner, M., Snyder, C. R. R., &amp; Davidson, B. J. (1980). Attention and the Detection of Signals</w:t>
      </w:r>
      <w:r w:rsidRPr="0038510C">
        <w:rPr>
          <w:rFonts w:ascii="Times New Roman" w:hAnsi="Times New Roman" w:cs="Times New Roman"/>
          <w:i/>
          <w:sz w:val="24"/>
          <w:szCs w:val="24"/>
        </w:rPr>
        <w:t>. Psychology, 109</w:t>
      </w:r>
      <w:r w:rsidRPr="0038510C">
        <w:rPr>
          <w:rFonts w:ascii="Times New Roman" w:hAnsi="Times New Roman" w:cs="Times New Roman"/>
          <w:sz w:val="24"/>
          <w:szCs w:val="24"/>
        </w:rPr>
        <w:t>(2), 160-174.</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b/>
          <w:sz w:val="24"/>
          <w:szCs w:val="24"/>
        </w:rPr>
      </w:pPr>
      <w:r w:rsidRPr="0038510C">
        <w:rPr>
          <w:rFonts w:ascii="Times New Roman" w:hAnsi="Times New Roman" w:cs="Times New Roman"/>
          <w:sz w:val="24"/>
          <w:szCs w:val="24"/>
        </w:rPr>
        <w:t xml:space="preserve">Rizzolatti, G., Riggio, L., Dascola, I., &amp; Umiltá, C. (1987). Reorienting attention across the horizontal and vertical meridians: evidence in favor of a premotor theory of attention. </w:t>
      </w:r>
      <w:r w:rsidRPr="0038510C">
        <w:rPr>
          <w:rFonts w:ascii="Times New Roman" w:hAnsi="Times New Roman" w:cs="Times New Roman"/>
          <w:i/>
          <w:sz w:val="24"/>
          <w:szCs w:val="24"/>
        </w:rPr>
        <w:t>Neuropsychologia, 25</w:t>
      </w:r>
      <w:r w:rsidRPr="0038510C">
        <w:rPr>
          <w:rFonts w:ascii="Times New Roman" w:hAnsi="Times New Roman" w:cs="Times New Roman"/>
          <w:sz w:val="24"/>
          <w:szCs w:val="24"/>
        </w:rPr>
        <w:t>(1A), 31-40.</w:t>
      </w:r>
    </w:p>
    <w:p w:rsidR="00917D58" w:rsidRPr="0038510C"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Rizzolatti, G., Riggio, L., &amp; Sheliga, B. (1994). </w:t>
      </w:r>
      <w:r w:rsidRPr="0038510C">
        <w:rPr>
          <w:rFonts w:ascii="Times New Roman" w:hAnsi="Times New Roman" w:cs="Times New Roman"/>
          <w:i/>
          <w:sz w:val="24"/>
          <w:szCs w:val="24"/>
        </w:rPr>
        <w:t>Space and selective attention</w:t>
      </w:r>
      <w:r w:rsidRPr="0038510C">
        <w:rPr>
          <w:rFonts w:ascii="Times New Roman" w:hAnsi="Times New Roman" w:cs="Times New Roman"/>
          <w:sz w:val="24"/>
          <w:szCs w:val="24"/>
        </w:rPr>
        <w:t>. In C. Umilta &amp; M. Moscovitch (Eds.), Attention and performance XV (pp. 231-265). Cambridge: MIT.</w:t>
      </w:r>
    </w:p>
    <w:p w:rsidR="00917D58"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Rorden, C., Greene, K., Sasine, G. M., &amp; Baylis, G. C. (2002). Enhanced tactile performance at the destination of an upcoming saccade. </w:t>
      </w:r>
      <w:r w:rsidRPr="0038510C">
        <w:rPr>
          <w:rFonts w:ascii="Times New Roman" w:hAnsi="Times New Roman" w:cs="Times New Roman"/>
          <w:i/>
          <w:iCs/>
          <w:sz w:val="24"/>
          <w:szCs w:val="24"/>
        </w:rPr>
        <w:t>Current Biology</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12</w:t>
      </w:r>
      <w:r w:rsidRPr="0038510C">
        <w:rPr>
          <w:rFonts w:ascii="Times New Roman" w:hAnsi="Times New Roman" w:cs="Times New Roman"/>
          <w:sz w:val="24"/>
          <w:szCs w:val="24"/>
        </w:rPr>
        <w:t>(16), 1429-1434.</w:t>
      </w:r>
    </w:p>
    <w:p w:rsidR="000707FE" w:rsidRPr="0038510C" w:rsidRDefault="000707FE" w:rsidP="000707FE">
      <w:pPr>
        <w:suppressAutoHyphens w:val="0"/>
        <w:spacing w:after="0" w:line="360" w:lineRule="auto"/>
        <w:ind w:left="567" w:hanging="567"/>
        <w:rPr>
          <w:rFonts w:ascii="Times New Roman" w:hAnsi="Times New Roman" w:cs="Times New Roman"/>
          <w:sz w:val="24"/>
          <w:szCs w:val="24"/>
        </w:rPr>
      </w:pPr>
      <w:r w:rsidRPr="000707FE">
        <w:rPr>
          <w:rFonts w:ascii="Times New Roman" w:eastAsia="Times New Roman" w:hAnsi="Times New Roman" w:cs="Times New Roman"/>
          <w:color w:val="222222"/>
          <w:kern w:val="0"/>
          <w:sz w:val="24"/>
          <w:szCs w:val="24"/>
          <w:shd w:val="clear" w:color="auto" w:fill="FFFFFF"/>
          <w:lang w:eastAsia="en-US"/>
        </w:rPr>
        <w:t>Schiller, P. H., &amp; Tehovnik, E. J. (2001). Look and see: how the brain moves your eyes about. </w:t>
      </w:r>
      <w:r w:rsidRPr="000707FE">
        <w:rPr>
          <w:rFonts w:ascii="Times New Roman" w:eastAsia="Times New Roman" w:hAnsi="Times New Roman" w:cs="Times New Roman"/>
          <w:i/>
          <w:iCs/>
          <w:color w:val="222222"/>
          <w:kern w:val="0"/>
          <w:sz w:val="24"/>
          <w:szCs w:val="24"/>
          <w:shd w:val="clear" w:color="auto" w:fill="FFFFFF"/>
          <w:lang w:eastAsia="en-US"/>
        </w:rPr>
        <w:t>Progress in brain research</w:t>
      </w:r>
      <w:r w:rsidRPr="000707FE">
        <w:rPr>
          <w:rFonts w:ascii="Times New Roman" w:eastAsia="Times New Roman" w:hAnsi="Times New Roman" w:cs="Times New Roman"/>
          <w:color w:val="222222"/>
          <w:kern w:val="0"/>
          <w:sz w:val="24"/>
          <w:szCs w:val="24"/>
          <w:shd w:val="clear" w:color="auto" w:fill="FFFFFF"/>
          <w:lang w:eastAsia="en-US"/>
        </w:rPr>
        <w:t>, </w:t>
      </w:r>
      <w:r w:rsidRPr="000707FE">
        <w:rPr>
          <w:rFonts w:ascii="Times New Roman" w:eastAsia="Times New Roman" w:hAnsi="Times New Roman" w:cs="Times New Roman"/>
          <w:i/>
          <w:iCs/>
          <w:color w:val="222222"/>
          <w:kern w:val="0"/>
          <w:sz w:val="24"/>
          <w:szCs w:val="24"/>
          <w:shd w:val="clear" w:color="auto" w:fill="FFFFFF"/>
          <w:lang w:eastAsia="en-US"/>
        </w:rPr>
        <w:t>134</w:t>
      </w:r>
      <w:r w:rsidRPr="000707FE">
        <w:rPr>
          <w:rFonts w:ascii="Times New Roman" w:eastAsia="Times New Roman" w:hAnsi="Times New Roman" w:cs="Times New Roman"/>
          <w:color w:val="222222"/>
          <w:kern w:val="0"/>
          <w:sz w:val="24"/>
          <w:szCs w:val="24"/>
          <w:shd w:val="clear" w:color="auto" w:fill="FFFFFF"/>
          <w:lang w:eastAsia="en-US"/>
        </w:rPr>
        <w:t>, 127-142.</w:t>
      </w:r>
    </w:p>
    <w:p w:rsidR="00CE010D" w:rsidRPr="0038510C" w:rsidRDefault="00CE010D" w:rsidP="000707FE">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Schneider, W., Eschman, A., &amp; Zuccolotto, A. (2002). </w:t>
      </w:r>
      <w:r w:rsidRPr="0038510C">
        <w:rPr>
          <w:rFonts w:ascii="Times New Roman" w:hAnsi="Times New Roman" w:cs="Times New Roman"/>
          <w:i/>
          <w:sz w:val="24"/>
          <w:szCs w:val="24"/>
        </w:rPr>
        <w:t>E-Prime user’s guide</w:t>
      </w:r>
      <w:r w:rsidRPr="0038510C">
        <w:rPr>
          <w:rFonts w:ascii="Times New Roman" w:hAnsi="Times New Roman" w:cs="Times New Roman"/>
          <w:sz w:val="24"/>
          <w:szCs w:val="24"/>
        </w:rPr>
        <w:t>. Pittsburgh: Psychology Software Tools.</w:t>
      </w:r>
    </w:p>
    <w:p w:rsidR="00917D58" w:rsidRPr="0038510C" w:rsidRDefault="00917D58" w:rsidP="00625F36">
      <w:pPr>
        <w:spacing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Sheliga, B. M., Riggio, L., &amp; Rizzolatti, G. (1995). Spatial attention and eye movements. </w:t>
      </w:r>
      <w:r w:rsidRPr="0038510C">
        <w:rPr>
          <w:rFonts w:ascii="Times New Roman" w:hAnsi="Times New Roman" w:cs="Times New Roman"/>
          <w:i/>
          <w:iCs/>
          <w:sz w:val="24"/>
          <w:szCs w:val="24"/>
        </w:rPr>
        <w:t>Experimental Brain Research</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105</w:t>
      </w:r>
      <w:r w:rsidRPr="0038510C">
        <w:rPr>
          <w:rFonts w:ascii="Times New Roman" w:hAnsi="Times New Roman" w:cs="Times New Roman"/>
          <w:sz w:val="24"/>
          <w:szCs w:val="24"/>
        </w:rPr>
        <w:t>(2), 261-275.</w:t>
      </w:r>
    </w:p>
    <w:p w:rsidR="00917D58" w:rsidRDefault="00917D58" w:rsidP="00625F36">
      <w:pPr>
        <w:widowControl w:val="0"/>
        <w:autoSpaceDE w:val="0"/>
        <w:autoSpaceDN w:val="0"/>
        <w:adjustRightInd w:val="0"/>
        <w:spacing w:after="24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t xml:space="preserve">Shepherd, M., Findlay, J. M., &amp; Hockey, R. J. (1986). The relationship between eye movements and spatial attention. </w:t>
      </w:r>
      <w:r w:rsidRPr="0038510C">
        <w:rPr>
          <w:rFonts w:ascii="Times New Roman" w:hAnsi="Times New Roman" w:cs="Times New Roman"/>
          <w:i/>
          <w:iCs/>
          <w:sz w:val="24"/>
          <w:szCs w:val="24"/>
        </w:rPr>
        <w:t>The Quarterly Journal of Experimental Psychology</w:t>
      </w:r>
      <w:r w:rsidRPr="0038510C">
        <w:rPr>
          <w:rFonts w:ascii="Times New Roman" w:hAnsi="Times New Roman" w:cs="Times New Roman"/>
          <w:sz w:val="24"/>
          <w:szCs w:val="24"/>
        </w:rPr>
        <w:t xml:space="preserve">, </w:t>
      </w:r>
      <w:r w:rsidRPr="0038510C">
        <w:rPr>
          <w:rFonts w:ascii="Times New Roman" w:hAnsi="Times New Roman" w:cs="Times New Roman"/>
          <w:i/>
          <w:iCs/>
          <w:sz w:val="24"/>
          <w:szCs w:val="24"/>
        </w:rPr>
        <w:t>38</w:t>
      </w:r>
      <w:r w:rsidRPr="0038510C">
        <w:rPr>
          <w:rFonts w:ascii="Times New Roman" w:hAnsi="Times New Roman" w:cs="Times New Roman"/>
          <w:sz w:val="24"/>
          <w:szCs w:val="24"/>
        </w:rPr>
        <w:t xml:space="preserve">(3), 475-491. </w:t>
      </w:r>
    </w:p>
    <w:p w:rsidR="000707FE" w:rsidRDefault="000707FE" w:rsidP="000707FE">
      <w:pPr>
        <w:suppressAutoHyphens w:val="0"/>
        <w:spacing w:after="0" w:line="360" w:lineRule="auto"/>
        <w:ind w:left="567" w:hanging="567"/>
        <w:rPr>
          <w:rFonts w:ascii="Times New Roman" w:eastAsia="Times New Roman" w:hAnsi="Times New Roman" w:cs="Times New Roman"/>
          <w:color w:val="222222"/>
          <w:kern w:val="0"/>
          <w:sz w:val="24"/>
          <w:szCs w:val="24"/>
          <w:shd w:val="clear" w:color="auto" w:fill="FFFFFF"/>
          <w:lang w:eastAsia="en-US"/>
        </w:rPr>
      </w:pPr>
      <w:r w:rsidRPr="000707FE">
        <w:rPr>
          <w:rFonts w:ascii="Times New Roman" w:eastAsia="Times New Roman" w:hAnsi="Times New Roman" w:cs="Times New Roman"/>
          <w:color w:val="222222"/>
          <w:kern w:val="0"/>
          <w:sz w:val="24"/>
          <w:szCs w:val="24"/>
          <w:shd w:val="clear" w:color="auto" w:fill="FFFFFF"/>
          <w:lang w:eastAsia="en-US"/>
        </w:rPr>
        <w:t>Soechting, J. F., &amp; Flanders, M. (1992). Moving in three-dimensional space: frames of reference, vectors, and coordinate systems. </w:t>
      </w:r>
      <w:r w:rsidRPr="000707FE">
        <w:rPr>
          <w:rFonts w:ascii="Times New Roman" w:eastAsia="Times New Roman" w:hAnsi="Times New Roman" w:cs="Times New Roman"/>
          <w:i/>
          <w:iCs/>
          <w:color w:val="222222"/>
          <w:kern w:val="0"/>
          <w:sz w:val="24"/>
          <w:szCs w:val="24"/>
          <w:shd w:val="clear" w:color="auto" w:fill="FFFFFF"/>
          <w:lang w:eastAsia="en-US"/>
        </w:rPr>
        <w:t>Annual review of neuroscience</w:t>
      </w:r>
      <w:r w:rsidRPr="000707FE">
        <w:rPr>
          <w:rFonts w:ascii="Times New Roman" w:eastAsia="Times New Roman" w:hAnsi="Times New Roman" w:cs="Times New Roman"/>
          <w:color w:val="222222"/>
          <w:kern w:val="0"/>
          <w:sz w:val="24"/>
          <w:szCs w:val="24"/>
          <w:shd w:val="clear" w:color="auto" w:fill="FFFFFF"/>
          <w:lang w:eastAsia="en-US"/>
        </w:rPr>
        <w:t>, </w:t>
      </w:r>
      <w:r w:rsidRPr="000707FE">
        <w:rPr>
          <w:rFonts w:ascii="Times New Roman" w:eastAsia="Times New Roman" w:hAnsi="Times New Roman" w:cs="Times New Roman"/>
          <w:i/>
          <w:iCs/>
          <w:color w:val="222222"/>
          <w:kern w:val="0"/>
          <w:sz w:val="24"/>
          <w:szCs w:val="24"/>
          <w:shd w:val="clear" w:color="auto" w:fill="FFFFFF"/>
          <w:lang w:eastAsia="en-US"/>
        </w:rPr>
        <w:t>15</w:t>
      </w:r>
      <w:r w:rsidRPr="000707FE">
        <w:rPr>
          <w:rFonts w:ascii="Times New Roman" w:eastAsia="Times New Roman" w:hAnsi="Times New Roman" w:cs="Times New Roman"/>
          <w:color w:val="222222"/>
          <w:kern w:val="0"/>
          <w:sz w:val="24"/>
          <w:szCs w:val="24"/>
          <w:shd w:val="clear" w:color="auto" w:fill="FFFFFF"/>
          <w:lang w:eastAsia="en-US"/>
        </w:rPr>
        <w:t>(1), 167-191.</w:t>
      </w:r>
    </w:p>
    <w:p w:rsidR="00917D58" w:rsidRPr="0038510C" w:rsidRDefault="00917D58" w:rsidP="000707FE">
      <w:pPr>
        <w:suppressAutoHyphens w:val="0"/>
        <w:spacing w:after="0" w:line="360" w:lineRule="auto"/>
        <w:ind w:left="567" w:hanging="567"/>
        <w:rPr>
          <w:rFonts w:ascii="Times New Roman" w:hAnsi="Times New Roman" w:cs="Times New Roman"/>
          <w:sz w:val="24"/>
          <w:szCs w:val="24"/>
        </w:rPr>
      </w:pPr>
      <w:r w:rsidRPr="0038510C">
        <w:rPr>
          <w:rFonts w:ascii="Times New Roman" w:hAnsi="Times New Roman" w:cs="Times New Roman"/>
          <w:sz w:val="24"/>
          <w:szCs w:val="24"/>
        </w:rPr>
        <w:lastRenderedPageBreak/>
        <w:t xml:space="preserve">Van Ettinger-Veenstra, H. M., Huijbers, W., Gutteling, T. P., Vink, M., Kenemans, J. L., &amp; Neggers, S. F. W. (2009). fMRI-guided TMS on cortical eye fields: the frontal but not intraparietal eye fields regulate the coupling between visuospatial attention and eye movements. </w:t>
      </w:r>
      <w:r w:rsidRPr="0038510C">
        <w:rPr>
          <w:rFonts w:ascii="Times New Roman" w:hAnsi="Times New Roman" w:cs="Times New Roman"/>
          <w:i/>
          <w:sz w:val="24"/>
          <w:szCs w:val="24"/>
        </w:rPr>
        <w:t>Journal of neurophysiology, 102</w:t>
      </w:r>
      <w:r w:rsidRPr="0038510C">
        <w:rPr>
          <w:rFonts w:ascii="Times New Roman" w:hAnsi="Times New Roman" w:cs="Times New Roman"/>
          <w:sz w:val="24"/>
          <w:szCs w:val="24"/>
        </w:rPr>
        <w:t>(6), 3469-80.</w:t>
      </w:r>
    </w:p>
    <w:p w:rsidR="00F75E89" w:rsidRPr="0038510C" w:rsidRDefault="00F75E89" w:rsidP="002B4746">
      <w:pPr>
        <w:spacing w:line="360" w:lineRule="auto"/>
        <w:rPr>
          <w:rFonts w:ascii="Times New Roman" w:hAnsi="Times New Roman" w:cs="Times New Roman"/>
          <w:b/>
          <w:sz w:val="24"/>
          <w:szCs w:val="24"/>
        </w:rPr>
      </w:pPr>
    </w:p>
    <w:sectPr w:rsidR="00F75E89" w:rsidRPr="0038510C" w:rsidSect="002A1B28">
      <w:footerReference w:type="even" r:id="rId11"/>
      <w:footerReference w:type="default" r:id="rId12"/>
      <w:pgSz w:w="11906" w:h="16838"/>
      <w:pgMar w:top="1440" w:right="1440" w:bottom="1440" w:left="1440" w:header="720" w:footer="720" w:gutter="0"/>
      <w:cols w:space="720"/>
      <w:titlePg/>
      <w:docGrid w:linePitch="36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684D" w:rsidRDefault="005F684D" w:rsidP="002A1B28">
      <w:pPr>
        <w:spacing w:after="0" w:line="240" w:lineRule="auto"/>
      </w:pPr>
      <w:r>
        <w:separator/>
      </w:r>
    </w:p>
  </w:endnote>
  <w:endnote w:type="continuationSeparator" w:id="0">
    <w:p w:rsidR="005F684D" w:rsidRDefault="005F684D" w:rsidP="002A1B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B1" w:rsidRDefault="00E118B1" w:rsidP="002A1B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18B1" w:rsidRDefault="00E118B1" w:rsidP="002A1B2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18B1" w:rsidRDefault="00E118B1" w:rsidP="002A1B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47742">
      <w:rPr>
        <w:rStyle w:val="PageNumber"/>
        <w:noProof/>
      </w:rPr>
      <w:t>21</w:t>
    </w:r>
    <w:r>
      <w:rPr>
        <w:rStyle w:val="PageNumber"/>
      </w:rPr>
      <w:fldChar w:fldCharType="end"/>
    </w:r>
  </w:p>
  <w:p w:rsidR="00E118B1" w:rsidRDefault="00E118B1" w:rsidP="002A1B28">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684D" w:rsidRDefault="005F684D" w:rsidP="002A1B28">
      <w:pPr>
        <w:spacing w:after="0" w:line="240" w:lineRule="auto"/>
      </w:pPr>
      <w:r>
        <w:separator/>
      </w:r>
    </w:p>
  </w:footnote>
  <w:footnote w:type="continuationSeparator" w:id="0">
    <w:p w:rsidR="005F684D" w:rsidRDefault="005F684D" w:rsidP="002A1B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A9AB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562116"/>
    <w:multiLevelType w:val="multilevel"/>
    <w:tmpl w:val="21041CE0"/>
    <w:lvl w:ilvl="0">
      <w:start w:val="1"/>
      <w:numFmt w:val="decimal"/>
      <w:lvlText w:val="%1."/>
      <w:lvlJc w:val="left"/>
      <w:pPr>
        <w:ind w:left="380" w:hanging="3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3C4369C"/>
    <w:multiLevelType w:val="hybridMultilevel"/>
    <w:tmpl w:val="7BD4F9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F1A01A4"/>
    <w:multiLevelType w:val="multilevel"/>
    <w:tmpl w:val="A43ADE7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5A91D53"/>
    <w:multiLevelType w:val="hybridMultilevel"/>
    <w:tmpl w:val="6B3EC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F42257"/>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8">
    <w:nsid w:val="358D15DB"/>
    <w:multiLevelType w:val="multilevel"/>
    <w:tmpl w:val="2E863A3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4A376A53"/>
    <w:multiLevelType w:val="hybridMultilevel"/>
    <w:tmpl w:val="7BF00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A80414"/>
    <w:multiLevelType w:val="multilevel"/>
    <w:tmpl w:val="38E6463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15477FF"/>
    <w:multiLevelType w:val="hybridMultilevel"/>
    <w:tmpl w:val="9B440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8E4F6D"/>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3">
    <w:nsid w:val="79FF7ED2"/>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4">
    <w:nsid w:val="7F0362A5"/>
    <w:multiLevelType w:val="hybridMultilevel"/>
    <w:tmpl w:val="36C242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2"/>
  </w:num>
  <w:num w:numId="3">
    <w:abstractNumId w:val="5"/>
  </w:num>
  <w:num w:numId="4">
    <w:abstractNumId w:val="10"/>
  </w:num>
  <w:num w:numId="5">
    <w:abstractNumId w:val="3"/>
  </w:num>
  <w:num w:numId="6">
    <w:abstractNumId w:val="8"/>
  </w:num>
  <w:num w:numId="7">
    <w:abstractNumId w:val="12"/>
  </w:num>
  <w:num w:numId="8">
    <w:abstractNumId w:val="7"/>
  </w:num>
  <w:num w:numId="9">
    <w:abstractNumId w:val="13"/>
  </w:num>
  <w:num w:numId="10">
    <w:abstractNumId w:val="6"/>
  </w:num>
  <w:num w:numId="11">
    <w:abstractNumId w:val="11"/>
  </w:num>
  <w:num w:numId="12">
    <w:abstractNumId w:val="14"/>
  </w:num>
  <w:num w:numId="13">
    <w:abstractNumId w:val="9"/>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embedSystemFont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2669A7"/>
    <w:rsid w:val="00001AA3"/>
    <w:rsid w:val="00002613"/>
    <w:rsid w:val="000048FD"/>
    <w:rsid w:val="00004F4F"/>
    <w:rsid w:val="00010848"/>
    <w:rsid w:val="00015AA9"/>
    <w:rsid w:val="00022F8F"/>
    <w:rsid w:val="00023E07"/>
    <w:rsid w:val="00033877"/>
    <w:rsid w:val="00033F5C"/>
    <w:rsid w:val="00036D20"/>
    <w:rsid w:val="00036D8A"/>
    <w:rsid w:val="00053732"/>
    <w:rsid w:val="00055CD3"/>
    <w:rsid w:val="000631F4"/>
    <w:rsid w:val="00064334"/>
    <w:rsid w:val="000646C8"/>
    <w:rsid w:val="00064DE9"/>
    <w:rsid w:val="000679AE"/>
    <w:rsid w:val="000707FE"/>
    <w:rsid w:val="000822CF"/>
    <w:rsid w:val="00083A61"/>
    <w:rsid w:val="00094B78"/>
    <w:rsid w:val="000968F8"/>
    <w:rsid w:val="00096E28"/>
    <w:rsid w:val="000A0E84"/>
    <w:rsid w:val="000A29D4"/>
    <w:rsid w:val="000A44C0"/>
    <w:rsid w:val="000B06D2"/>
    <w:rsid w:val="000B2FF4"/>
    <w:rsid w:val="000B4315"/>
    <w:rsid w:val="000B47FB"/>
    <w:rsid w:val="000C14FC"/>
    <w:rsid w:val="000C5A17"/>
    <w:rsid w:val="000D0AE6"/>
    <w:rsid w:val="000D0F19"/>
    <w:rsid w:val="000E6FDA"/>
    <w:rsid w:val="000E7A2A"/>
    <w:rsid w:val="000F7B1D"/>
    <w:rsid w:val="00101E01"/>
    <w:rsid w:val="001215B6"/>
    <w:rsid w:val="001232FA"/>
    <w:rsid w:val="001267C7"/>
    <w:rsid w:val="00140A46"/>
    <w:rsid w:val="00144E7C"/>
    <w:rsid w:val="0015171C"/>
    <w:rsid w:val="00151BCA"/>
    <w:rsid w:val="00153607"/>
    <w:rsid w:val="001541A8"/>
    <w:rsid w:val="0016370A"/>
    <w:rsid w:val="0016487A"/>
    <w:rsid w:val="00167B92"/>
    <w:rsid w:val="0018014D"/>
    <w:rsid w:val="001908F9"/>
    <w:rsid w:val="001933B6"/>
    <w:rsid w:val="00193F70"/>
    <w:rsid w:val="001A169F"/>
    <w:rsid w:val="001A3CC8"/>
    <w:rsid w:val="001B0F3F"/>
    <w:rsid w:val="001B7D16"/>
    <w:rsid w:val="001C6E37"/>
    <w:rsid w:val="001D0990"/>
    <w:rsid w:val="001D2F9E"/>
    <w:rsid w:val="001D4A65"/>
    <w:rsid w:val="001F240E"/>
    <w:rsid w:val="001F703D"/>
    <w:rsid w:val="002000BB"/>
    <w:rsid w:val="002029FB"/>
    <w:rsid w:val="002059E7"/>
    <w:rsid w:val="00205FDD"/>
    <w:rsid w:val="00206C92"/>
    <w:rsid w:val="00207A13"/>
    <w:rsid w:val="002239FA"/>
    <w:rsid w:val="0022520A"/>
    <w:rsid w:val="00225AEA"/>
    <w:rsid w:val="00231E6E"/>
    <w:rsid w:val="0023351C"/>
    <w:rsid w:val="00235B0A"/>
    <w:rsid w:val="00243009"/>
    <w:rsid w:val="00245AD9"/>
    <w:rsid w:val="002502F2"/>
    <w:rsid w:val="0025195B"/>
    <w:rsid w:val="002606C8"/>
    <w:rsid w:val="002637D5"/>
    <w:rsid w:val="00264061"/>
    <w:rsid w:val="0026506D"/>
    <w:rsid w:val="002669A7"/>
    <w:rsid w:val="002671C3"/>
    <w:rsid w:val="00271A8B"/>
    <w:rsid w:val="00271CC8"/>
    <w:rsid w:val="00280B75"/>
    <w:rsid w:val="00283997"/>
    <w:rsid w:val="00284A56"/>
    <w:rsid w:val="002868BA"/>
    <w:rsid w:val="002926B3"/>
    <w:rsid w:val="0029500F"/>
    <w:rsid w:val="002A1B28"/>
    <w:rsid w:val="002A2033"/>
    <w:rsid w:val="002A456E"/>
    <w:rsid w:val="002B4746"/>
    <w:rsid w:val="002B6E21"/>
    <w:rsid w:val="002C4009"/>
    <w:rsid w:val="002C41E8"/>
    <w:rsid w:val="002C648F"/>
    <w:rsid w:val="002C73E8"/>
    <w:rsid w:val="002C7A60"/>
    <w:rsid w:val="002E6D3E"/>
    <w:rsid w:val="0030164C"/>
    <w:rsid w:val="003025E2"/>
    <w:rsid w:val="003028E5"/>
    <w:rsid w:val="00310A9D"/>
    <w:rsid w:val="00312735"/>
    <w:rsid w:val="00313348"/>
    <w:rsid w:val="00321CC1"/>
    <w:rsid w:val="00323418"/>
    <w:rsid w:val="0033155A"/>
    <w:rsid w:val="00334995"/>
    <w:rsid w:val="003360ED"/>
    <w:rsid w:val="00342776"/>
    <w:rsid w:val="00343C1B"/>
    <w:rsid w:val="00347742"/>
    <w:rsid w:val="00351FA1"/>
    <w:rsid w:val="0035289C"/>
    <w:rsid w:val="00353403"/>
    <w:rsid w:val="00356B75"/>
    <w:rsid w:val="00362511"/>
    <w:rsid w:val="0036380E"/>
    <w:rsid w:val="00363C60"/>
    <w:rsid w:val="00373218"/>
    <w:rsid w:val="00375DC6"/>
    <w:rsid w:val="00375F91"/>
    <w:rsid w:val="00377C05"/>
    <w:rsid w:val="00383619"/>
    <w:rsid w:val="0038510C"/>
    <w:rsid w:val="00385EFD"/>
    <w:rsid w:val="00390131"/>
    <w:rsid w:val="003909D9"/>
    <w:rsid w:val="003A6D7E"/>
    <w:rsid w:val="003B4A26"/>
    <w:rsid w:val="003B5264"/>
    <w:rsid w:val="003C0710"/>
    <w:rsid w:val="003C2B0C"/>
    <w:rsid w:val="003C3648"/>
    <w:rsid w:val="003C6A1C"/>
    <w:rsid w:val="003D25E1"/>
    <w:rsid w:val="003D46F1"/>
    <w:rsid w:val="003D53B2"/>
    <w:rsid w:val="003E23CF"/>
    <w:rsid w:val="003E4503"/>
    <w:rsid w:val="003E46DB"/>
    <w:rsid w:val="003E4EED"/>
    <w:rsid w:val="003E55AB"/>
    <w:rsid w:val="003E5ED6"/>
    <w:rsid w:val="003E70D8"/>
    <w:rsid w:val="003E765F"/>
    <w:rsid w:val="003F6725"/>
    <w:rsid w:val="00401905"/>
    <w:rsid w:val="004028A3"/>
    <w:rsid w:val="00406385"/>
    <w:rsid w:val="00407EDD"/>
    <w:rsid w:val="00412B8A"/>
    <w:rsid w:val="004168FE"/>
    <w:rsid w:val="00417945"/>
    <w:rsid w:val="00421AF0"/>
    <w:rsid w:val="004347F4"/>
    <w:rsid w:val="004504C0"/>
    <w:rsid w:val="0045428A"/>
    <w:rsid w:val="00456367"/>
    <w:rsid w:val="0046404F"/>
    <w:rsid w:val="004667CD"/>
    <w:rsid w:val="00472E91"/>
    <w:rsid w:val="00497FE6"/>
    <w:rsid w:val="004A083D"/>
    <w:rsid w:val="004A66A8"/>
    <w:rsid w:val="004B2860"/>
    <w:rsid w:val="004C0BB5"/>
    <w:rsid w:val="004C132F"/>
    <w:rsid w:val="004C49DB"/>
    <w:rsid w:val="004C5867"/>
    <w:rsid w:val="004C5C35"/>
    <w:rsid w:val="004C7831"/>
    <w:rsid w:val="004D07B6"/>
    <w:rsid w:val="004E23CB"/>
    <w:rsid w:val="004E4065"/>
    <w:rsid w:val="004E5440"/>
    <w:rsid w:val="004E7E86"/>
    <w:rsid w:val="004F0768"/>
    <w:rsid w:val="004F19DF"/>
    <w:rsid w:val="004F1C2A"/>
    <w:rsid w:val="004F4DF0"/>
    <w:rsid w:val="00511749"/>
    <w:rsid w:val="00511E36"/>
    <w:rsid w:val="005141AB"/>
    <w:rsid w:val="00520BEA"/>
    <w:rsid w:val="005218C9"/>
    <w:rsid w:val="00521F7D"/>
    <w:rsid w:val="00524459"/>
    <w:rsid w:val="005257BA"/>
    <w:rsid w:val="0052655F"/>
    <w:rsid w:val="005279BA"/>
    <w:rsid w:val="00532551"/>
    <w:rsid w:val="0053356F"/>
    <w:rsid w:val="005335FD"/>
    <w:rsid w:val="00536F70"/>
    <w:rsid w:val="00543C3E"/>
    <w:rsid w:val="005547BC"/>
    <w:rsid w:val="00560BAA"/>
    <w:rsid w:val="00562BB3"/>
    <w:rsid w:val="00564D1A"/>
    <w:rsid w:val="00571622"/>
    <w:rsid w:val="005717E0"/>
    <w:rsid w:val="005740E8"/>
    <w:rsid w:val="00574F4A"/>
    <w:rsid w:val="00581318"/>
    <w:rsid w:val="005833E0"/>
    <w:rsid w:val="00584033"/>
    <w:rsid w:val="00590989"/>
    <w:rsid w:val="00590DBD"/>
    <w:rsid w:val="00591F4F"/>
    <w:rsid w:val="00595750"/>
    <w:rsid w:val="00597FAD"/>
    <w:rsid w:val="005A10E1"/>
    <w:rsid w:val="005A6C62"/>
    <w:rsid w:val="005A73D0"/>
    <w:rsid w:val="005C062C"/>
    <w:rsid w:val="005C145C"/>
    <w:rsid w:val="005C3675"/>
    <w:rsid w:val="005C43A6"/>
    <w:rsid w:val="005C756C"/>
    <w:rsid w:val="005D4F94"/>
    <w:rsid w:val="005D719B"/>
    <w:rsid w:val="005E3CA1"/>
    <w:rsid w:val="005E5303"/>
    <w:rsid w:val="005E61FB"/>
    <w:rsid w:val="005F1023"/>
    <w:rsid w:val="005F684D"/>
    <w:rsid w:val="005F6F06"/>
    <w:rsid w:val="006052D1"/>
    <w:rsid w:val="00621DCD"/>
    <w:rsid w:val="00625F36"/>
    <w:rsid w:val="00626D71"/>
    <w:rsid w:val="00627561"/>
    <w:rsid w:val="00631254"/>
    <w:rsid w:val="0063300B"/>
    <w:rsid w:val="00640CEB"/>
    <w:rsid w:val="00642170"/>
    <w:rsid w:val="00642793"/>
    <w:rsid w:val="00644376"/>
    <w:rsid w:val="00647798"/>
    <w:rsid w:val="006548AF"/>
    <w:rsid w:val="006551F2"/>
    <w:rsid w:val="00664533"/>
    <w:rsid w:val="00671A7B"/>
    <w:rsid w:val="00671A99"/>
    <w:rsid w:val="006724FC"/>
    <w:rsid w:val="00676DD6"/>
    <w:rsid w:val="00684540"/>
    <w:rsid w:val="00686DFC"/>
    <w:rsid w:val="0068777A"/>
    <w:rsid w:val="00691776"/>
    <w:rsid w:val="006A63AB"/>
    <w:rsid w:val="006B0CD3"/>
    <w:rsid w:val="006C6EFB"/>
    <w:rsid w:val="006D1267"/>
    <w:rsid w:val="006D69BA"/>
    <w:rsid w:val="006E1430"/>
    <w:rsid w:val="006E21DD"/>
    <w:rsid w:val="006E36D0"/>
    <w:rsid w:val="006E54F4"/>
    <w:rsid w:val="006E598E"/>
    <w:rsid w:val="006F5ADF"/>
    <w:rsid w:val="00711290"/>
    <w:rsid w:val="00714F61"/>
    <w:rsid w:val="007216FF"/>
    <w:rsid w:val="007257D9"/>
    <w:rsid w:val="00726721"/>
    <w:rsid w:val="00727AAB"/>
    <w:rsid w:val="00733906"/>
    <w:rsid w:val="00734BED"/>
    <w:rsid w:val="00735D2F"/>
    <w:rsid w:val="00736057"/>
    <w:rsid w:val="00746CC6"/>
    <w:rsid w:val="00750DAC"/>
    <w:rsid w:val="007511F2"/>
    <w:rsid w:val="00751877"/>
    <w:rsid w:val="007601EF"/>
    <w:rsid w:val="007659D0"/>
    <w:rsid w:val="00766B84"/>
    <w:rsid w:val="00767348"/>
    <w:rsid w:val="00767CFF"/>
    <w:rsid w:val="00771678"/>
    <w:rsid w:val="007823DA"/>
    <w:rsid w:val="0078389E"/>
    <w:rsid w:val="007928EE"/>
    <w:rsid w:val="00792C7B"/>
    <w:rsid w:val="007A0041"/>
    <w:rsid w:val="007A5688"/>
    <w:rsid w:val="007A6BAB"/>
    <w:rsid w:val="007C1601"/>
    <w:rsid w:val="007C3058"/>
    <w:rsid w:val="007C4C65"/>
    <w:rsid w:val="007D1545"/>
    <w:rsid w:val="007E5C40"/>
    <w:rsid w:val="007E67C1"/>
    <w:rsid w:val="007F6D2B"/>
    <w:rsid w:val="007F6D80"/>
    <w:rsid w:val="007F7AD1"/>
    <w:rsid w:val="00801513"/>
    <w:rsid w:val="00806D05"/>
    <w:rsid w:val="00810E9F"/>
    <w:rsid w:val="00815819"/>
    <w:rsid w:val="00820106"/>
    <w:rsid w:val="0082265A"/>
    <w:rsid w:val="00823FBE"/>
    <w:rsid w:val="008338C6"/>
    <w:rsid w:val="00834F63"/>
    <w:rsid w:val="0083512F"/>
    <w:rsid w:val="0083566C"/>
    <w:rsid w:val="00836874"/>
    <w:rsid w:val="00841371"/>
    <w:rsid w:val="00844363"/>
    <w:rsid w:val="00852FE1"/>
    <w:rsid w:val="008607BA"/>
    <w:rsid w:val="0086149D"/>
    <w:rsid w:val="00864E01"/>
    <w:rsid w:val="00865D07"/>
    <w:rsid w:val="00866F85"/>
    <w:rsid w:val="008769F3"/>
    <w:rsid w:val="00876AE8"/>
    <w:rsid w:val="00890A80"/>
    <w:rsid w:val="008A05EE"/>
    <w:rsid w:val="008A2E21"/>
    <w:rsid w:val="008A40DC"/>
    <w:rsid w:val="008A6299"/>
    <w:rsid w:val="008A650D"/>
    <w:rsid w:val="008A7162"/>
    <w:rsid w:val="008B1BA5"/>
    <w:rsid w:val="008C27B8"/>
    <w:rsid w:val="008C3BCA"/>
    <w:rsid w:val="008D07F3"/>
    <w:rsid w:val="008D122C"/>
    <w:rsid w:val="008D2A44"/>
    <w:rsid w:val="008D2B6E"/>
    <w:rsid w:val="008D332B"/>
    <w:rsid w:val="008E4E21"/>
    <w:rsid w:val="008F4700"/>
    <w:rsid w:val="0090216F"/>
    <w:rsid w:val="00904727"/>
    <w:rsid w:val="00905194"/>
    <w:rsid w:val="00914676"/>
    <w:rsid w:val="009147D9"/>
    <w:rsid w:val="00917D58"/>
    <w:rsid w:val="009221B5"/>
    <w:rsid w:val="00923FEC"/>
    <w:rsid w:val="00924034"/>
    <w:rsid w:val="00924A37"/>
    <w:rsid w:val="009266E9"/>
    <w:rsid w:val="00936B00"/>
    <w:rsid w:val="00944552"/>
    <w:rsid w:val="009521CD"/>
    <w:rsid w:val="00957939"/>
    <w:rsid w:val="00962D36"/>
    <w:rsid w:val="00970304"/>
    <w:rsid w:val="009723A1"/>
    <w:rsid w:val="009762D9"/>
    <w:rsid w:val="009946B8"/>
    <w:rsid w:val="00995D49"/>
    <w:rsid w:val="009A03B7"/>
    <w:rsid w:val="009A0B79"/>
    <w:rsid w:val="009A23B6"/>
    <w:rsid w:val="009A7841"/>
    <w:rsid w:val="009B468A"/>
    <w:rsid w:val="009B7804"/>
    <w:rsid w:val="009C26CE"/>
    <w:rsid w:val="009C49AF"/>
    <w:rsid w:val="009D125F"/>
    <w:rsid w:val="009D4F77"/>
    <w:rsid w:val="009D4F7D"/>
    <w:rsid w:val="009F0756"/>
    <w:rsid w:val="009F0D5A"/>
    <w:rsid w:val="009F38F0"/>
    <w:rsid w:val="009F5B8E"/>
    <w:rsid w:val="00A009F6"/>
    <w:rsid w:val="00A00A9F"/>
    <w:rsid w:val="00A01C6E"/>
    <w:rsid w:val="00A05F72"/>
    <w:rsid w:val="00A07171"/>
    <w:rsid w:val="00A10291"/>
    <w:rsid w:val="00A1058B"/>
    <w:rsid w:val="00A1091D"/>
    <w:rsid w:val="00A14CEB"/>
    <w:rsid w:val="00A15FD2"/>
    <w:rsid w:val="00A20118"/>
    <w:rsid w:val="00A20227"/>
    <w:rsid w:val="00A21E48"/>
    <w:rsid w:val="00A3523F"/>
    <w:rsid w:val="00A40B6A"/>
    <w:rsid w:val="00A43ED5"/>
    <w:rsid w:val="00A4667B"/>
    <w:rsid w:val="00A53640"/>
    <w:rsid w:val="00A60091"/>
    <w:rsid w:val="00A608E7"/>
    <w:rsid w:val="00A67EBC"/>
    <w:rsid w:val="00A7502E"/>
    <w:rsid w:val="00A758BD"/>
    <w:rsid w:val="00A8567C"/>
    <w:rsid w:val="00A915AD"/>
    <w:rsid w:val="00AA3D7B"/>
    <w:rsid w:val="00AB0FFE"/>
    <w:rsid w:val="00AC1555"/>
    <w:rsid w:val="00AC417A"/>
    <w:rsid w:val="00AC67CA"/>
    <w:rsid w:val="00AD0A3D"/>
    <w:rsid w:val="00AE0A4B"/>
    <w:rsid w:val="00AE0B1A"/>
    <w:rsid w:val="00AE1395"/>
    <w:rsid w:val="00AE4FA3"/>
    <w:rsid w:val="00AE75E3"/>
    <w:rsid w:val="00AF4AA8"/>
    <w:rsid w:val="00B0504D"/>
    <w:rsid w:val="00B06125"/>
    <w:rsid w:val="00B06501"/>
    <w:rsid w:val="00B100B7"/>
    <w:rsid w:val="00B115EA"/>
    <w:rsid w:val="00B14322"/>
    <w:rsid w:val="00B252AD"/>
    <w:rsid w:val="00B34B46"/>
    <w:rsid w:val="00B3665B"/>
    <w:rsid w:val="00B36E01"/>
    <w:rsid w:val="00B428C3"/>
    <w:rsid w:val="00B42AF7"/>
    <w:rsid w:val="00B446EE"/>
    <w:rsid w:val="00B44B37"/>
    <w:rsid w:val="00B4730D"/>
    <w:rsid w:val="00B50801"/>
    <w:rsid w:val="00B52015"/>
    <w:rsid w:val="00B6080B"/>
    <w:rsid w:val="00B61BA6"/>
    <w:rsid w:val="00B81474"/>
    <w:rsid w:val="00B92616"/>
    <w:rsid w:val="00B93E5C"/>
    <w:rsid w:val="00B94463"/>
    <w:rsid w:val="00BB4A3C"/>
    <w:rsid w:val="00BB4B2E"/>
    <w:rsid w:val="00BB4DD9"/>
    <w:rsid w:val="00BB726C"/>
    <w:rsid w:val="00BC0A6D"/>
    <w:rsid w:val="00BC1117"/>
    <w:rsid w:val="00BC7353"/>
    <w:rsid w:val="00BC7CE0"/>
    <w:rsid w:val="00BD0C5C"/>
    <w:rsid w:val="00BD41C2"/>
    <w:rsid w:val="00BD4503"/>
    <w:rsid w:val="00BE09E4"/>
    <w:rsid w:val="00BE1960"/>
    <w:rsid w:val="00BF77F4"/>
    <w:rsid w:val="00C07CBF"/>
    <w:rsid w:val="00C17E93"/>
    <w:rsid w:val="00C17F6E"/>
    <w:rsid w:val="00C268C4"/>
    <w:rsid w:val="00C31888"/>
    <w:rsid w:val="00C358CF"/>
    <w:rsid w:val="00C47AB1"/>
    <w:rsid w:val="00C61AD5"/>
    <w:rsid w:val="00C61C0E"/>
    <w:rsid w:val="00C650DF"/>
    <w:rsid w:val="00C7092E"/>
    <w:rsid w:val="00C71E42"/>
    <w:rsid w:val="00C758C5"/>
    <w:rsid w:val="00C759E2"/>
    <w:rsid w:val="00C80A0B"/>
    <w:rsid w:val="00C82AAB"/>
    <w:rsid w:val="00C8538C"/>
    <w:rsid w:val="00C91D03"/>
    <w:rsid w:val="00C933EB"/>
    <w:rsid w:val="00C96EFB"/>
    <w:rsid w:val="00C96F3E"/>
    <w:rsid w:val="00CA43DD"/>
    <w:rsid w:val="00CA63AF"/>
    <w:rsid w:val="00CB07C4"/>
    <w:rsid w:val="00CB2C1B"/>
    <w:rsid w:val="00CB4786"/>
    <w:rsid w:val="00CB4FBC"/>
    <w:rsid w:val="00CB7C1C"/>
    <w:rsid w:val="00CB7C37"/>
    <w:rsid w:val="00CC1E12"/>
    <w:rsid w:val="00CC2A87"/>
    <w:rsid w:val="00CC3DBE"/>
    <w:rsid w:val="00CD31FC"/>
    <w:rsid w:val="00CD5D30"/>
    <w:rsid w:val="00CE010D"/>
    <w:rsid w:val="00CE2476"/>
    <w:rsid w:val="00CE52E8"/>
    <w:rsid w:val="00CF18EF"/>
    <w:rsid w:val="00CF7072"/>
    <w:rsid w:val="00D00755"/>
    <w:rsid w:val="00D02B11"/>
    <w:rsid w:val="00D04198"/>
    <w:rsid w:val="00D1004D"/>
    <w:rsid w:val="00D11403"/>
    <w:rsid w:val="00D14D65"/>
    <w:rsid w:val="00D16489"/>
    <w:rsid w:val="00D221F3"/>
    <w:rsid w:val="00D2222A"/>
    <w:rsid w:val="00D227D7"/>
    <w:rsid w:val="00D26B85"/>
    <w:rsid w:val="00D334BD"/>
    <w:rsid w:val="00D338A9"/>
    <w:rsid w:val="00D36CE7"/>
    <w:rsid w:val="00D37AAC"/>
    <w:rsid w:val="00D45411"/>
    <w:rsid w:val="00D53F8C"/>
    <w:rsid w:val="00D543DB"/>
    <w:rsid w:val="00D54FF0"/>
    <w:rsid w:val="00D6191A"/>
    <w:rsid w:val="00D640ED"/>
    <w:rsid w:val="00D6645A"/>
    <w:rsid w:val="00D66B78"/>
    <w:rsid w:val="00D70683"/>
    <w:rsid w:val="00D7165D"/>
    <w:rsid w:val="00D73519"/>
    <w:rsid w:val="00D73CD4"/>
    <w:rsid w:val="00D8620C"/>
    <w:rsid w:val="00D87DCB"/>
    <w:rsid w:val="00D90EE1"/>
    <w:rsid w:val="00D93A06"/>
    <w:rsid w:val="00D94285"/>
    <w:rsid w:val="00D94A1B"/>
    <w:rsid w:val="00D94B40"/>
    <w:rsid w:val="00D96548"/>
    <w:rsid w:val="00DA259B"/>
    <w:rsid w:val="00DA5875"/>
    <w:rsid w:val="00DA6545"/>
    <w:rsid w:val="00DB5E2B"/>
    <w:rsid w:val="00DC0EF4"/>
    <w:rsid w:val="00DD3D0A"/>
    <w:rsid w:val="00DE0404"/>
    <w:rsid w:val="00DE4C2C"/>
    <w:rsid w:val="00DE7E08"/>
    <w:rsid w:val="00E10B6E"/>
    <w:rsid w:val="00E118B1"/>
    <w:rsid w:val="00E13DDC"/>
    <w:rsid w:val="00E1763E"/>
    <w:rsid w:val="00E1772E"/>
    <w:rsid w:val="00E26308"/>
    <w:rsid w:val="00E300FD"/>
    <w:rsid w:val="00E30F13"/>
    <w:rsid w:val="00E31669"/>
    <w:rsid w:val="00E3593F"/>
    <w:rsid w:val="00E361B9"/>
    <w:rsid w:val="00E37102"/>
    <w:rsid w:val="00E37D04"/>
    <w:rsid w:val="00E431F9"/>
    <w:rsid w:val="00E4514A"/>
    <w:rsid w:val="00E52219"/>
    <w:rsid w:val="00E528D2"/>
    <w:rsid w:val="00E551B8"/>
    <w:rsid w:val="00E617AE"/>
    <w:rsid w:val="00E621B1"/>
    <w:rsid w:val="00E62711"/>
    <w:rsid w:val="00E63659"/>
    <w:rsid w:val="00E71B60"/>
    <w:rsid w:val="00E73B42"/>
    <w:rsid w:val="00E7440A"/>
    <w:rsid w:val="00E80733"/>
    <w:rsid w:val="00E82DB8"/>
    <w:rsid w:val="00E84155"/>
    <w:rsid w:val="00E86C53"/>
    <w:rsid w:val="00E92262"/>
    <w:rsid w:val="00E97891"/>
    <w:rsid w:val="00EB403E"/>
    <w:rsid w:val="00EB7BC6"/>
    <w:rsid w:val="00EC3563"/>
    <w:rsid w:val="00EC5399"/>
    <w:rsid w:val="00ED352E"/>
    <w:rsid w:val="00EE433C"/>
    <w:rsid w:val="00EE628A"/>
    <w:rsid w:val="00EF6DB2"/>
    <w:rsid w:val="00F0174D"/>
    <w:rsid w:val="00F01C76"/>
    <w:rsid w:val="00F05B60"/>
    <w:rsid w:val="00F0610A"/>
    <w:rsid w:val="00F133EE"/>
    <w:rsid w:val="00F13A15"/>
    <w:rsid w:val="00F16469"/>
    <w:rsid w:val="00F1694F"/>
    <w:rsid w:val="00F17B42"/>
    <w:rsid w:val="00F20739"/>
    <w:rsid w:val="00F2640E"/>
    <w:rsid w:val="00F32E01"/>
    <w:rsid w:val="00F37E9B"/>
    <w:rsid w:val="00F41F6C"/>
    <w:rsid w:val="00F43C5A"/>
    <w:rsid w:val="00F61A4B"/>
    <w:rsid w:val="00F66394"/>
    <w:rsid w:val="00F71921"/>
    <w:rsid w:val="00F739A6"/>
    <w:rsid w:val="00F7436F"/>
    <w:rsid w:val="00F75E89"/>
    <w:rsid w:val="00F80D37"/>
    <w:rsid w:val="00F8178E"/>
    <w:rsid w:val="00F84713"/>
    <w:rsid w:val="00F90454"/>
    <w:rsid w:val="00F90DB7"/>
    <w:rsid w:val="00F92526"/>
    <w:rsid w:val="00F96520"/>
    <w:rsid w:val="00F9789E"/>
    <w:rsid w:val="00F97DAE"/>
    <w:rsid w:val="00FA68AA"/>
    <w:rsid w:val="00FA763F"/>
    <w:rsid w:val="00FB15ED"/>
    <w:rsid w:val="00FB2125"/>
    <w:rsid w:val="00FB746A"/>
    <w:rsid w:val="00FC0E8F"/>
    <w:rsid w:val="00FC38DF"/>
    <w:rsid w:val="00FC72E7"/>
    <w:rsid w:val="00FD48AF"/>
    <w:rsid w:val="00FD7ABC"/>
    <w:rsid w:val="00FE3898"/>
    <w:rsid w:val="00FE6FBF"/>
    <w:rsid w:val="00FE7235"/>
    <w:rsid w:val="00FF265F"/>
    <w:rsid w:val="00FF5DCB"/>
    <w:rsid w:val="00FF6303"/>
    <w:rsid w:val="00FF66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uppressAutoHyphens/>
      <w:spacing w:after="160" w:line="259" w:lineRule="auto"/>
    </w:pPr>
    <w:rPr>
      <w:rFonts w:ascii="Calibri" w:eastAsia="Arial Unicode MS" w:hAnsi="Calibri" w:cs="Calibri"/>
      <w:kern w:val="1"/>
      <w:sz w:val="22"/>
      <w:szCs w:val="22"/>
      <w:lang w:eastAsia="ar-SA"/>
    </w:rPr>
  </w:style>
  <w:style w:type="character" w:default="1" w:styleId="DefaultParagraphFont">
    <w:name w:val="Default Paragraph Font"/>
    <w:aliases w:val="Default Paragraph Font1,Default Paragraph Font11"/>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BalloonTextChar">
    <w:name w:val="Balloon Text Char"/>
    <w:rPr>
      <w:rFonts w:ascii="Tahoma" w:hAnsi="Tahoma" w:cs="Tahoma"/>
      <w:sz w:val="16"/>
      <w:szCs w:val="16"/>
    </w:rPr>
  </w:style>
  <w:style w:type="paragraph" w:customStyle="1" w:styleId="Heading">
    <w:name w:val="Heading"/>
    <w:basedOn w:val="Normal"/>
    <w:next w:val="BodyText"/>
    <w:pPr>
      <w:keepNext/>
      <w:spacing w:before="240" w:after="120"/>
    </w:pPr>
    <w:rPr>
      <w:rFonts w:ascii="Arial" w:hAnsi="Arial" w:cs="Arial Unicode MS"/>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styleId="MediumList2-Accent4">
    <w:name w:val="Medium List 2 Accent 4"/>
    <w:basedOn w:val="Normal"/>
    <w:qFormat/>
    <w:pPr>
      <w:ind w:left="720"/>
    </w:pPr>
  </w:style>
  <w:style w:type="paragraph" w:styleId="BalloonText">
    <w:name w:val="Balloon Text"/>
    <w:basedOn w:val="Normal"/>
    <w:pPr>
      <w:spacing w:after="0" w:line="100" w:lineRule="atLeast"/>
    </w:pPr>
    <w:rPr>
      <w:rFonts w:ascii="Tahoma" w:hAnsi="Tahoma" w:cs="Tahoma"/>
      <w:sz w:val="16"/>
      <w:szCs w:val="16"/>
    </w:rPr>
  </w:style>
  <w:style w:type="paragraph" w:styleId="TOC1">
    <w:name w:val="toc 1"/>
    <w:basedOn w:val="Normal"/>
    <w:next w:val="Normal"/>
    <w:autoRedefine/>
    <w:uiPriority w:val="39"/>
    <w:unhideWhenUsed/>
    <w:rsid w:val="006D69BA"/>
  </w:style>
  <w:style w:type="paragraph" w:styleId="TOC2">
    <w:name w:val="toc 2"/>
    <w:basedOn w:val="Normal"/>
    <w:next w:val="Normal"/>
    <w:autoRedefine/>
    <w:uiPriority w:val="39"/>
    <w:unhideWhenUsed/>
    <w:rsid w:val="006D69BA"/>
    <w:pPr>
      <w:ind w:left="220"/>
    </w:pPr>
  </w:style>
  <w:style w:type="paragraph" w:styleId="TOC3">
    <w:name w:val="toc 3"/>
    <w:basedOn w:val="Normal"/>
    <w:next w:val="Normal"/>
    <w:autoRedefine/>
    <w:uiPriority w:val="39"/>
    <w:unhideWhenUsed/>
    <w:rsid w:val="006D69BA"/>
    <w:pPr>
      <w:ind w:left="440"/>
    </w:pPr>
  </w:style>
  <w:style w:type="paragraph" w:styleId="TOC4">
    <w:name w:val="toc 4"/>
    <w:basedOn w:val="Normal"/>
    <w:next w:val="Normal"/>
    <w:autoRedefine/>
    <w:uiPriority w:val="39"/>
    <w:unhideWhenUsed/>
    <w:rsid w:val="006D69BA"/>
    <w:pPr>
      <w:ind w:left="660"/>
    </w:pPr>
  </w:style>
  <w:style w:type="paragraph" w:styleId="TOC5">
    <w:name w:val="toc 5"/>
    <w:basedOn w:val="Normal"/>
    <w:next w:val="Normal"/>
    <w:autoRedefine/>
    <w:uiPriority w:val="39"/>
    <w:unhideWhenUsed/>
    <w:rsid w:val="006D69BA"/>
    <w:pPr>
      <w:ind w:left="880"/>
    </w:pPr>
  </w:style>
  <w:style w:type="paragraph" w:styleId="TOC6">
    <w:name w:val="toc 6"/>
    <w:basedOn w:val="Normal"/>
    <w:next w:val="Normal"/>
    <w:autoRedefine/>
    <w:uiPriority w:val="39"/>
    <w:unhideWhenUsed/>
    <w:rsid w:val="006D69BA"/>
    <w:pPr>
      <w:ind w:left="1100"/>
    </w:pPr>
  </w:style>
  <w:style w:type="paragraph" w:styleId="TOC7">
    <w:name w:val="toc 7"/>
    <w:basedOn w:val="Normal"/>
    <w:next w:val="Normal"/>
    <w:autoRedefine/>
    <w:uiPriority w:val="39"/>
    <w:unhideWhenUsed/>
    <w:rsid w:val="006D69BA"/>
    <w:pPr>
      <w:ind w:left="1320"/>
    </w:pPr>
  </w:style>
  <w:style w:type="paragraph" w:styleId="TOC8">
    <w:name w:val="toc 8"/>
    <w:basedOn w:val="Normal"/>
    <w:next w:val="Normal"/>
    <w:autoRedefine/>
    <w:uiPriority w:val="39"/>
    <w:unhideWhenUsed/>
    <w:rsid w:val="006D69BA"/>
    <w:pPr>
      <w:ind w:left="1540"/>
    </w:pPr>
  </w:style>
  <w:style w:type="paragraph" w:styleId="TOC9">
    <w:name w:val="toc 9"/>
    <w:basedOn w:val="Normal"/>
    <w:next w:val="Normal"/>
    <w:autoRedefine/>
    <w:uiPriority w:val="39"/>
    <w:unhideWhenUsed/>
    <w:rsid w:val="006D69BA"/>
    <w:pPr>
      <w:ind w:left="1760"/>
    </w:pPr>
  </w:style>
  <w:style w:type="paragraph" w:styleId="Footer">
    <w:name w:val="footer"/>
    <w:basedOn w:val="Normal"/>
    <w:link w:val="FooterChar"/>
    <w:uiPriority w:val="99"/>
    <w:unhideWhenUsed/>
    <w:rsid w:val="002A1B28"/>
    <w:pPr>
      <w:tabs>
        <w:tab w:val="center" w:pos="4320"/>
        <w:tab w:val="right" w:pos="8640"/>
      </w:tabs>
    </w:pPr>
    <w:rPr>
      <w:rFonts w:cs="Times New Roman"/>
      <w:lang/>
    </w:rPr>
  </w:style>
  <w:style w:type="character" w:customStyle="1" w:styleId="FooterChar">
    <w:name w:val="Footer Char"/>
    <w:link w:val="Footer"/>
    <w:uiPriority w:val="99"/>
    <w:rsid w:val="002A1B28"/>
    <w:rPr>
      <w:rFonts w:ascii="Calibri" w:eastAsia="Arial Unicode MS" w:hAnsi="Calibri" w:cs="Calibri"/>
      <w:kern w:val="1"/>
      <w:sz w:val="22"/>
      <w:szCs w:val="22"/>
      <w:lang w:eastAsia="ar-SA"/>
    </w:rPr>
  </w:style>
  <w:style w:type="character" w:styleId="PageNumber">
    <w:name w:val="page number"/>
    <w:uiPriority w:val="99"/>
    <w:semiHidden/>
    <w:unhideWhenUsed/>
    <w:rsid w:val="002A1B28"/>
  </w:style>
  <w:style w:type="paragraph" w:styleId="NormalWeb">
    <w:name w:val="Normal (Web)"/>
    <w:basedOn w:val="Normal"/>
    <w:uiPriority w:val="99"/>
    <w:unhideWhenUsed/>
    <w:rsid w:val="00917D58"/>
    <w:pPr>
      <w:suppressAutoHyphens w:val="0"/>
      <w:spacing w:before="100" w:beforeAutospacing="1" w:after="100" w:afterAutospacing="1" w:line="240" w:lineRule="auto"/>
    </w:pPr>
    <w:rPr>
      <w:rFonts w:ascii="Times" w:eastAsia="MS Mincho" w:hAnsi="Times" w:cs="Times New Roman"/>
      <w:kern w:val="0"/>
      <w:sz w:val="20"/>
      <w:szCs w:val="20"/>
      <w:lang w:eastAsia="en-US"/>
    </w:rPr>
  </w:style>
  <w:style w:type="character" w:styleId="CommentReference">
    <w:name w:val="annotation reference"/>
    <w:uiPriority w:val="99"/>
    <w:semiHidden/>
    <w:unhideWhenUsed/>
    <w:rsid w:val="00684540"/>
    <w:rPr>
      <w:sz w:val="16"/>
      <w:szCs w:val="16"/>
    </w:rPr>
  </w:style>
  <w:style w:type="paragraph" w:styleId="CommentText">
    <w:name w:val="annotation text"/>
    <w:basedOn w:val="Normal"/>
    <w:link w:val="CommentTextChar"/>
    <w:uiPriority w:val="99"/>
    <w:semiHidden/>
    <w:unhideWhenUsed/>
    <w:rsid w:val="00684540"/>
    <w:rPr>
      <w:rFonts w:cs="Times New Roman"/>
      <w:sz w:val="20"/>
      <w:szCs w:val="20"/>
      <w:lang/>
    </w:rPr>
  </w:style>
  <w:style w:type="character" w:customStyle="1" w:styleId="CommentTextChar">
    <w:name w:val="Comment Text Char"/>
    <w:link w:val="CommentText"/>
    <w:uiPriority w:val="99"/>
    <w:semiHidden/>
    <w:rsid w:val="00684540"/>
    <w:rPr>
      <w:rFonts w:ascii="Calibri" w:eastAsia="Arial Unicode MS" w:hAnsi="Calibri" w:cs="Calibri"/>
      <w:kern w:val="1"/>
      <w:lang w:eastAsia="ar-SA"/>
    </w:rPr>
  </w:style>
  <w:style w:type="paragraph" w:styleId="CommentSubject">
    <w:name w:val="annotation subject"/>
    <w:basedOn w:val="CommentText"/>
    <w:next w:val="CommentText"/>
    <w:link w:val="CommentSubjectChar"/>
    <w:uiPriority w:val="99"/>
    <w:semiHidden/>
    <w:unhideWhenUsed/>
    <w:rsid w:val="00684540"/>
    <w:rPr>
      <w:b/>
      <w:bCs/>
    </w:rPr>
  </w:style>
  <w:style w:type="character" w:customStyle="1" w:styleId="CommentSubjectChar">
    <w:name w:val="Comment Subject Char"/>
    <w:link w:val="CommentSubject"/>
    <w:uiPriority w:val="99"/>
    <w:semiHidden/>
    <w:rsid w:val="00684540"/>
    <w:rPr>
      <w:rFonts w:ascii="Calibri" w:eastAsia="Arial Unicode MS" w:hAnsi="Calibri" w:cs="Calibri"/>
      <w:b/>
      <w:bCs/>
      <w:kern w:val="1"/>
      <w:lang w:eastAsia="ar-SA"/>
    </w:rPr>
  </w:style>
  <w:style w:type="character" w:customStyle="1" w:styleId="apple-converted-space">
    <w:name w:val="apple-converted-space"/>
    <w:rsid w:val="00B446EE"/>
  </w:style>
  <w:style w:type="character" w:styleId="Hyperlink">
    <w:name w:val="Hyperlink"/>
    <w:uiPriority w:val="99"/>
    <w:unhideWhenUsed/>
    <w:rsid w:val="003C0710"/>
    <w:rPr>
      <w:color w:val="0000FF"/>
      <w:u w:val="single"/>
    </w:rPr>
  </w:style>
  <w:style w:type="character" w:customStyle="1" w:styleId="optinsert">
    <w:name w:val="optinsert"/>
    <w:rsid w:val="00E118B1"/>
  </w:style>
  <w:style w:type="character" w:customStyle="1" w:styleId="optdel">
    <w:name w:val="optdel"/>
    <w:rsid w:val="00E118B1"/>
  </w:style>
</w:styles>
</file>

<file path=word/webSettings.xml><?xml version="1.0" encoding="utf-8"?>
<w:webSettings xmlns:r="http://schemas.openxmlformats.org/officeDocument/2006/relationships" xmlns:w="http://schemas.openxmlformats.org/wordprocessingml/2006/main">
  <w:divs>
    <w:div w:id="219483793">
      <w:bodyDiv w:val="1"/>
      <w:marLeft w:val="0"/>
      <w:marRight w:val="0"/>
      <w:marTop w:val="0"/>
      <w:marBottom w:val="0"/>
      <w:divBdr>
        <w:top w:val="none" w:sz="0" w:space="0" w:color="auto"/>
        <w:left w:val="none" w:sz="0" w:space="0" w:color="auto"/>
        <w:bottom w:val="none" w:sz="0" w:space="0" w:color="auto"/>
        <w:right w:val="none" w:sz="0" w:space="0" w:color="auto"/>
      </w:divBdr>
    </w:div>
    <w:div w:id="423305563">
      <w:bodyDiv w:val="1"/>
      <w:marLeft w:val="0"/>
      <w:marRight w:val="0"/>
      <w:marTop w:val="0"/>
      <w:marBottom w:val="0"/>
      <w:divBdr>
        <w:top w:val="none" w:sz="0" w:space="0" w:color="auto"/>
        <w:left w:val="none" w:sz="0" w:space="0" w:color="auto"/>
        <w:bottom w:val="none" w:sz="0" w:space="0" w:color="auto"/>
        <w:right w:val="none" w:sz="0" w:space="0" w:color="auto"/>
      </w:divBdr>
    </w:div>
    <w:div w:id="457796379">
      <w:bodyDiv w:val="1"/>
      <w:marLeft w:val="0"/>
      <w:marRight w:val="0"/>
      <w:marTop w:val="0"/>
      <w:marBottom w:val="0"/>
      <w:divBdr>
        <w:top w:val="none" w:sz="0" w:space="0" w:color="auto"/>
        <w:left w:val="none" w:sz="0" w:space="0" w:color="auto"/>
        <w:bottom w:val="none" w:sz="0" w:space="0" w:color="auto"/>
        <w:right w:val="none" w:sz="0" w:space="0" w:color="auto"/>
      </w:divBdr>
    </w:div>
    <w:div w:id="669285700">
      <w:bodyDiv w:val="1"/>
      <w:marLeft w:val="0"/>
      <w:marRight w:val="0"/>
      <w:marTop w:val="0"/>
      <w:marBottom w:val="0"/>
      <w:divBdr>
        <w:top w:val="none" w:sz="0" w:space="0" w:color="auto"/>
        <w:left w:val="none" w:sz="0" w:space="0" w:color="auto"/>
        <w:bottom w:val="none" w:sz="0" w:space="0" w:color="auto"/>
        <w:right w:val="none" w:sz="0" w:space="0" w:color="auto"/>
      </w:divBdr>
    </w:div>
    <w:div w:id="789277189">
      <w:bodyDiv w:val="1"/>
      <w:marLeft w:val="0"/>
      <w:marRight w:val="0"/>
      <w:marTop w:val="0"/>
      <w:marBottom w:val="0"/>
      <w:divBdr>
        <w:top w:val="none" w:sz="0" w:space="0" w:color="auto"/>
        <w:left w:val="none" w:sz="0" w:space="0" w:color="auto"/>
        <w:bottom w:val="none" w:sz="0" w:space="0" w:color="auto"/>
        <w:right w:val="none" w:sz="0" w:space="0" w:color="auto"/>
      </w:divBdr>
    </w:div>
    <w:div w:id="940263263">
      <w:bodyDiv w:val="1"/>
      <w:marLeft w:val="0"/>
      <w:marRight w:val="0"/>
      <w:marTop w:val="0"/>
      <w:marBottom w:val="0"/>
      <w:divBdr>
        <w:top w:val="none" w:sz="0" w:space="0" w:color="auto"/>
        <w:left w:val="none" w:sz="0" w:space="0" w:color="auto"/>
        <w:bottom w:val="none" w:sz="0" w:space="0" w:color="auto"/>
        <w:right w:val="none" w:sz="0" w:space="0" w:color="auto"/>
      </w:divBdr>
    </w:div>
    <w:div w:id="1499612562">
      <w:bodyDiv w:val="1"/>
      <w:marLeft w:val="0"/>
      <w:marRight w:val="0"/>
      <w:marTop w:val="0"/>
      <w:marBottom w:val="0"/>
      <w:divBdr>
        <w:top w:val="none" w:sz="0" w:space="0" w:color="auto"/>
        <w:left w:val="none" w:sz="0" w:space="0" w:color="auto"/>
        <w:bottom w:val="none" w:sz="0" w:space="0" w:color="auto"/>
        <w:right w:val="none" w:sz="0" w:space="0" w:color="auto"/>
      </w:divBdr>
    </w:div>
    <w:div w:id="1959027045">
      <w:bodyDiv w:val="1"/>
      <w:marLeft w:val="0"/>
      <w:marRight w:val="0"/>
      <w:marTop w:val="0"/>
      <w:marBottom w:val="0"/>
      <w:divBdr>
        <w:top w:val="none" w:sz="0" w:space="0" w:color="auto"/>
        <w:left w:val="none" w:sz="0" w:space="0" w:color="auto"/>
        <w:bottom w:val="none" w:sz="0" w:space="0" w:color="auto"/>
        <w:right w:val="none" w:sz="0" w:space="0" w:color="auto"/>
      </w:divBdr>
    </w:div>
    <w:div w:id="1990556753">
      <w:bodyDiv w:val="1"/>
      <w:marLeft w:val="0"/>
      <w:marRight w:val="0"/>
      <w:marTop w:val="0"/>
      <w:marBottom w:val="0"/>
      <w:divBdr>
        <w:top w:val="none" w:sz="0" w:space="0" w:color="auto"/>
        <w:left w:val="none" w:sz="0" w:space="0" w:color="auto"/>
        <w:bottom w:val="none" w:sz="0" w:space="0" w:color="auto"/>
        <w:right w:val="none" w:sz="0" w:space="0" w:color="auto"/>
      </w:divBdr>
    </w:div>
    <w:div w:id="213667369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BED3E-0657-4B73-ADEC-8D3E0D42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6546</Words>
  <Characters>37313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43772</CharactersWithSpaces>
  <SharedDoc>false</SharedDoc>
  <HLinks>
    <vt:vector size="18" baseType="variant">
      <vt:variant>
        <vt:i4>6094958</vt:i4>
      </vt:variant>
      <vt:variant>
        <vt:i4>20074</vt:i4>
      </vt:variant>
      <vt:variant>
        <vt:i4>1025</vt:i4>
      </vt:variant>
      <vt:variant>
        <vt:i4>1</vt:i4>
      </vt:variant>
      <vt:variant>
        <vt:lpwstr>trial_proc</vt:lpwstr>
      </vt:variant>
      <vt:variant>
        <vt:lpwstr/>
      </vt:variant>
      <vt:variant>
        <vt:i4>5439509</vt:i4>
      </vt:variant>
      <vt:variant>
        <vt:i4>33046</vt:i4>
      </vt:variant>
      <vt:variant>
        <vt:i4>1026</vt:i4>
      </vt:variant>
      <vt:variant>
        <vt:i4>1</vt:i4>
      </vt:variant>
      <vt:variant>
        <vt:lpwstr>VEP_revised</vt:lpwstr>
      </vt:variant>
      <vt:variant>
        <vt:lpwstr/>
      </vt:variant>
      <vt:variant>
        <vt:i4>5439504</vt:i4>
      </vt:variant>
      <vt:variant>
        <vt:i4>37362</vt:i4>
      </vt:variant>
      <vt:variant>
        <vt:i4>1027</vt:i4>
      </vt:variant>
      <vt:variant>
        <vt:i4>1</vt:i4>
      </vt:variant>
      <vt:variant>
        <vt:lpwstr>SEP_revised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Job</dc:creator>
  <cp:keywords/>
  <cp:lastModifiedBy>ps</cp:lastModifiedBy>
  <cp:revision>2</cp:revision>
  <cp:lastPrinted>2016-03-08T09:59:00Z</cp:lastPrinted>
  <dcterms:created xsi:type="dcterms:W3CDTF">2016-09-13T13:36:00Z</dcterms:created>
  <dcterms:modified xsi:type="dcterms:W3CDTF">2016-09-13T13:36:00Z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