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F3" w:rsidRDefault="00973AF3" w:rsidP="0023532F">
      <w:pPr>
        <w:spacing w:line="480" w:lineRule="auto"/>
      </w:pPr>
      <w:r>
        <w:t>Abstract</w:t>
      </w:r>
      <w:r w:rsidR="003859D2">
        <w:t xml:space="preserve"> </w:t>
      </w:r>
    </w:p>
    <w:p w:rsidR="00634FA3" w:rsidRDefault="00634FA3" w:rsidP="005B6870">
      <w:pPr>
        <w:spacing w:line="480" w:lineRule="auto"/>
      </w:pPr>
      <w:r>
        <w:t xml:space="preserve">Two </w:t>
      </w:r>
      <w:r w:rsidR="003654D6">
        <w:t xml:space="preserve">studies </w:t>
      </w:r>
      <w:r>
        <w:t xml:space="preserve">investigated the relationship between </w:t>
      </w:r>
      <w:proofErr w:type="spellStart"/>
      <w:r>
        <w:t>inattentional</w:t>
      </w:r>
      <w:proofErr w:type="spellEnd"/>
      <w:r>
        <w:t xml:space="preserve"> blindness</w:t>
      </w:r>
      <w:r w:rsidR="007B0FE9">
        <w:t>,</w:t>
      </w:r>
      <w:r>
        <w:t xml:space="preserve"> paranormal belief/experience, absorption, and working memory capacity</w:t>
      </w:r>
      <w:r w:rsidR="007B0FE9">
        <w:t xml:space="preserve"> (WMC)</w:t>
      </w:r>
      <w:r>
        <w:t>. ‘</w:t>
      </w:r>
      <w:proofErr w:type="spellStart"/>
      <w:r w:rsidRPr="000E7C9B">
        <w:t>Inattentional</w:t>
      </w:r>
      <w:proofErr w:type="spellEnd"/>
      <w:r w:rsidRPr="000E7C9B">
        <w:t xml:space="preserve"> blindness</w:t>
      </w:r>
      <w:r>
        <w:t>’ (IB) refers to the failure to consciously register a</w:t>
      </w:r>
      <w:r w:rsidR="00196D1A">
        <w:t>n unexpected</w:t>
      </w:r>
      <w:r>
        <w:t xml:space="preserve"> visual stimulus or event when attention is diverted to a different task. Absorption </w:t>
      </w:r>
      <w:r w:rsidR="005E3B7C">
        <w:t>is a</w:t>
      </w:r>
      <w:r>
        <w:t xml:space="preserve"> highly focused state </w:t>
      </w:r>
      <w:r w:rsidR="007B0FE9">
        <w:t>where individuals are</w:t>
      </w:r>
      <w:r>
        <w:t xml:space="preserve"> unaware </w:t>
      </w:r>
      <w:r w:rsidR="001A693F">
        <w:t xml:space="preserve">of </w:t>
      </w:r>
      <w:r w:rsidR="007B0FE9">
        <w:t>stimuli</w:t>
      </w:r>
      <w:r>
        <w:t xml:space="preserve"> outside </w:t>
      </w:r>
      <w:r w:rsidR="00562B5A">
        <w:t xml:space="preserve">of </w:t>
      </w:r>
      <w:proofErr w:type="spellStart"/>
      <w:r>
        <w:t>attention</w:t>
      </w:r>
      <w:r w:rsidR="00A17285">
        <w:t>al</w:t>
      </w:r>
      <w:proofErr w:type="spellEnd"/>
      <w:r w:rsidR="007B0FE9">
        <w:t xml:space="preserve"> focus</w:t>
      </w:r>
      <w:r w:rsidR="00A17285">
        <w:t xml:space="preserve"> and </w:t>
      </w:r>
      <w:r w:rsidR="002343E5">
        <w:t>is linked with</w:t>
      </w:r>
      <w:r w:rsidR="007B0FE9">
        <w:t xml:space="preserve"> </w:t>
      </w:r>
      <w:r>
        <w:t>paranormal belief</w:t>
      </w:r>
      <w:r w:rsidR="007B0FE9">
        <w:t>.</w:t>
      </w:r>
      <w:r>
        <w:t xml:space="preserve"> </w:t>
      </w:r>
      <w:r w:rsidR="007B0FE9">
        <w:t>It</w:t>
      </w:r>
      <w:r>
        <w:t xml:space="preserve"> was predicted that </w:t>
      </w:r>
      <w:r w:rsidR="007B0FE9">
        <w:t xml:space="preserve">IB </w:t>
      </w:r>
      <w:r>
        <w:t>individuals</w:t>
      </w:r>
      <w:r w:rsidR="00196D1A">
        <w:t xml:space="preserve"> </w:t>
      </w:r>
      <w:r>
        <w:t xml:space="preserve">would </w:t>
      </w:r>
      <w:r w:rsidR="00B552E0">
        <w:t xml:space="preserve">have higher </w:t>
      </w:r>
      <w:r w:rsidR="00EC012D">
        <w:t>absorption</w:t>
      </w:r>
      <w:r w:rsidR="00B552E0">
        <w:t xml:space="preserve"> scores</w:t>
      </w:r>
      <w:r w:rsidR="00196D1A">
        <w:t xml:space="preserve"> </w:t>
      </w:r>
      <w:r w:rsidR="00A17285">
        <w:t>an</w:t>
      </w:r>
      <w:r w:rsidR="0076237D">
        <w:t>d</w:t>
      </w:r>
      <w:r w:rsidR="00176F50">
        <w:t xml:space="preserve"> be</w:t>
      </w:r>
      <w:r w:rsidR="00A17285">
        <w:t xml:space="preserve"> </w:t>
      </w:r>
      <w:r w:rsidR="007B0FE9">
        <w:t xml:space="preserve">more likely to </w:t>
      </w:r>
      <w:r w:rsidR="00A17285">
        <w:t>believe in</w:t>
      </w:r>
      <w:r w:rsidR="00196D1A">
        <w:t xml:space="preserve"> </w:t>
      </w:r>
      <w:r w:rsidR="00176F50">
        <w:t xml:space="preserve">the </w:t>
      </w:r>
      <w:r w:rsidR="00196D1A">
        <w:t>paranormal</w:t>
      </w:r>
      <w:r w:rsidR="00176F50">
        <w:t xml:space="preserve"> </w:t>
      </w:r>
      <w:r w:rsidR="00A17285">
        <w:t xml:space="preserve">than </w:t>
      </w:r>
      <w:r w:rsidR="007B0FE9">
        <w:t>non-</w:t>
      </w:r>
      <w:proofErr w:type="spellStart"/>
      <w:r w:rsidR="00A17285">
        <w:t>inattentionally</w:t>
      </w:r>
      <w:proofErr w:type="spellEnd"/>
      <w:r w:rsidR="00A17285">
        <w:t xml:space="preserve"> blind (NIBs)</w:t>
      </w:r>
      <w:r w:rsidR="007B0FE9">
        <w:t xml:space="preserve"> individuals</w:t>
      </w:r>
      <w:r w:rsidR="00A17285">
        <w:t xml:space="preserve">. </w:t>
      </w:r>
      <w:r>
        <w:t xml:space="preserve">In both </w:t>
      </w:r>
      <w:r w:rsidR="003654D6">
        <w:t>studies</w:t>
      </w:r>
      <w:r>
        <w:t xml:space="preserve">, IBs had higher </w:t>
      </w:r>
      <w:r w:rsidR="00A53F59">
        <w:t>a</w:t>
      </w:r>
      <w:r w:rsidR="00A17285">
        <w:t>bsorption and paranormal bel</w:t>
      </w:r>
      <w:r w:rsidR="00A53F59">
        <w:t>ief score</w:t>
      </w:r>
      <w:r w:rsidR="00A17285">
        <w:t>s</w:t>
      </w:r>
      <w:r w:rsidR="00A53F59">
        <w:t xml:space="preserve"> than NIBs, as predicted. </w:t>
      </w:r>
      <w:r>
        <w:t>In addition</w:t>
      </w:r>
      <w:r w:rsidR="00A15A13">
        <w:t>,</w:t>
      </w:r>
      <w:r>
        <w:t xml:space="preserve"> </w:t>
      </w:r>
      <w:r w:rsidR="003654D6">
        <w:t xml:space="preserve">Study </w:t>
      </w:r>
      <w:r>
        <w:t>2 measure</w:t>
      </w:r>
      <w:r w:rsidR="007B0FE9">
        <w:t>d</w:t>
      </w:r>
      <w:r>
        <w:t xml:space="preserve"> </w:t>
      </w:r>
      <w:r w:rsidR="007B0FE9">
        <w:t>WMC.</w:t>
      </w:r>
      <w:r>
        <w:t xml:space="preserve"> </w:t>
      </w:r>
      <w:r w:rsidR="00335E52">
        <w:t>Although absorption predicted IB, when WMC and paranormal belief were entered into the analysis, only WMC predicted IB</w:t>
      </w:r>
      <w:r w:rsidR="001A693F">
        <w:t xml:space="preserve"> with</w:t>
      </w:r>
      <w:r w:rsidR="00335E52">
        <w:t xml:space="preserve"> IB</w:t>
      </w:r>
      <w:r w:rsidR="003859D2">
        <w:t xml:space="preserve">s having lower WMC </w:t>
      </w:r>
      <w:r w:rsidR="00335E52">
        <w:t xml:space="preserve">than </w:t>
      </w:r>
      <w:r w:rsidR="003859D2">
        <w:t>NIBs</w:t>
      </w:r>
      <w:r w:rsidR="00335E52">
        <w:t xml:space="preserve">. These data </w:t>
      </w:r>
      <w:r w:rsidR="00E45941">
        <w:t xml:space="preserve">offer </w:t>
      </w:r>
      <w:r w:rsidR="00335E52">
        <w:t>support</w:t>
      </w:r>
      <w:r w:rsidR="00E45941">
        <w:t xml:space="preserve"> for</w:t>
      </w:r>
      <w:r w:rsidR="00335E52">
        <w:t xml:space="preserve"> a cognitive deficit account of paranormal</w:t>
      </w:r>
      <w:r w:rsidR="006B28E8">
        <w:t xml:space="preserve"> belief</w:t>
      </w:r>
      <w:r w:rsidR="00335E52">
        <w:t>.</w:t>
      </w:r>
    </w:p>
    <w:p w:rsidR="00634FA3" w:rsidRDefault="00634FA3" w:rsidP="005B6870">
      <w:pPr>
        <w:spacing w:line="480" w:lineRule="auto"/>
      </w:pPr>
    </w:p>
    <w:p w:rsidR="0039303E" w:rsidRPr="005B6870" w:rsidRDefault="00634FA3" w:rsidP="0039303E">
      <w:pPr>
        <w:spacing w:line="480" w:lineRule="auto"/>
        <w:jc w:val="center"/>
      </w:pPr>
      <w:r>
        <w:br w:type="page"/>
      </w:r>
      <w:proofErr w:type="spellStart"/>
      <w:r w:rsidR="0039303E" w:rsidRPr="005B6870">
        <w:lastRenderedPageBreak/>
        <w:t>Inattentional</w:t>
      </w:r>
      <w:proofErr w:type="spellEnd"/>
      <w:r w:rsidR="0039303E" w:rsidRPr="005B6870">
        <w:t xml:space="preserve"> Blindness, Absorption, Working Memory Capacity, </w:t>
      </w:r>
    </w:p>
    <w:p w:rsidR="0039303E" w:rsidRPr="005B6870" w:rsidRDefault="0039303E" w:rsidP="0039303E">
      <w:pPr>
        <w:spacing w:line="480" w:lineRule="auto"/>
        <w:jc w:val="center"/>
      </w:pPr>
      <w:proofErr w:type="gramStart"/>
      <w:r w:rsidRPr="005B6870">
        <w:t>and</w:t>
      </w:r>
      <w:proofErr w:type="gramEnd"/>
      <w:r w:rsidRPr="005B6870">
        <w:t xml:space="preserve"> Paranormal Belief</w:t>
      </w:r>
    </w:p>
    <w:p w:rsidR="000C0891" w:rsidRDefault="00A54B04" w:rsidP="00E270A1">
      <w:pPr>
        <w:spacing w:line="480" w:lineRule="auto"/>
      </w:pPr>
      <w:r w:rsidRPr="002D6D25">
        <w:rPr>
          <w:rFonts w:cs="Arial"/>
          <w:color w:val="2A2A2A"/>
          <w:szCs w:val="26"/>
        </w:rPr>
        <w:t>It is well documented that objects appear</w:t>
      </w:r>
      <w:r w:rsidR="0084563B">
        <w:rPr>
          <w:rFonts w:cs="Arial"/>
          <w:color w:val="2A2A2A"/>
          <w:szCs w:val="26"/>
        </w:rPr>
        <w:t>ing</w:t>
      </w:r>
      <w:r w:rsidRPr="002D6D25">
        <w:rPr>
          <w:rFonts w:cs="Arial"/>
          <w:color w:val="2A2A2A"/>
          <w:szCs w:val="26"/>
        </w:rPr>
        <w:t xml:space="preserve"> in our visual field often go unnoticed, and this is more likely to happen if we are busily involved in a resource-consuming activity. Such</w:t>
      </w:r>
      <w:r w:rsidR="00FB0CAF" w:rsidRPr="002D6D25">
        <w:rPr>
          <w:rFonts w:cs="Arial"/>
          <w:color w:val="2A2A2A"/>
          <w:szCs w:val="26"/>
        </w:rPr>
        <w:t xml:space="preserve"> a failure</w:t>
      </w:r>
      <w:r w:rsidRPr="002D6D25">
        <w:rPr>
          <w:rFonts w:cs="Arial"/>
          <w:color w:val="2A2A2A"/>
          <w:szCs w:val="26"/>
        </w:rPr>
        <w:t xml:space="preserve"> of attention has been called</w:t>
      </w:r>
      <w:r w:rsidRPr="002D6D25">
        <w:rPr>
          <w:rFonts w:cs="Arial"/>
          <w:i/>
          <w:color w:val="2A2A2A"/>
          <w:szCs w:val="26"/>
        </w:rPr>
        <w:t xml:space="preserve"> </w:t>
      </w:r>
      <w:proofErr w:type="spellStart"/>
      <w:r w:rsidRPr="002D6D25">
        <w:rPr>
          <w:rFonts w:cs="Arial"/>
          <w:i/>
          <w:color w:val="2A2A2A"/>
          <w:szCs w:val="26"/>
        </w:rPr>
        <w:t>Inattentional</w:t>
      </w:r>
      <w:proofErr w:type="spellEnd"/>
      <w:r w:rsidRPr="002D6D25">
        <w:rPr>
          <w:rFonts w:cs="Arial"/>
          <w:i/>
          <w:color w:val="2A2A2A"/>
          <w:szCs w:val="26"/>
        </w:rPr>
        <w:t xml:space="preserve"> Blindness</w:t>
      </w:r>
      <w:r w:rsidRPr="002D6D25">
        <w:rPr>
          <w:rFonts w:cs="Arial"/>
          <w:color w:val="2A2A2A"/>
          <w:szCs w:val="26"/>
        </w:rPr>
        <w:t xml:space="preserve"> </w:t>
      </w:r>
      <w:r w:rsidR="00FB0CAF" w:rsidRPr="002D6D25">
        <w:rPr>
          <w:rFonts w:cs="Arial"/>
          <w:color w:val="2A2A2A"/>
          <w:szCs w:val="26"/>
        </w:rPr>
        <w:t xml:space="preserve">(IB) </w:t>
      </w:r>
      <w:r w:rsidRPr="002D6D25">
        <w:rPr>
          <w:rFonts w:cs="Arial"/>
          <w:color w:val="2A2A2A"/>
          <w:szCs w:val="26"/>
        </w:rPr>
        <w:t xml:space="preserve">by Mack and Rock (1998) and </w:t>
      </w:r>
      <w:r w:rsidR="006B28E8">
        <w:rPr>
          <w:rFonts w:cs="Arial"/>
          <w:color w:val="2A2A2A"/>
          <w:szCs w:val="26"/>
        </w:rPr>
        <w:t>is a frequent cause of errors in eyewitness testimony</w:t>
      </w:r>
      <w:r w:rsidRPr="002D6D25">
        <w:rPr>
          <w:rFonts w:cs="Arial"/>
          <w:color w:val="2A2A2A"/>
          <w:szCs w:val="26"/>
        </w:rPr>
        <w:t>.</w:t>
      </w:r>
      <w:r w:rsidR="00C439C5" w:rsidRPr="002D6D25">
        <w:rPr>
          <w:rFonts w:cs="Arial"/>
          <w:color w:val="2A2A2A"/>
          <w:szCs w:val="26"/>
        </w:rPr>
        <w:t xml:space="preserve"> </w:t>
      </w:r>
      <w:r w:rsidR="00FB0CAF" w:rsidRPr="002D6D25">
        <w:rPr>
          <w:rFonts w:cs="Arial"/>
          <w:color w:val="2A2A2A"/>
          <w:szCs w:val="26"/>
        </w:rPr>
        <w:t>IB is demonstrated in the</w:t>
      </w:r>
      <w:r w:rsidR="00C439C5" w:rsidRPr="002D6D25">
        <w:rPr>
          <w:rFonts w:cs="Arial"/>
          <w:color w:val="2A2A2A"/>
          <w:szCs w:val="26"/>
        </w:rPr>
        <w:t xml:space="preserve"> classic ‘Gorillas in Our Midst’ </w:t>
      </w:r>
      <w:r w:rsidR="00C9674D">
        <w:rPr>
          <w:rFonts w:cs="Arial"/>
          <w:color w:val="2A2A2A"/>
          <w:szCs w:val="26"/>
        </w:rPr>
        <w:t>(</w:t>
      </w:r>
      <w:r w:rsidR="00C439C5" w:rsidRPr="002D6D25">
        <w:rPr>
          <w:rFonts w:cs="Arial"/>
          <w:color w:val="2A2A2A"/>
          <w:szCs w:val="26"/>
        </w:rPr>
        <w:t xml:space="preserve">Simons </w:t>
      </w:r>
      <w:r w:rsidR="00C9674D">
        <w:rPr>
          <w:rFonts w:cs="Arial"/>
          <w:color w:val="2A2A2A"/>
          <w:szCs w:val="26"/>
        </w:rPr>
        <w:t xml:space="preserve">&amp; </w:t>
      </w:r>
      <w:proofErr w:type="spellStart"/>
      <w:r w:rsidR="00C9674D">
        <w:rPr>
          <w:rFonts w:cs="Arial"/>
          <w:color w:val="2A2A2A"/>
          <w:szCs w:val="26"/>
        </w:rPr>
        <w:t>Chabris</w:t>
      </w:r>
      <w:proofErr w:type="spellEnd"/>
      <w:r w:rsidR="00C9674D">
        <w:rPr>
          <w:rFonts w:cs="Arial"/>
          <w:color w:val="2A2A2A"/>
          <w:szCs w:val="26"/>
        </w:rPr>
        <w:t xml:space="preserve">, </w:t>
      </w:r>
      <w:r w:rsidR="00C439C5" w:rsidRPr="002D6D25">
        <w:rPr>
          <w:rFonts w:cs="Arial"/>
          <w:color w:val="2A2A2A"/>
          <w:szCs w:val="26"/>
        </w:rPr>
        <w:t xml:space="preserve">1999) study where a </w:t>
      </w:r>
      <w:r w:rsidR="00A15A13">
        <w:rPr>
          <w:rFonts w:cs="Arial"/>
          <w:color w:val="2A2A2A"/>
          <w:szCs w:val="26"/>
        </w:rPr>
        <w:t xml:space="preserve">person in a </w:t>
      </w:r>
      <w:r w:rsidR="00C439C5" w:rsidRPr="002D6D25">
        <w:rPr>
          <w:rFonts w:cs="Arial"/>
          <w:color w:val="2A2A2A"/>
          <w:szCs w:val="26"/>
        </w:rPr>
        <w:t>gorilla</w:t>
      </w:r>
      <w:r w:rsidR="00A15A13">
        <w:rPr>
          <w:rFonts w:cs="Arial"/>
          <w:color w:val="2A2A2A"/>
          <w:szCs w:val="26"/>
        </w:rPr>
        <w:t xml:space="preserve"> suit</w:t>
      </w:r>
      <w:r w:rsidR="00C439C5" w:rsidRPr="002D6D25">
        <w:rPr>
          <w:rFonts w:cs="Arial"/>
          <w:color w:val="2A2A2A"/>
          <w:szCs w:val="26"/>
        </w:rPr>
        <w:t xml:space="preserve"> is not seen by </w:t>
      </w:r>
      <w:r w:rsidR="007B2FF9">
        <w:rPr>
          <w:rFonts w:cs="Arial"/>
          <w:color w:val="2A2A2A"/>
          <w:szCs w:val="26"/>
        </w:rPr>
        <w:t>approximately half</w:t>
      </w:r>
      <w:r w:rsidR="00C439C5" w:rsidRPr="002D6D25">
        <w:rPr>
          <w:rFonts w:cs="Arial"/>
          <w:color w:val="2A2A2A"/>
          <w:szCs w:val="26"/>
        </w:rPr>
        <w:t xml:space="preserve"> of </w:t>
      </w:r>
      <w:r w:rsidR="00A15A13">
        <w:rPr>
          <w:rFonts w:cs="Arial"/>
          <w:color w:val="2A2A2A"/>
          <w:szCs w:val="26"/>
        </w:rPr>
        <w:t xml:space="preserve">the </w:t>
      </w:r>
      <w:r w:rsidR="00C439C5" w:rsidRPr="002D6D25">
        <w:rPr>
          <w:rFonts w:cs="Arial"/>
          <w:color w:val="2A2A2A"/>
          <w:szCs w:val="26"/>
        </w:rPr>
        <w:t xml:space="preserve">participants who are </w:t>
      </w:r>
      <w:r w:rsidR="008C06E6">
        <w:rPr>
          <w:rFonts w:cs="Arial"/>
          <w:color w:val="2A2A2A"/>
          <w:szCs w:val="26"/>
        </w:rPr>
        <w:t xml:space="preserve">engaged in </w:t>
      </w:r>
      <w:r w:rsidR="00C439C5" w:rsidRPr="002D6D25">
        <w:rPr>
          <w:rFonts w:cs="Arial"/>
          <w:color w:val="2A2A2A"/>
          <w:szCs w:val="26"/>
        </w:rPr>
        <w:t xml:space="preserve">counting the number of </w:t>
      </w:r>
      <w:r w:rsidR="00B552E0">
        <w:rPr>
          <w:rFonts w:cs="Arial"/>
          <w:color w:val="2A2A2A"/>
          <w:szCs w:val="26"/>
        </w:rPr>
        <w:t xml:space="preserve">ball passes between people in white shirts </w:t>
      </w:r>
      <w:r w:rsidR="006B28E8">
        <w:rPr>
          <w:rFonts w:cs="Arial"/>
          <w:color w:val="2A2A2A"/>
          <w:szCs w:val="26"/>
        </w:rPr>
        <w:t xml:space="preserve">while simultaneously ignoring </w:t>
      </w:r>
      <w:r w:rsidR="00B552E0">
        <w:rPr>
          <w:rFonts w:cs="Arial"/>
          <w:color w:val="2A2A2A"/>
          <w:szCs w:val="26"/>
        </w:rPr>
        <w:t xml:space="preserve">ball passes between </w:t>
      </w:r>
      <w:r w:rsidR="006B28E8">
        <w:rPr>
          <w:rFonts w:cs="Arial"/>
          <w:color w:val="2A2A2A"/>
          <w:szCs w:val="26"/>
        </w:rPr>
        <w:t>people in black shirts</w:t>
      </w:r>
      <w:r w:rsidR="00C439C5" w:rsidRPr="002D6D25">
        <w:rPr>
          <w:rFonts w:cs="Arial"/>
          <w:color w:val="2A2A2A"/>
          <w:szCs w:val="26"/>
        </w:rPr>
        <w:t xml:space="preserve">. </w:t>
      </w:r>
      <w:r w:rsidR="000E1DCE">
        <w:rPr>
          <w:rFonts w:cs="Georgia"/>
          <w:szCs w:val="26"/>
        </w:rPr>
        <w:t xml:space="preserve">More recently, </w:t>
      </w:r>
      <w:r w:rsidR="0025560B">
        <w:t xml:space="preserve">Most et al. </w:t>
      </w:r>
      <w:r w:rsidR="00F356AF">
        <w:t>(200</w:t>
      </w:r>
      <w:r w:rsidR="0025560B">
        <w:t>1</w:t>
      </w:r>
      <w:r w:rsidR="00F356AF">
        <w:t xml:space="preserve">, </w:t>
      </w:r>
      <w:r w:rsidR="000E1DCE" w:rsidRPr="00E50678">
        <w:t>see Simons, 2003)</w:t>
      </w:r>
      <w:r w:rsidR="00170E55">
        <w:t xml:space="preserve"> </w:t>
      </w:r>
      <w:r w:rsidR="00914E4D">
        <w:t xml:space="preserve">developed </w:t>
      </w:r>
      <w:r w:rsidR="00914E4D">
        <w:rPr>
          <w:rFonts w:cs="Georgia"/>
          <w:szCs w:val="26"/>
        </w:rPr>
        <w:t>a</w:t>
      </w:r>
      <w:r w:rsidR="00F26F1A">
        <w:rPr>
          <w:rFonts w:cs="Georgia"/>
          <w:szCs w:val="26"/>
        </w:rPr>
        <w:t>n</w:t>
      </w:r>
      <w:r w:rsidR="00914E4D">
        <w:rPr>
          <w:rFonts w:cs="Georgia"/>
          <w:szCs w:val="26"/>
        </w:rPr>
        <w:t xml:space="preserve"> IB task in</w:t>
      </w:r>
      <w:r w:rsidR="000E1DCE">
        <w:t xml:space="preserve"> which black and white letters bounce around a screen and participants are required to monitor </w:t>
      </w:r>
      <w:r w:rsidR="0084563B">
        <w:t>targets</w:t>
      </w:r>
      <w:r w:rsidR="000E1DCE">
        <w:t xml:space="preserve"> </w:t>
      </w:r>
      <w:r w:rsidR="0084563B">
        <w:t xml:space="preserve">(white letters) </w:t>
      </w:r>
      <w:r w:rsidR="000E1DCE">
        <w:t>but ignore distractor</w:t>
      </w:r>
      <w:r w:rsidR="00FD6D62">
        <w:t>s</w:t>
      </w:r>
      <w:r w:rsidR="0084563B">
        <w:t xml:space="preserve"> (black letters)</w:t>
      </w:r>
      <w:r w:rsidR="000E1DCE">
        <w:t xml:space="preserve">. </w:t>
      </w:r>
      <w:r w:rsidR="00B25222">
        <w:t xml:space="preserve">An </w:t>
      </w:r>
      <w:r w:rsidR="000E1DCE">
        <w:t>unexpected red cross</w:t>
      </w:r>
      <w:r w:rsidR="00FD6D62">
        <w:t xml:space="preserve"> </w:t>
      </w:r>
      <w:r w:rsidR="008C06E6">
        <w:t>arriv</w:t>
      </w:r>
      <w:r w:rsidR="0084563B">
        <w:t xml:space="preserve">ing </w:t>
      </w:r>
      <w:r w:rsidR="008C06E6">
        <w:t xml:space="preserve">on the scene </w:t>
      </w:r>
      <w:r w:rsidR="0084563B">
        <w:t>often goes unnoticed</w:t>
      </w:r>
      <w:r w:rsidR="000E1DCE">
        <w:t>.</w:t>
      </w:r>
    </w:p>
    <w:p w:rsidR="003B651D" w:rsidRDefault="000C0891">
      <w:pPr>
        <w:spacing w:line="480" w:lineRule="auto"/>
        <w:ind w:firstLine="720"/>
      </w:pPr>
      <w:r>
        <w:t xml:space="preserve">Most, Scholl, Clifford, and Simons (2005) propose that </w:t>
      </w:r>
      <w:proofErr w:type="spellStart"/>
      <w:r>
        <w:t>inattentional</w:t>
      </w:r>
      <w:proofErr w:type="spellEnd"/>
      <w:r>
        <w:t xml:space="preserve"> blindness is the converse phenomenon of </w:t>
      </w:r>
      <w:proofErr w:type="spellStart"/>
      <w:r>
        <w:t>attentional</w:t>
      </w:r>
      <w:proofErr w:type="spellEnd"/>
      <w:r>
        <w:t xml:space="preserve"> capture and put forward a model based on </w:t>
      </w:r>
      <w:proofErr w:type="spellStart"/>
      <w:r>
        <w:t>Neisser’s</w:t>
      </w:r>
      <w:proofErr w:type="spellEnd"/>
      <w:r>
        <w:t xml:space="preserve"> </w:t>
      </w:r>
      <w:r w:rsidR="00C74D74">
        <w:t xml:space="preserve">(1976) </w:t>
      </w:r>
      <w:r>
        <w:t xml:space="preserve">‘perceptual cycle’ conceptualization. </w:t>
      </w:r>
      <w:r w:rsidR="000E1DCE">
        <w:t>Whether the unexpected stimulus is noticed mainly depends on the physical characteristics of the display (</w:t>
      </w:r>
      <w:r w:rsidR="00406FA5">
        <w:t>e.g., proximity and conspicuity; see Jensen, Yao, Street, &amp; Simons, 2011; Mack &amp; Rock, 1998)</w:t>
      </w:r>
      <w:r w:rsidR="00406FA5" w:rsidRPr="00406FA5">
        <w:t xml:space="preserve"> </w:t>
      </w:r>
      <w:r w:rsidR="00406FA5">
        <w:t xml:space="preserve">but expectation and </w:t>
      </w:r>
      <w:proofErr w:type="spellStart"/>
      <w:r w:rsidR="00406FA5">
        <w:t>attentional</w:t>
      </w:r>
      <w:proofErr w:type="spellEnd"/>
      <w:r w:rsidR="00406FA5">
        <w:t xml:space="preserve"> sta</w:t>
      </w:r>
      <w:r w:rsidR="003839BC">
        <w:t>t</w:t>
      </w:r>
      <w:r w:rsidR="00406FA5">
        <w:t xml:space="preserve">e </w:t>
      </w:r>
      <w:r w:rsidR="00C74D74">
        <w:t xml:space="preserve">are </w:t>
      </w:r>
      <w:r w:rsidR="00406FA5">
        <w:t>also influential in determining whether or not the unexpected item will be seen.</w:t>
      </w:r>
      <w:r>
        <w:t xml:space="preserve"> </w:t>
      </w:r>
      <w:r w:rsidR="00C74D74">
        <w:t>Thus, i</w:t>
      </w:r>
      <w:r w:rsidR="00406FA5">
        <w:t xml:space="preserve">t is generally accepted that </w:t>
      </w:r>
      <w:proofErr w:type="spellStart"/>
      <w:r w:rsidR="00406FA5">
        <w:t>inattentional</w:t>
      </w:r>
      <w:proofErr w:type="spellEnd"/>
      <w:r w:rsidR="00406FA5">
        <w:t xml:space="preserve"> blindness is a consequence of both top-down and bottom-up factors. However, </w:t>
      </w:r>
      <w:r w:rsidR="000E1DCE">
        <w:t>differences between individuals also play a part (</w:t>
      </w:r>
      <w:r w:rsidR="008C06E6">
        <w:t>e.g.</w:t>
      </w:r>
      <w:r w:rsidR="00C74D74">
        <w:t>,</w:t>
      </w:r>
      <w:r w:rsidR="008C06E6">
        <w:t xml:space="preserve"> </w:t>
      </w:r>
      <w:proofErr w:type="spellStart"/>
      <w:r w:rsidR="008C06E6">
        <w:t>Clifasefi</w:t>
      </w:r>
      <w:proofErr w:type="spellEnd"/>
      <w:r w:rsidR="008C06E6">
        <w:t xml:space="preserve">, </w:t>
      </w:r>
      <w:proofErr w:type="spellStart"/>
      <w:r w:rsidR="008C06E6">
        <w:t>Takarangi</w:t>
      </w:r>
      <w:proofErr w:type="spellEnd"/>
      <w:r w:rsidR="008C06E6">
        <w:t xml:space="preserve">, &amp; Bergman, 2006; </w:t>
      </w:r>
      <w:r w:rsidR="00FF417C">
        <w:t>Hannon &amp; Richards, 2010;</w:t>
      </w:r>
      <w:r w:rsidR="009E2903">
        <w:t xml:space="preserve"> </w:t>
      </w:r>
      <w:proofErr w:type="spellStart"/>
      <w:r w:rsidR="009E2903">
        <w:t>Memmert</w:t>
      </w:r>
      <w:proofErr w:type="spellEnd"/>
      <w:r w:rsidR="009E2903">
        <w:t>, 2006</w:t>
      </w:r>
      <w:r w:rsidR="00FF417C">
        <w:t>).</w:t>
      </w:r>
      <w:r w:rsidR="000E1DCE">
        <w:t xml:space="preserve"> </w:t>
      </w:r>
      <w:r w:rsidR="00C74D74">
        <w:t>In a series of experiments, p</w:t>
      </w:r>
      <w:r w:rsidR="00406FA5">
        <w:t xml:space="preserve">eople with low working memory resources have been found to be more likely to be </w:t>
      </w:r>
      <w:proofErr w:type="spellStart"/>
      <w:r w:rsidR="00406FA5">
        <w:t>inattentionally</w:t>
      </w:r>
      <w:proofErr w:type="spellEnd"/>
      <w:r w:rsidR="00406FA5">
        <w:t xml:space="preserve"> blind (Hannon &amp; Richards, 2010; </w:t>
      </w:r>
      <w:r w:rsidR="00C74D74">
        <w:t xml:space="preserve">Richards, </w:t>
      </w:r>
      <w:r w:rsidR="00C74D74" w:rsidRPr="00AD27D2">
        <w:t xml:space="preserve">Hannon, &amp; </w:t>
      </w:r>
      <w:proofErr w:type="spellStart"/>
      <w:r w:rsidR="00C74D74" w:rsidRPr="00AD27D2">
        <w:t>Derakshan</w:t>
      </w:r>
      <w:proofErr w:type="spellEnd"/>
      <w:r w:rsidR="00C74D74">
        <w:t>, 2010</w:t>
      </w:r>
      <w:r w:rsidR="00406FA5">
        <w:t xml:space="preserve">; </w:t>
      </w:r>
      <w:r w:rsidR="00C74D74">
        <w:t xml:space="preserve">Richards, Hannon, &amp; </w:t>
      </w:r>
      <w:proofErr w:type="spellStart"/>
      <w:r w:rsidR="00C74D74">
        <w:t>Vitkovitch</w:t>
      </w:r>
      <w:proofErr w:type="spellEnd"/>
      <w:r w:rsidR="00C74D74">
        <w:t xml:space="preserve">, </w:t>
      </w:r>
      <w:r w:rsidR="00406FA5">
        <w:t xml:space="preserve">2012). We have also observed difference in low-level saliency detection, with people who are </w:t>
      </w:r>
      <w:proofErr w:type="spellStart"/>
      <w:r w:rsidR="00406FA5">
        <w:t>inattentionally</w:t>
      </w:r>
      <w:proofErr w:type="spellEnd"/>
      <w:r w:rsidR="00406FA5">
        <w:t xml:space="preserve"> blind being less sensitive to stimuli with low saliency levels compared to non-</w:t>
      </w:r>
      <w:proofErr w:type="spellStart"/>
      <w:r w:rsidR="00406FA5">
        <w:t>inattentionally</w:t>
      </w:r>
      <w:proofErr w:type="spellEnd"/>
      <w:r w:rsidR="00406FA5">
        <w:t xml:space="preserve"> blind individuals (</w:t>
      </w:r>
      <w:proofErr w:type="spellStart"/>
      <w:r w:rsidR="00406FA5">
        <w:t>Papera</w:t>
      </w:r>
      <w:proofErr w:type="spellEnd"/>
      <w:r w:rsidR="00406FA5">
        <w:t>, Cooper</w:t>
      </w:r>
      <w:r w:rsidR="00C74D74">
        <w:t>,</w:t>
      </w:r>
      <w:r w:rsidR="00406FA5">
        <w:t xml:space="preserve"> &amp; Richards, </w:t>
      </w:r>
      <w:r w:rsidR="006A05DF">
        <w:t>2013</w:t>
      </w:r>
      <w:r w:rsidR="00406FA5">
        <w:t>).</w:t>
      </w:r>
    </w:p>
    <w:p w:rsidR="003B651D" w:rsidRDefault="00660DE8">
      <w:pPr>
        <w:spacing w:line="480" w:lineRule="auto"/>
        <w:ind w:firstLine="720"/>
      </w:pPr>
      <w:r>
        <w:t xml:space="preserve">Another </w:t>
      </w:r>
      <w:r w:rsidR="00667A98">
        <w:t>candidate for predicting IB status is abso</w:t>
      </w:r>
      <w:r>
        <w:t>r</w:t>
      </w:r>
      <w:r w:rsidR="00667A98">
        <w:t>ption</w:t>
      </w:r>
      <w:r w:rsidR="00170E55">
        <w:t xml:space="preserve"> </w:t>
      </w:r>
      <w:r w:rsidR="00826D08">
        <w:t>which</w:t>
      </w:r>
      <w:r w:rsidR="00170E55">
        <w:t xml:space="preserve"> is </w:t>
      </w:r>
      <w:r w:rsidR="00F356AF">
        <w:t>a</w:t>
      </w:r>
      <w:r w:rsidR="00667A98">
        <w:t xml:space="preserve"> highly focused </w:t>
      </w:r>
      <w:proofErr w:type="spellStart"/>
      <w:r w:rsidR="00667A98">
        <w:t>attentional</w:t>
      </w:r>
      <w:proofErr w:type="spellEnd"/>
      <w:r w:rsidR="00667A98">
        <w:t xml:space="preserve"> state </w:t>
      </w:r>
      <w:r w:rsidR="00C74D74">
        <w:t>in which</w:t>
      </w:r>
      <w:r w:rsidR="0084563B">
        <w:t xml:space="preserve"> the individual is unaware of</w:t>
      </w:r>
      <w:r w:rsidR="00667A98">
        <w:t xml:space="preserve"> </w:t>
      </w:r>
      <w:r w:rsidR="00DC29AC">
        <w:t xml:space="preserve">unattended </w:t>
      </w:r>
      <w:r w:rsidR="00667A98">
        <w:t>objects or events</w:t>
      </w:r>
      <w:r w:rsidR="0084563B">
        <w:t>.</w:t>
      </w:r>
      <w:r w:rsidR="00667A98">
        <w:t xml:space="preserve"> </w:t>
      </w:r>
      <w:r w:rsidR="00561B5B">
        <w:t>Susceptibility to such states can be measured as a personality trait</w:t>
      </w:r>
      <w:r w:rsidR="006A05DF">
        <w:t xml:space="preserve">, indicating “the tendency to become engrossed in one’s ongoing experience” (Kerns, </w:t>
      </w:r>
      <w:proofErr w:type="spellStart"/>
      <w:r w:rsidR="006A05DF">
        <w:t>Karcher</w:t>
      </w:r>
      <w:proofErr w:type="spellEnd"/>
      <w:r w:rsidR="006A05DF">
        <w:t xml:space="preserve">, </w:t>
      </w:r>
      <w:proofErr w:type="spellStart"/>
      <w:r w:rsidR="006A05DF">
        <w:t>Raghavan</w:t>
      </w:r>
      <w:proofErr w:type="spellEnd"/>
      <w:r w:rsidR="006A05DF">
        <w:t xml:space="preserve">, &amp; </w:t>
      </w:r>
      <w:proofErr w:type="spellStart"/>
      <w:r w:rsidR="006A05DF">
        <w:t>Berenbaum</w:t>
      </w:r>
      <w:proofErr w:type="spellEnd"/>
      <w:r w:rsidR="006A05DF">
        <w:t>, 2014, p. 67),</w:t>
      </w:r>
      <w:r w:rsidR="00561B5B">
        <w:t xml:space="preserve"> using </w:t>
      </w:r>
      <w:proofErr w:type="spellStart"/>
      <w:r w:rsidR="00561B5B">
        <w:t>Tellegen’s</w:t>
      </w:r>
      <w:proofErr w:type="spellEnd"/>
      <w:r w:rsidR="00561B5B">
        <w:t xml:space="preserve"> Absorption Scale (TAS;</w:t>
      </w:r>
      <w:r w:rsidR="00561B5B" w:rsidRPr="00170E55">
        <w:t xml:space="preserve"> </w:t>
      </w:r>
      <w:proofErr w:type="spellStart"/>
      <w:r w:rsidR="00561B5B">
        <w:t>Tellegen</w:t>
      </w:r>
      <w:proofErr w:type="spellEnd"/>
      <w:r w:rsidR="00561B5B">
        <w:t xml:space="preserve"> &amp; Atkinson, 1974). </w:t>
      </w:r>
      <w:r w:rsidR="009777F8">
        <w:t xml:space="preserve">We </w:t>
      </w:r>
      <w:r w:rsidR="00E270A1">
        <w:t xml:space="preserve">therefore predict that </w:t>
      </w:r>
      <w:r w:rsidR="00561B5B">
        <w:t xml:space="preserve">individuals who are IB </w:t>
      </w:r>
      <w:r w:rsidR="006B28E8">
        <w:t>in a sustained attention task would score higher than others on this scale.</w:t>
      </w:r>
      <w:r w:rsidR="00E270A1">
        <w:t xml:space="preserve"> </w:t>
      </w:r>
    </w:p>
    <w:p w:rsidR="00512128" w:rsidRDefault="00E270A1" w:rsidP="00671567">
      <w:pPr>
        <w:spacing w:line="480" w:lineRule="auto"/>
      </w:pPr>
      <w:r>
        <w:tab/>
      </w:r>
      <w:r w:rsidR="00FD6D62">
        <w:t>Moreover,</w:t>
      </w:r>
      <w:r>
        <w:t xml:space="preserve"> </w:t>
      </w:r>
      <w:r w:rsidR="004732FD" w:rsidRPr="00A60C40">
        <w:rPr>
          <w:rFonts w:cs="Times New Roman"/>
        </w:rPr>
        <w:t xml:space="preserve">absorption correlates, albeit moderately, with </w:t>
      </w:r>
      <w:r w:rsidR="00A0264F">
        <w:rPr>
          <w:rFonts w:cs="Times New Roman"/>
        </w:rPr>
        <w:t xml:space="preserve">both </w:t>
      </w:r>
      <w:r w:rsidR="004732FD" w:rsidRPr="00A60C40">
        <w:rPr>
          <w:rFonts w:cs="Times New Roman"/>
        </w:rPr>
        <w:t>paranormal belief (</w:t>
      </w:r>
      <w:proofErr w:type="spellStart"/>
      <w:r w:rsidR="00B024E4">
        <w:rPr>
          <w:rFonts w:cs="Times New Roman"/>
        </w:rPr>
        <w:t>Glicksohn</w:t>
      </w:r>
      <w:proofErr w:type="spellEnd"/>
      <w:r w:rsidR="00B024E4">
        <w:rPr>
          <w:rFonts w:cs="Times New Roman"/>
        </w:rPr>
        <w:t xml:space="preserve"> &amp; Barrett, 2003; </w:t>
      </w:r>
      <w:proofErr w:type="spellStart"/>
      <w:r w:rsidR="00B024E4">
        <w:rPr>
          <w:rFonts w:cs="Times New Roman"/>
        </w:rPr>
        <w:t>Nadon</w:t>
      </w:r>
      <w:proofErr w:type="spellEnd"/>
      <w:r w:rsidR="00B024E4">
        <w:rPr>
          <w:rFonts w:cs="Times New Roman"/>
        </w:rPr>
        <w:t xml:space="preserve"> &amp; </w:t>
      </w:r>
      <w:proofErr w:type="spellStart"/>
      <w:r w:rsidR="00B024E4">
        <w:rPr>
          <w:rFonts w:cs="Times New Roman"/>
        </w:rPr>
        <w:t>Kihlstrom</w:t>
      </w:r>
      <w:proofErr w:type="spellEnd"/>
      <w:r w:rsidR="00B024E4">
        <w:rPr>
          <w:rFonts w:cs="Times New Roman"/>
        </w:rPr>
        <w:t xml:space="preserve">, 1987; </w:t>
      </w:r>
      <w:r w:rsidR="004732FD" w:rsidRPr="00A60C40">
        <w:rPr>
          <w:rFonts w:cs="Times New Roman"/>
        </w:rPr>
        <w:t xml:space="preserve">Palmer &amp; Van </w:t>
      </w:r>
      <w:proofErr w:type="spellStart"/>
      <w:r w:rsidR="004732FD" w:rsidRPr="00A60C40">
        <w:rPr>
          <w:rFonts w:cs="Times New Roman"/>
        </w:rPr>
        <w:t>Der</w:t>
      </w:r>
      <w:proofErr w:type="spellEnd"/>
      <w:r w:rsidR="004732FD" w:rsidRPr="00A60C40">
        <w:rPr>
          <w:rFonts w:cs="Times New Roman"/>
        </w:rPr>
        <w:t xml:space="preserve"> </w:t>
      </w:r>
      <w:proofErr w:type="spellStart"/>
      <w:r w:rsidR="004732FD" w:rsidRPr="00A60C40">
        <w:rPr>
          <w:rFonts w:cs="Times New Roman"/>
        </w:rPr>
        <w:t>Velden</w:t>
      </w:r>
      <w:proofErr w:type="spellEnd"/>
      <w:r w:rsidR="004732FD" w:rsidRPr="00A60C40">
        <w:rPr>
          <w:rFonts w:cs="Times New Roman"/>
        </w:rPr>
        <w:t xml:space="preserve">, 1983) </w:t>
      </w:r>
      <w:r w:rsidR="00C207DE">
        <w:rPr>
          <w:rFonts w:cs="Times New Roman"/>
        </w:rPr>
        <w:t xml:space="preserve">and reports of </w:t>
      </w:r>
      <w:r w:rsidR="004732FD" w:rsidRPr="00A60C40">
        <w:rPr>
          <w:rFonts w:cs="Times New Roman"/>
        </w:rPr>
        <w:t>subjective paranormal (</w:t>
      </w:r>
      <w:proofErr w:type="spellStart"/>
      <w:r w:rsidR="00512128">
        <w:rPr>
          <w:rFonts w:cs="Times New Roman"/>
        </w:rPr>
        <w:t>Glicksohn</w:t>
      </w:r>
      <w:proofErr w:type="spellEnd"/>
      <w:r w:rsidR="00512128">
        <w:rPr>
          <w:rFonts w:cs="Times New Roman"/>
        </w:rPr>
        <w:t xml:space="preserve">, 1990; </w:t>
      </w:r>
      <w:r w:rsidR="004732FD" w:rsidRPr="00A60C40">
        <w:rPr>
          <w:rFonts w:cs="Times New Roman"/>
        </w:rPr>
        <w:t>Irwin, 198</w:t>
      </w:r>
      <w:r w:rsidR="006B782F">
        <w:rPr>
          <w:rFonts w:cs="Times New Roman"/>
        </w:rPr>
        <w:t>5</w:t>
      </w:r>
      <w:r w:rsidR="004732FD" w:rsidRPr="00A60C40">
        <w:rPr>
          <w:rFonts w:cs="Times New Roman"/>
        </w:rPr>
        <w:t>) and mystical experiences (</w:t>
      </w:r>
      <w:proofErr w:type="spellStart"/>
      <w:r w:rsidR="004732FD" w:rsidRPr="00A60C40">
        <w:rPr>
          <w:rFonts w:cs="Times New Roman"/>
        </w:rPr>
        <w:t>Mathes</w:t>
      </w:r>
      <w:proofErr w:type="spellEnd"/>
      <w:r w:rsidR="004732FD" w:rsidRPr="00A60C40">
        <w:rPr>
          <w:rFonts w:cs="Times New Roman"/>
        </w:rPr>
        <w:t xml:space="preserve">, 1982; </w:t>
      </w:r>
      <w:proofErr w:type="spellStart"/>
      <w:r w:rsidR="004732FD" w:rsidRPr="00A60C40">
        <w:rPr>
          <w:rFonts w:cs="Times New Roman"/>
        </w:rPr>
        <w:t>Spanos</w:t>
      </w:r>
      <w:proofErr w:type="spellEnd"/>
      <w:r w:rsidR="004732FD" w:rsidRPr="00A60C40">
        <w:rPr>
          <w:rFonts w:cs="Times New Roman"/>
        </w:rPr>
        <w:t xml:space="preserve"> &amp; </w:t>
      </w:r>
      <w:proofErr w:type="spellStart"/>
      <w:r w:rsidR="004732FD" w:rsidRPr="00A60C40">
        <w:rPr>
          <w:rFonts w:cs="Times New Roman"/>
        </w:rPr>
        <w:t>Moretti</w:t>
      </w:r>
      <w:proofErr w:type="spellEnd"/>
      <w:r w:rsidR="004732FD" w:rsidRPr="00A60C40">
        <w:rPr>
          <w:rFonts w:cs="Times New Roman"/>
        </w:rPr>
        <w:t xml:space="preserve">, 1988). </w:t>
      </w:r>
      <w:r w:rsidR="00C207DE">
        <w:t>If IB status is related to absorption, w</w:t>
      </w:r>
      <w:r w:rsidR="009777F8">
        <w:t xml:space="preserve">e </w:t>
      </w:r>
      <w:r w:rsidR="00671567">
        <w:t xml:space="preserve">might </w:t>
      </w:r>
      <w:r w:rsidR="00C207DE">
        <w:t xml:space="preserve">therefore </w:t>
      </w:r>
      <w:r w:rsidR="00671567">
        <w:t xml:space="preserve">predict that </w:t>
      </w:r>
      <w:r w:rsidR="00C207DE">
        <w:t xml:space="preserve">IB participants would </w:t>
      </w:r>
      <w:r w:rsidR="00E41D63">
        <w:t xml:space="preserve">have higher paranormal belief/experience </w:t>
      </w:r>
      <w:r w:rsidR="00C207DE">
        <w:t>score</w:t>
      </w:r>
      <w:r w:rsidR="00E41D63">
        <w:t>s</w:t>
      </w:r>
      <w:r w:rsidR="00C207DE">
        <w:t xml:space="preserve"> than non-</w:t>
      </w:r>
      <w:proofErr w:type="spellStart"/>
      <w:r w:rsidR="00C207DE">
        <w:t>inattentionally</w:t>
      </w:r>
      <w:proofErr w:type="spellEnd"/>
      <w:r w:rsidR="00C207DE">
        <w:t xml:space="preserve"> blind participants (NIBs)</w:t>
      </w:r>
      <w:r w:rsidR="00671567">
        <w:t xml:space="preserve">. </w:t>
      </w:r>
      <w:r w:rsidR="00C207DE">
        <w:t xml:space="preserve">Many ostensibly paranormal experiences are based upon the fact that the </w:t>
      </w:r>
      <w:r w:rsidR="00E41D63">
        <w:t>‘experiencer’</w:t>
      </w:r>
      <w:r w:rsidR="00C207DE">
        <w:t xml:space="preserve"> could not explain a particular event, e.g., apparently inexplicable movement of an </w:t>
      </w:r>
      <w:r w:rsidR="006611C3">
        <w:t xml:space="preserve">inanimate object. </w:t>
      </w:r>
      <w:r w:rsidR="00B45860">
        <w:t>Often</w:t>
      </w:r>
      <w:r w:rsidR="006611C3">
        <w:t xml:space="preserve"> a mundane explanation would </w:t>
      </w:r>
      <w:r w:rsidR="00CC6D74">
        <w:t>plausibly solve</w:t>
      </w:r>
      <w:r w:rsidR="006611C3">
        <w:t xml:space="preserve"> the mystery by simply assuming that the claimant had failed to </w:t>
      </w:r>
      <w:r w:rsidR="00E41D63">
        <w:t>process</w:t>
      </w:r>
      <w:r w:rsidR="006611C3">
        <w:t xml:space="preserve"> some aspect of the original situation (e.g., the presence of an agent to move the object). </w:t>
      </w:r>
    </w:p>
    <w:p w:rsidR="003B651D" w:rsidRDefault="00E41D63">
      <w:pPr>
        <w:spacing w:line="480" w:lineRule="auto"/>
        <w:ind w:firstLine="720"/>
      </w:pPr>
      <w:r>
        <w:t>This</w:t>
      </w:r>
      <w:r w:rsidR="006611C3">
        <w:t xml:space="preserve"> is only one way in which absorption may lead to </w:t>
      </w:r>
      <w:r w:rsidR="00512128">
        <w:t xml:space="preserve">reports of </w:t>
      </w:r>
      <w:r w:rsidR="006611C3">
        <w:t xml:space="preserve">ostensibly paranormal experiences. As shown by </w:t>
      </w:r>
      <w:proofErr w:type="spellStart"/>
      <w:r w:rsidR="006611C3">
        <w:t>Glicksohn</w:t>
      </w:r>
      <w:proofErr w:type="spellEnd"/>
      <w:r w:rsidR="006611C3">
        <w:t xml:space="preserve"> and Barrett (2003), absorption </w:t>
      </w:r>
      <w:r w:rsidR="00CC6D74">
        <w:t>is also correlated with hallucinatory tendencies that could also account for many ostensibly paranormal encounters.</w:t>
      </w:r>
      <w:r w:rsidR="00512128">
        <w:t xml:space="preserve"> Furthermore, a growing body of evidence (</w:t>
      </w:r>
      <w:r w:rsidR="003F5589">
        <w:t xml:space="preserve">for reviews, see </w:t>
      </w:r>
      <w:r w:rsidR="00512128">
        <w:t xml:space="preserve">French, 2003; French &amp; Wilson, </w:t>
      </w:r>
      <w:r w:rsidR="003F5589">
        <w:t>2006; French &amp; Stone, 2014) indicates that absorption correlates not only with paranormal belief and reports of subjective paranormal experiences but also with susceptibility to false memories. This raises the possibility that at least some reports of ostensibly paranormal experiences might be based upon false memories of apparent events that in fact never took place at all.</w:t>
      </w:r>
      <w:r w:rsidR="00B970D0">
        <w:t xml:space="preserve"> Reality monitoring refers to the psychological processes involved in distinguishing between mental events that are internally generated and those that are the result of external events</w:t>
      </w:r>
      <w:r w:rsidR="000772BC">
        <w:t xml:space="preserve"> (Johnson &amp; </w:t>
      </w:r>
      <w:proofErr w:type="spellStart"/>
      <w:r w:rsidR="000772BC">
        <w:t>Raye</w:t>
      </w:r>
      <w:proofErr w:type="spellEnd"/>
      <w:r w:rsidR="000772BC">
        <w:t xml:space="preserve">, 1981; Johnson, </w:t>
      </w:r>
      <w:proofErr w:type="spellStart"/>
      <w:r w:rsidR="000772BC">
        <w:t>Hashtroudi</w:t>
      </w:r>
      <w:proofErr w:type="spellEnd"/>
      <w:r w:rsidR="000772BC">
        <w:t xml:space="preserve">, &amp; </w:t>
      </w:r>
      <w:proofErr w:type="spellStart"/>
      <w:r w:rsidR="000772BC">
        <w:t>Lidsay</w:t>
      </w:r>
      <w:proofErr w:type="spellEnd"/>
      <w:r w:rsidR="000772BC">
        <w:t>, 1993)</w:t>
      </w:r>
      <w:r w:rsidR="00B970D0">
        <w:t xml:space="preserve">. It can be seen that absorption </w:t>
      </w:r>
      <w:r w:rsidR="00F66854">
        <w:t>is related to</w:t>
      </w:r>
      <w:r w:rsidR="00B970D0">
        <w:t xml:space="preserve"> reality monitoring in both the perceptual domain (leading to hallucinatory experiences) and the memory domain (leading to false memories).</w:t>
      </w:r>
    </w:p>
    <w:p w:rsidR="008447B8" w:rsidRDefault="00E775A6" w:rsidP="009E32AA">
      <w:pPr>
        <w:spacing w:line="480" w:lineRule="auto"/>
      </w:pPr>
      <w:r>
        <w:tab/>
      </w:r>
      <w:r w:rsidR="00F66854">
        <w:t>B</w:t>
      </w:r>
      <w:r w:rsidR="00660DE8">
        <w:t xml:space="preserve">elievers in the paranormal </w:t>
      </w:r>
      <w:r w:rsidR="00914E4D">
        <w:t>tend</w:t>
      </w:r>
      <w:r w:rsidR="00660DE8">
        <w:t xml:space="preserve"> to be poor</w:t>
      </w:r>
      <w:r w:rsidR="00CC6D74">
        <w:t>er</w:t>
      </w:r>
      <w:r w:rsidR="00660DE8">
        <w:t xml:space="preserve"> eyewitness</w:t>
      </w:r>
      <w:r w:rsidR="00695A85">
        <w:t>es</w:t>
      </w:r>
      <w:r w:rsidR="00CC6D74">
        <w:t xml:space="preserve"> </w:t>
      </w:r>
      <w:r w:rsidR="000772BC">
        <w:t xml:space="preserve">in </w:t>
      </w:r>
      <w:r w:rsidR="000149E6">
        <w:t>anomalistic context</w:t>
      </w:r>
      <w:r w:rsidR="000772BC">
        <w:t>s</w:t>
      </w:r>
      <w:r w:rsidR="000149E6">
        <w:t xml:space="preserve"> </w:t>
      </w:r>
      <w:r w:rsidR="00CC6D74">
        <w:t>than</w:t>
      </w:r>
      <w:r w:rsidR="000149E6">
        <w:t xml:space="preserve"> are</w:t>
      </w:r>
      <w:r w:rsidR="00CC6D74">
        <w:t xml:space="preserve"> non-believers</w:t>
      </w:r>
      <w:r w:rsidR="0082712C">
        <w:t xml:space="preserve"> and are less able to accurately report important detail</w:t>
      </w:r>
      <w:r w:rsidR="008447B8">
        <w:t>s of anomalous events</w:t>
      </w:r>
      <w:r w:rsidR="0082712C">
        <w:t xml:space="preserve"> (</w:t>
      </w:r>
      <w:r w:rsidR="00B970D0">
        <w:t xml:space="preserve">e.g., </w:t>
      </w:r>
      <w:r w:rsidR="009E2903">
        <w:t>Wiseman &amp; Morris, 1995</w:t>
      </w:r>
      <w:r w:rsidR="0082712C">
        <w:t>). In fact,</w:t>
      </w:r>
      <w:r w:rsidR="008447B8">
        <w:t xml:space="preserve"> the first ever systematic study of the </w:t>
      </w:r>
      <w:r w:rsidR="008447B8" w:rsidRPr="00CC7064">
        <w:t>unreliability of eyewitness testimony was carried out by</w:t>
      </w:r>
      <w:r w:rsidR="0082712C" w:rsidRPr="00CC7064">
        <w:t xml:space="preserve"> Davey</w:t>
      </w:r>
      <w:r w:rsidR="008447B8" w:rsidRPr="00CC7064">
        <w:t xml:space="preserve"> in the context of a faked séance</w:t>
      </w:r>
      <w:r w:rsidR="0082712C" w:rsidRPr="00CC7064">
        <w:t xml:space="preserve"> (</w:t>
      </w:r>
      <w:r w:rsidR="00CB0086" w:rsidRPr="00CC7064">
        <w:t>Hodgson &amp; Davey, 18</w:t>
      </w:r>
      <w:r w:rsidR="008447B8" w:rsidRPr="00CC7064">
        <w:t>87)</w:t>
      </w:r>
      <w:r w:rsidR="0082712C" w:rsidRPr="00CC7064">
        <w:t xml:space="preserve"> and </w:t>
      </w:r>
      <w:r w:rsidR="008447B8" w:rsidRPr="00CC7064">
        <w:t>such studies have been</w:t>
      </w:r>
      <w:r w:rsidR="0082712C" w:rsidRPr="00CC7064">
        <w:t xml:space="preserve"> repeated more recently (e.g</w:t>
      </w:r>
      <w:r w:rsidRPr="00CC7064">
        <w:t xml:space="preserve">., </w:t>
      </w:r>
      <w:r w:rsidR="00CC7064" w:rsidRPr="00CC7064">
        <w:rPr>
          <w:rFonts w:cs="Tahoma"/>
        </w:rPr>
        <w:t>Wiseman, Greening</w:t>
      </w:r>
      <w:r w:rsidR="000149E6">
        <w:rPr>
          <w:rFonts w:cs="Tahoma"/>
        </w:rPr>
        <w:t>,</w:t>
      </w:r>
      <w:r w:rsidR="00CC7064" w:rsidRPr="00CC7064">
        <w:rPr>
          <w:rFonts w:cs="Tahoma"/>
        </w:rPr>
        <w:t xml:space="preserve"> &amp; Smith 2003</w:t>
      </w:r>
      <w:r w:rsidRPr="00CC7064">
        <w:t xml:space="preserve">). </w:t>
      </w:r>
      <w:r w:rsidR="000149E6">
        <w:t xml:space="preserve">Amongst other findings, </w:t>
      </w:r>
      <w:r w:rsidR="009E2903">
        <w:t>these</w:t>
      </w:r>
      <w:r w:rsidR="000149E6">
        <w:t xml:space="preserve"> studies show that believers in the paranormal are more susceptible to the power of suggestion in such contexts than non-believers</w:t>
      </w:r>
      <w:r w:rsidR="009E2903">
        <w:t>. F</w:t>
      </w:r>
      <w:r w:rsidR="005619FF">
        <w:t>or example,</w:t>
      </w:r>
      <w:r w:rsidR="000149E6">
        <w:t xml:space="preserve"> they are more likely to report stationary objects as having moved if such a suggestion is made </w:t>
      </w:r>
      <w:r w:rsidR="000772BC">
        <w:t xml:space="preserve">by the ‘psychic’ </w:t>
      </w:r>
      <w:r w:rsidR="000149E6">
        <w:t xml:space="preserve">(see also, Wiseman &amp; Greening, 2005). </w:t>
      </w:r>
      <w:r w:rsidR="00137539">
        <w:t xml:space="preserve">It is plausible to argue that absorption plays a dual role in such situations. First, intense </w:t>
      </w:r>
      <w:proofErr w:type="spellStart"/>
      <w:r w:rsidR="00137539">
        <w:t>attentional</w:t>
      </w:r>
      <w:proofErr w:type="spellEnd"/>
      <w:r w:rsidR="00137539">
        <w:t xml:space="preserve"> focus on only certain aspects of the situation means that the true explanation for an ostensibly paranormal event (e.g., sleight of hand) is missed. Secondly, mental events generated via intense imagination in response to external suggestion are confused with objectively real events.</w:t>
      </w:r>
      <w:r w:rsidR="00DF3F7F">
        <w:t xml:space="preserve"> The focus of the current study is </w:t>
      </w:r>
      <w:r w:rsidR="00AD75C9">
        <w:t xml:space="preserve">solely </w:t>
      </w:r>
      <w:r w:rsidR="00DF3F7F">
        <w:t>on the possibility that high absorption</w:t>
      </w:r>
      <w:r w:rsidR="00AD75C9">
        <w:t xml:space="preserve"> may be related to the tendency to miss important aspects of the external environment while concentrating on other aspects.</w:t>
      </w:r>
      <w:r w:rsidR="00DF3F7F">
        <w:t xml:space="preserve"> </w:t>
      </w:r>
      <w:r>
        <w:t xml:space="preserve"> </w:t>
      </w:r>
    </w:p>
    <w:p w:rsidR="00CA6FE8" w:rsidRPr="00CC6D74" w:rsidRDefault="008447B8">
      <w:pPr>
        <w:spacing w:line="480" w:lineRule="auto"/>
        <w:ind w:firstLine="720"/>
        <w:rPr>
          <w:rFonts w:cs="Arial"/>
          <w:color w:val="2A2A2A"/>
          <w:szCs w:val="26"/>
        </w:rPr>
      </w:pPr>
      <w:r>
        <w:t xml:space="preserve">Interestingly, an early demonstration of IB (although </w:t>
      </w:r>
      <w:r w:rsidR="007953F5">
        <w:t xml:space="preserve">not identified as such) took place in an anomalistic context. </w:t>
      </w:r>
      <w:r w:rsidR="009E32AA">
        <w:rPr>
          <w:rFonts w:cs="Arial"/>
          <w:color w:val="2A2A2A"/>
          <w:szCs w:val="26"/>
        </w:rPr>
        <w:t xml:space="preserve">Cornell (1960) reports experiments in which he dressed as a ghost in a butter muslin sheet </w:t>
      </w:r>
      <w:r w:rsidR="00C5733B">
        <w:rPr>
          <w:rFonts w:cs="Arial"/>
          <w:color w:val="2A2A2A"/>
          <w:szCs w:val="26"/>
        </w:rPr>
        <w:t xml:space="preserve">and walked </w:t>
      </w:r>
      <w:r w:rsidR="00DC29AC">
        <w:rPr>
          <w:rFonts w:cs="Arial"/>
          <w:color w:val="2A2A2A"/>
          <w:szCs w:val="26"/>
        </w:rPr>
        <w:t>across</w:t>
      </w:r>
      <w:r w:rsidR="00C5733B">
        <w:rPr>
          <w:rFonts w:cs="Arial"/>
          <w:color w:val="2A2A2A"/>
          <w:szCs w:val="26"/>
        </w:rPr>
        <w:t xml:space="preserve"> a cinema screen whilst the audience watched the film. Although in full view for 50 seconds, 32% of the audience did not see the </w:t>
      </w:r>
      <w:r w:rsidR="009E32AA">
        <w:rPr>
          <w:rFonts w:cs="Arial"/>
          <w:color w:val="2A2A2A"/>
          <w:szCs w:val="26"/>
        </w:rPr>
        <w:t xml:space="preserve">‘apparition’. </w:t>
      </w:r>
      <w:r w:rsidR="00CC6D74">
        <w:rPr>
          <w:rFonts w:cs="Arial"/>
          <w:color w:val="2A2A2A"/>
          <w:szCs w:val="26"/>
        </w:rPr>
        <w:t xml:space="preserve">Ironically, this is one of the few situations one could imagine where IB would make an individual </w:t>
      </w:r>
      <w:r w:rsidR="00CC6D74">
        <w:rPr>
          <w:rFonts w:cs="Arial"/>
          <w:i/>
          <w:color w:val="2A2A2A"/>
          <w:szCs w:val="26"/>
        </w:rPr>
        <w:t>less</w:t>
      </w:r>
      <w:r w:rsidR="00CC6D74">
        <w:rPr>
          <w:rFonts w:cs="Arial"/>
          <w:color w:val="2A2A2A"/>
          <w:szCs w:val="26"/>
        </w:rPr>
        <w:t xml:space="preserve"> likely to report an ostensibly paranormal event.</w:t>
      </w:r>
    </w:p>
    <w:p w:rsidR="00CA6FE8" w:rsidRDefault="00C5733B">
      <w:pPr>
        <w:spacing w:line="480" w:lineRule="auto"/>
        <w:ind w:firstLine="720"/>
      </w:pPr>
      <w:r>
        <w:t xml:space="preserve">In this </w:t>
      </w:r>
      <w:r w:rsidR="003654D6">
        <w:t>study</w:t>
      </w:r>
      <w:r>
        <w:t>, we take measures of both absorption a</w:t>
      </w:r>
      <w:r w:rsidR="007B2FF9">
        <w:t>nd paranormal belief/experience to see if they predict IB status.</w:t>
      </w:r>
      <w:r w:rsidR="00973AF3">
        <w:t xml:space="preserve"> We predict that </w:t>
      </w:r>
      <w:r w:rsidR="00010B28">
        <w:t xml:space="preserve">IBs would have higher scores on </w:t>
      </w:r>
      <w:r w:rsidR="00CC6D74">
        <w:t xml:space="preserve">both absorption and </w:t>
      </w:r>
      <w:r w:rsidR="00010B28">
        <w:t>paranormal belief/experience then NIBs</w:t>
      </w:r>
      <w:r w:rsidR="00DC29AC">
        <w:t>.</w:t>
      </w:r>
    </w:p>
    <w:p w:rsidR="005B6870" w:rsidRPr="00E775A6" w:rsidRDefault="00FD6D62" w:rsidP="00751B95">
      <w:pPr>
        <w:spacing w:line="480" w:lineRule="auto"/>
        <w:jc w:val="center"/>
      </w:pPr>
      <w:r>
        <w:t>Method</w:t>
      </w:r>
    </w:p>
    <w:p w:rsidR="00D20ED0" w:rsidRPr="00FD6D62" w:rsidRDefault="00D20ED0" w:rsidP="00E775A6">
      <w:pPr>
        <w:spacing w:line="480" w:lineRule="auto"/>
        <w:rPr>
          <w:i/>
        </w:rPr>
      </w:pPr>
      <w:r w:rsidRPr="00FD6D62">
        <w:rPr>
          <w:i/>
        </w:rPr>
        <w:t>Participants</w:t>
      </w:r>
    </w:p>
    <w:p w:rsidR="00D20ED0" w:rsidRPr="00E775A6" w:rsidRDefault="003654D6" w:rsidP="00E775A6">
      <w:pPr>
        <w:spacing w:line="480" w:lineRule="auto"/>
      </w:pPr>
      <w:r>
        <w:t xml:space="preserve">A total of </w:t>
      </w:r>
      <w:r w:rsidR="00D20ED0" w:rsidRPr="00E775A6">
        <w:t xml:space="preserve">98 participants were tested </w:t>
      </w:r>
      <w:r>
        <w:t xml:space="preserve">but </w:t>
      </w:r>
      <w:r w:rsidR="00D20ED0" w:rsidRPr="00E775A6">
        <w:t xml:space="preserve">6 were excluded </w:t>
      </w:r>
      <w:r w:rsidR="0003277B">
        <w:t>due to</w:t>
      </w:r>
      <w:r w:rsidR="002613DA" w:rsidRPr="00E775A6">
        <w:t xml:space="preserve"> </w:t>
      </w:r>
      <w:r w:rsidR="00DC29AC">
        <w:t xml:space="preserve">IB </w:t>
      </w:r>
      <w:r w:rsidR="002613DA" w:rsidRPr="00E775A6">
        <w:t>familiar</w:t>
      </w:r>
      <w:r w:rsidR="0003277B">
        <w:t>ity</w:t>
      </w:r>
      <w:r w:rsidR="008C45CC">
        <w:t xml:space="preserve"> and one was excluded for omitting several </w:t>
      </w:r>
      <w:r w:rsidR="00AE547B">
        <w:t>items on the TAS questionnaire)</w:t>
      </w:r>
      <w:r w:rsidR="0003277B">
        <w:t xml:space="preserve">, </w:t>
      </w:r>
      <w:r>
        <w:t xml:space="preserve">which </w:t>
      </w:r>
      <w:r w:rsidR="0003277B">
        <w:t>le</w:t>
      </w:r>
      <w:r>
        <w:t xml:space="preserve">ft </w:t>
      </w:r>
      <w:r w:rsidR="00D20ED0" w:rsidRPr="00E775A6">
        <w:t>9</w:t>
      </w:r>
      <w:r w:rsidR="008C45CC">
        <w:t>1</w:t>
      </w:r>
      <w:r w:rsidR="00D20ED0" w:rsidRPr="00E775A6">
        <w:t xml:space="preserve"> participants (age range 18 to 60; mean age = 21.</w:t>
      </w:r>
      <w:r w:rsidR="008C45CC" w:rsidRPr="00E775A6">
        <w:t>4</w:t>
      </w:r>
      <w:r w:rsidR="008C45CC">
        <w:t>9</w:t>
      </w:r>
      <w:r w:rsidR="008C45CC" w:rsidRPr="00E775A6">
        <w:t xml:space="preserve"> </w:t>
      </w:r>
      <w:r w:rsidR="00D20ED0" w:rsidRPr="00E775A6">
        <w:t>years</w:t>
      </w:r>
      <w:r w:rsidR="008C45CC">
        <w:t>, SD = 6.12</w:t>
      </w:r>
      <w:r w:rsidR="00D20ED0" w:rsidRPr="00E775A6">
        <w:t xml:space="preserve">; </w:t>
      </w:r>
      <w:r w:rsidR="008C45CC" w:rsidRPr="00E775A6">
        <w:t>7</w:t>
      </w:r>
      <w:r w:rsidR="008C45CC">
        <w:t>4</w:t>
      </w:r>
      <w:r w:rsidR="008C45CC" w:rsidRPr="00E775A6">
        <w:t xml:space="preserve"> </w:t>
      </w:r>
      <w:r w:rsidR="00D20ED0" w:rsidRPr="00E775A6">
        <w:t xml:space="preserve">females) </w:t>
      </w:r>
      <w:r>
        <w:t xml:space="preserve">who were included in the </w:t>
      </w:r>
      <w:r w:rsidR="0003277B">
        <w:t>analys</w:t>
      </w:r>
      <w:r>
        <w:t>e</w:t>
      </w:r>
      <w:r w:rsidR="0003277B">
        <w:t>s</w:t>
      </w:r>
      <w:r w:rsidR="00D20ED0" w:rsidRPr="00E775A6">
        <w:t>.</w:t>
      </w:r>
    </w:p>
    <w:p w:rsidR="00D20ED0" w:rsidRPr="00113C87" w:rsidRDefault="00D20ED0" w:rsidP="00E775A6">
      <w:pPr>
        <w:spacing w:line="480" w:lineRule="auto"/>
        <w:rPr>
          <w:i/>
        </w:rPr>
      </w:pPr>
      <w:r w:rsidRPr="00113C87">
        <w:rPr>
          <w:i/>
        </w:rPr>
        <w:t>Stimuli</w:t>
      </w:r>
      <w:r w:rsidR="00496A2A" w:rsidRPr="00113C87">
        <w:rPr>
          <w:i/>
        </w:rPr>
        <w:t xml:space="preserve"> </w:t>
      </w:r>
      <w:r w:rsidR="00656EAF">
        <w:rPr>
          <w:i/>
        </w:rPr>
        <w:t>&amp; Materials</w:t>
      </w:r>
    </w:p>
    <w:p w:rsidR="00D20ED0" w:rsidRPr="00E775A6" w:rsidRDefault="00D20ED0" w:rsidP="00E775A6">
      <w:pPr>
        <w:spacing w:line="480" w:lineRule="auto"/>
        <w:rPr>
          <w:rFonts w:cs="Times New Roman"/>
          <w:i/>
          <w:iCs/>
        </w:rPr>
      </w:pPr>
      <w:proofErr w:type="spellStart"/>
      <w:r w:rsidRPr="00E775A6">
        <w:rPr>
          <w:rFonts w:cs="Times New Roman"/>
          <w:i/>
        </w:rPr>
        <w:t>Tellegen</w:t>
      </w:r>
      <w:proofErr w:type="spellEnd"/>
      <w:r w:rsidRPr="00E775A6">
        <w:rPr>
          <w:rFonts w:cs="Times New Roman"/>
          <w:i/>
        </w:rPr>
        <w:t xml:space="preserve"> Absorption Scale</w:t>
      </w:r>
      <w:r w:rsidRPr="00E775A6">
        <w:rPr>
          <w:rFonts w:cs="Times New Roman"/>
        </w:rPr>
        <w:t xml:space="preserve"> (TAS; </w:t>
      </w:r>
      <w:proofErr w:type="spellStart"/>
      <w:r w:rsidRPr="00E775A6">
        <w:rPr>
          <w:rFonts w:cs="Times New Roman"/>
        </w:rPr>
        <w:t>Tellegen</w:t>
      </w:r>
      <w:proofErr w:type="spellEnd"/>
      <w:r w:rsidRPr="00E775A6">
        <w:rPr>
          <w:rFonts w:cs="Times New Roman"/>
        </w:rPr>
        <w:t xml:space="preserve"> &amp; Atkinson, 1974</w:t>
      </w:r>
      <w:r w:rsidR="002343E5" w:rsidRPr="00E775A6">
        <w:rPr>
          <w:rFonts w:cs="Times New Roman"/>
        </w:rPr>
        <w:t>)</w:t>
      </w:r>
      <w:r w:rsidR="002343E5">
        <w:rPr>
          <w:rFonts w:cs="Times New Roman"/>
        </w:rPr>
        <w:t xml:space="preserve">: </w:t>
      </w:r>
      <w:r w:rsidRPr="00E775A6">
        <w:rPr>
          <w:rFonts w:cs="Times New Roman"/>
        </w:rPr>
        <w:t xml:space="preserve">The TAS is a 34-item true-false scale </w:t>
      </w:r>
      <w:r w:rsidR="00027835" w:rsidRPr="00E775A6">
        <w:rPr>
          <w:rFonts w:cs="Times New Roman"/>
        </w:rPr>
        <w:t>measuring</w:t>
      </w:r>
      <w:r w:rsidRPr="00E775A6">
        <w:rPr>
          <w:rFonts w:cs="Times New Roman"/>
        </w:rPr>
        <w:t xml:space="preserve"> openness to experience and cognitive-affective alterations across a range of situations</w:t>
      </w:r>
      <w:r w:rsidR="00027835" w:rsidRPr="00E775A6">
        <w:rPr>
          <w:rFonts w:cs="Times New Roman"/>
        </w:rPr>
        <w:t xml:space="preserve"> (scores range from 0 to 34)</w:t>
      </w:r>
      <w:r w:rsidR="00247AEF">
        <w:rPr>
          <w:rFonts w:cs="Times New Roman"/>
        </w:rPr>
        <w:t xml:space="preserve">. Example items are “Sometimes I feel and experience things as I did when I was a child”, “I can be greatly moved by eloquent or poetic language”, and “I like to watch cloud shapes change in the sky”. </w:t>
      </w:r>
      <w:r w:rsidR="00247AEF">
        <w:rPr>
          <w:rStyle w:val="apple-style-span"/>
        </w:rPr>
        <w:t>The scale</w:t>
      </w:r>
      <w:r w:rsidR="00027835" w:rsidRPr="00E775A6">
        <w:rPr>
          <w:rStyle w:val="apple-style-span"/>
        </w:rPr>
        <w:t xml:space="preserve"> has been shown to be reliable and valid</w:t>
      </w:r>
      <w:r w:rsidR="00247AEF">
        <w:rPr>
          <w:rStyle w:val="apple-style-span"/>
        </w:rPr>
        <w:t>. For example,</w:t>
      </w:r>
      <w:r w:rsidRPr="00E775A6">
        <w:rPr>
          <w:rFonts w:cs="Times New Roman"/>
        </w:rPr>
        <w:t xml:space="preserve"> </w:t>
      </w:r>
      <w:proofErr w:type="spellStart"/>
      <w:r w:rsidR="00247AEF">
        <w:rPr>
          <w:rFonts w:cs="Times New Roman"/>
        </w:rPr>
        <w:t>Glicksohn</w:t>
      </w:r>
      <w:proofErr w:type="spellEnd"/>
      <w:r w:rsidR="00247AEF">
        <w:rPr>
          <w:rFonts w:cs="Times New Roman"/>
        </w:rPr>
        <w:t xml:space="preserve"> (1991) </w:t>
      </w:r>
      <w:r w:rsidR="00CA232B">
        <w:rPr>
          <w:rFonts w:cs="Times New Roman"/>
        </w:rPr>
        <w:t>reported reliability of</w:t>
      </w:r>
      <w:r w:rsidR="005619FF">
        <w:rPr>
          <w:rFonts w:cs="Times New Roman"/>
        </w:rPr>
        <w:t xml:space="preserve"> r=0</w:t>
      </w:r>
      <w:r w:rsidR="00CA232B">
        <w:rPr>
          <w:rFonts w:cs="Times New Roman"/>
        </w:rPr>
        <w:t xml:space="preserve">.80 and </w:t>
      </w:r>
      <w:proofErr w:type="spellStart"/>
      <w:r w:rsidRPr="00E775A6">
        <w:rPr>
          <w:rFonts w:cs="Times New Roman"/>
        </w:rPr>
        <w:t>Glicksohn</w:t>
      </w:r>
      <w:proofErr w:type="spellEnd"/>
      <w:r w:rsidRPr="00E775A6">
        <w:rPr>
          <w:rFonts w:cs="Times New Roman"/>
        </w:rPr>
        <w:t xml:space="preserve"> </w:t>
      </w:r>
      <w:r w:rsidR="00CA232B">
        <w:rPr>
          <w:rFonts w:cs="Times New Roman"/>
        </w:rPr>
        <w:t>and</w:t>
      </w:r>
      <w:r w:rsidRPr="00E775A6">
        <w:rPr>
          <w:rFonts w:cs="Times New Roman"/>
        </w:rPr>
        <w:t xml:space="preserve"> Barrett </w:t>
      </w:r>
      <w:r w:rsidR="00CA232B">
        <w:rPr>
          <w:rFonts w:cs="Times New Roman"/>
        </w:rPr>
        <w:t>(</w:t>
      </w:r>
      <w:r w:rsidRPr="00E775A6">
        <w:rPr>
          <w:rFonts w:cs="Times New Roman"/>
        </w:rPr>
        <w:t>2003)</w:t>
      </w:r>
      <w:r w:rsidR="00CA232B">
        <w:rPr>
          <w:rFonts w:cs="Times New Roman"/>
        </w:rPr>
        <w:t xml:space="preserve"> reported reliability of .84</w:t>
      </w:r>
      <w:r w:rsidRPr="00E775A6">
        <w:rPr>
          <w:rFonts w:cs="Times New Roman"/>
        </w:rPr>
        <w:t xml:space="preserve">. </w:t>
      </w:r>
    </w:p>
    <w:p w:rsidR="001A693F" w:rsidRDefault="00121087" w:rsidP="00E775A6">
      <w:pPr>
        <w:spacing w:line="480" w:lineRule="auto"/>
        <w:rPr>
          <w:rFonts w:cs="Times New Roman"/>
          <w:iCs/>
        </w:rPr>
      </w:pPr>
      <w:r>
        <w:rPr>
          <w:rFonts w:cs="Times New Roman"/>
          <w:i/>
          <w:iCs/>
        </w:rPr>
        <w:t xml:space="preserve">(Modified) </w:t>
      </w:r>
      <w:r w:rsidR="00656EAF">
        <w:rPr>
          <w:rFonts w:cs="Times New Roman"/>
          <w:i/>
          <w:iCs/>
        </w:rPr>
        <w:t>Australi</w:t>
      </w:r>
      <w:r w:rsidR="00A75139">
        <w:rPr>
          <w:rFonts w:cs="Times New Roman"/>
          <w:i/>
          <w:iCs/>
        </w:rPr>
        <w:t>an Sheep-</w:t>
      </w:r>
      <w:r w:rsidR="00656EAF">
        <w:rPr>
          <w:rFonts w:cs="Times New Roman"/>
          <w:i/>
          <w:iCs/>
        </w:rPr>
        <w:t xml:space="preserve">Goat Scale </w:t>
      </w:r>
      <w:r w:rsidR="00656EAF">
        <w:rPr>
          <w:rFonts w:cs="Times New Roman"/>
          <w:iCs/>
        </w:rPr>
        <w:t xml:space="preserve">(ASGS; </w:t>
      </w:r>
      <w:proofErr w:type="spellStart"/>
      <w:r w:rsidR="00A75139">
        <w:rPr>
          <w:rFonts w:cs="Times New Roman"/>
          <w:iCs/>
        </w:rPr>
        <w:t>Thalbourne</w:t>
      </w:r>
      <w:proofErr w:type="spellEnd"/>
      <w:r w:rsidR="00A75139">
        <w:rPr>
          <w:rFonts w:cs="Times New Roman"/>
          <w:iCs/>
        </w:rPr>
        <w:t>, 2010)</w:t>
      </w:r>
      <w:r w:rsidR="002343E5">
        <w:rPr>
          <w:rFonts w:cs="Times New Roman"/>
          <w:i/>
          <w:iCs/>
        </w:rPr>
        <w:t>:</w:t>
      </w:r>
      <w:r w:rsidR="003654D6">
        <w:rPr>
          <w:rFonts w:cs="Times New Roman"/>
        </w:rPr>
        <w:t xml:space="preserve"> </w:t>
      </w:r>
      <w:r w:rsidR="005619FF">
        <w:rPr>
          <w:rFonts w:cs="Times New Roman"/>
        </w:rPr>
        <w:t>A</w:t>
      </w:r>
      <w:r w:rsidR="003654D6">
        <w:rPr>
          <w:rFonts w:cs="Times New Roman"/>
        </w:rPr>
        <w:t xml:space="preserve"> modified version of the widely used </w:t>
      </w:r>
      <w:r w:rsidR="003654D6" w:rsidRPr="00E775A6">
        <w:rPr>
          <w:rFonts w:cs="Times New Roman"/>
        </w:rPr>
        <w:t>Australian Sheep-Goat Scale</w:t>
      </w:r>
      <w:r w:rsidR="003654D6">
        <w:rPr>
          <w:rFonts w:cs="Times New Roman"/>
          <w:iCs/>
        </w:rPr>
        <w:t xml:space="preserve"> </w:t>
      </w:r>
      <w:r w:rsidR="00D20ED0" w:rsidRPr="00E775A6">
        <w:rPr>
          <w:rFonts w:cs="Times New Roman"/>
        </w:rPr>
        <w:t xml:space="preserve">was </w:t>
      </w:r>
      <w:r w:rsidR="003654D6">
        <w:rPr>
          <w:rFonts w:cs="Times New Roman"/>
        </w:rPr>
        <w:t>used</w:t>
      </w:r>
      <w:r w:rsidR="00410620">
        <w:rPr>
          <w:rFonts w:cs="Times New Roman"/>
        </w:rPr>
        <w:t xml:space="preserve"> in this study to measu</w:t>
      </w:r>
      <w:r w:rsidR="00CA232B">
        <w:rPr>
          <w:rFonts w:cs="Times New Roman"/>
        </w:rPr>
        <w:t xml:space="preserve">re to measure paranormal belief and </w:t>
      </w:r>
      <w:r w:rsidR="00410620">
        <w:rPr>
          <w:rFonts w:cs="Times New Roman"/>
        </w:rPr>
        <w:t xml:space="preserve">experience (available at </w:t>
      </w:r>
      <w:r w:rsidR="00410620" w:rsidRPr="00410620">
        <w:rPr>
          <w:rFonts w:cs="Times New Roman"/>
        </w:rPr>
        <w:t>http://www.wlv.ac.uk/PDF/sas_ASGS.pdf</w:t>
      </w:r>
      <w:r w:rsidR="00410620">
        <w:rPr>
          <w:rFonts w:cs="Times New Roman"/>
        </w:rPr>
        <w:t>)</w:t>
      </w:r>
      <w:r w:rsidR="003654D6">
        <w:rPr>
          <w:rFonts w:cs="Times New Roman"/>
        </w:rPr>
        <w:t>. Th</w:t>
      </w:r>
      <w:r w:rsidR="00247AEF">
        <w:rPr>
          <w:rFonts w:cs="Times New Roman"/>
        </w:rPr>
        <w:t>is</w:t>
      </w:r>
      <w:r w:rsidR="003654D6">
        <w:rPr>
          <w:rFonts w:cs="Times New Roman"/>
        </w:rPr>
        <w:t xml:space="preserve"> modified version had </w:t>
      </w:r>
      <w:r w:rsidR="00027835" w:rsidRPr="00E775A6">
        <w:rPr>
          <w:rFonts w:cs="Times New Roman"/>
          <w:iCs/>
        </w:rPr>
        <w:t xml:space="preserve">16 rather than 18 </w:t>
      </w:r>
      <w:r w:rsidR="00441987" w:rsidRPr="00E775A6">
        <w:rPr>
          <w:rFonts w:cs="Times New Roman"/>
          <w:iCs/>
        </w:rPr>
        <w:t xml:space="preserve">true-false </w:t>
      </w:r>
      <w:r w:rsidR="00027835" w:rsidRPr="00E775A6">
        <w:rPr>
          <w:rFonts w:cs="Times New Roman"/>
          <w:iCs/>
        </w:rPr>
        <w:t>items</w:t>
      </w:r>
      <w:r w:rsidR="00496A2A">
        <w:rPr>
          <w:rFonts w:cs="Times New Roman"/>
          <w:iCs/>
        </w:rPr>
        <w:t>, scoring one point for every “true” response</w:t>
      </w:r>
      <w:r w:rsidR="00410620">
        <w:rPr>
          <w:rFonts w:cs="Times New Roman"/>
          <w:iCs/>
        </w:rPr>
        <w:t xml:space="preserve"> (the two items relating to belief in life after death were omitted)</w:t>
      </w:r>
      <w:r w:rsidR="00027835" w:rsidRPr="00E775A6">
        <w:rPr>
          <w:rFonts w:cs="Times New Roman"/>
          <w:iCs/>
        </w:rPr>
        <w:t>.</w:t>
      </w:r>
      <w:r w:rsidR="00496A2A">
        <w:rPr>
          <w:rFonts w:cs="Times New Roman"/>
          <w:iCs/>
        </w:rPr>
        <w:t xml:space="preserve"> </w:t>
      </w:r>
      <w:r w:rsidR="00CA232B">
        <w:rPr>
          <w:rFonts w:cs="Times New Roman"/>
          <w:iCs/>
        </w:rPr>
        <w:t>Example items are “I have had at least one dream that came true and which (I believe) was not just a coincidence</w:t>
      </w:r>
      <w:r w:rsidR="009B1340">
        <w:rPr>
          <w:rFonts w:cs="Times New Roman"/>
          <w:iCs/>
        </w:rPr>
        <w:t>.</w:t>
      </w:r>
      <w:r w:rsidR="00CA232B">
        <w:rPr>
          <w:rFonts w:cs="Times New Roman"/>
          <w:iCs/>
        </w:rPr>
        <w:t>” As</w:t>
      </w:r>
      <w:r w:rsidR="00496A2A">
        <w:rPr>
          <w:rFonts w:cs="Times New Roman"/>
          <w:iCs/>
        </w:rPr>
        <w:t xml:space="preserve"> this version did not include a “don’t know” option</w:t>
      </w:r>
      <w:r w:rsidR="00027835" w:rsidRPr="00E775A6">
        <w:rPr>
          <w:rFonts w:cs="Times New Roman"/>
          <w:iCs/>
        </w:rPr>
        <w:t xml:space="preserve"> </w:t>
      </w:r>
      <w:r w:rsidR="001A693F">
        <w:rPr>
          <w:rFonts w:cs="Times New Roman"/>
          <w:iCs/>
        </w:rPr>
        <w:t>for</w:t>
      </w:r>
      <w:r w:rsidR="00496A2A">
        <w:rPr>
          <w:rFonts w:cs="Times New Roman"/>
          <w:iCs/>
        </w:rPr>
        <w:t xml:space="preserve"> responses,</w:t>
      </w:r>
      <w:r w:rsidR="001A693F">
        <w:rPr>
          <w:rFonts w:cs="Times New Roman"/>
          <w:iCs/>
        </w:rPr>
        <w:t xml:space="preserve"> scores could</w:t>
      </w:r>
      <w:r w:rsidR="00496A2A">
        <w:rPr>
          <w:rFonts w:cs="Times New Roman"/>
          <w:iCs/>
        </w:rPr>
        <w:t xml:space="preserve"> </w:t>
      </w:r>
      <w:r w:rsidR="00A75139">
        <w:rPr>
          <w:rFonts w:cs="Times New Roman"/>
          <w:iCs/>
        </w:rPr>
        <w:t xml:space="preserve">only </w:t>
      </w:r>
      <w:r w:rsidR="00496A2A">
        <w:rPr>
          <w:rFonts w:cs="Times New Roman"/>
          <w:iCs/>
        </w:rPr>
        <w:t xml:space="preserve">range </w:t>
      </w:r>
      <w:r w:rsidR="001A693F">
        <w:rPr>
          <w:rFonts w:cs="Times New Roman"/>
          <w:iCs/>
        </w:rPr>
        <w:t xml:space="preserve">between </w:t>
      </w:r>
      <w:r w:rsidR="00496A2A">
        <w:rPr>
          <w:rFonts w:cs="Times New Roman"/>
          <w:iCs/>
        </w:rPr>
        <w:t xml:space="preserve">0 </w:t>
      </w:r>
      <w:r w:rsidR="001A693F">
        <w:rPr>
          <w:rFonts w:cs="Times New Roman"/>
          <w:iCs/>
        </w:rPr>
        <w:t>and</w:t>
      </w:r>
      <w:r w:rsidR="00496A2A">
        <w:rPr>
          <w:rFonts w:cs="Times New Roman"/>
          <w:iCs/>
        </w:rPr>
        <w:t xml:space="preserve"> 16.</w:t>
      </w:r>
      <w:r w:rsidR="00441987" w:rsidRPr="00E775A6">
        <w:rPr>
          <w:rFonts w:cs="Times New Roman"/>
          <w:iCs/>
        </w:rPr>
        <w:t xml:space="preserve"> </w:t>
      </w:r>
      <w:r w:rsidR="00CA232B">
        <w:rPr>
          <w:rFonts w:cs="Times New Roman"/>
          <w:iCs/>
        </w:rPr>
        <w:t>Although o</w:t>
      </w:r>
      <w:r w:rsidR="00247AEF">
        <w:rPr>
          <w:rFonts w:cs="Times New Roman"/>
          <w:iCs/>
        </w:rPr>
        <w:t>ther</w:t>
      </w:r>
      <w:r w:rsidR="005619FF">
        <w:rPr>
          <w:rFonts w:cs="Times New Roman"/>
          <w:iCs/>
        </w:rPr>
        <w:t xml:space="preserve"> </w:t>
      </w:r>
      <w:r w:rsidR="00A75139">
        <w:rPr>
          <w:rFonts w:cs="Times New Roman"/>
          <w:iCs/>
        </w:rPr>
        <w:t>versions of the ASGS have been shown to be reliable and valid (</w:t>
      </w:r>
      <w:proofErr w:type="spellStart"/>
      <w:r w:rsidR="00A75139">
        <w:rPr>
          <w:rFonts w:cs="Times New Roman"/>
          <w:iCs/>
        </w:rPr>
        <w:t>Thalbourne</w:t>
      </w:r>
      <w:proofErr w:type="spellEnd"/>
      <w:r w:rsidR="00A75139">
        <w:rPr>
          <w:rFonts w:cs="Times New Roman"/>
          <w:iCs/>
        </w:rPr>
        <w:t>, 2010)</w:t>
      </w:r>
      <w:r w:rsidR="00CA232B">
        <w:rPr>
          <w:rFonts w:cs="Times New Roman"/>
          <w:iCs/>
        </w:rPr>
        <w:t xml:space="preserve"> and it seems likely that scores on the current version would correlate highly with the standard 18-item ASGS, no reliability and validity data from previous studies were available</w:t>
      </w:r>
      <w:r w:rsidR="009B1340">
        <w:rPr>
          <w:rFonts w:cs="Times New Roman"/>
          <w:iCs/>
        </w:rPr>
        <w:t xml:space="preserve"> for this modified version</w:t>
      </w:r>
      <w:r w:rsidR="00CA232B">
        <w:rPr>
          <w:rFonts w:cs="Times New Roman"/>
          <w:iCs/>
        </w:rPr>
        <w:t>.</w:t>
      </w:r>
    </w:p>
    <w:p w:rsidR="003E1663" w:rsidRDefault="00D20ED0" w:rsidP="00E775A6">
      <w:pPr>
        <w:spacing w:line="480" w:lineRule="auto"/>
        <w:rPr>
          <w:rFonts w:cs="Times New Roman"/>
        </w:rPr>
      </w:pPr>
      <w:proofErr w:type="spellStart"/>
      <w:r w:rsidRPr="00E775A6">
        <w:rPr>
          <w:rFonts w:cs="Times New Roman"/>
          <w:i/>
          <w:iCs/>
        </w:rPr>
        <w:t>Inattentional</w:t>
      </w:r>
      <w:proofErr w:type="spellEnd"/>
      <w:r w:rsidRPr="00E775A6">
        <w:rPr>
          <w:rFonts w:cs="Times New Roman"/>
          <w:i/>
          <w:iCs/>
        </w:rPr>
        <w:t xml:space="preserve"> Blindness. </w:t>
      </w:r>
      <w:r w:rsidRPr="00E775A6">
        <w:rPr>
          <w:rFonts w:cs="Times New Roman"/>
        </w:rPr>
        <w:t>A computerized IB task</w:t>
      </w:r>
      <w:r w:rsidR="0003277B">
        <w:rPr>
          <w:rFonts w:cs="Times New Roman"/>
        </w:rPr>
        <w:t xml:space="preserve"> </w:t>
      </w:r>
      <w:r w:rsidR="00AE547B">
        <w:rPr>
          <w:rFonts w:cs="Times New Roman"/>
        </w:rPr>
        <w:t xml:space="preserve">very </w:t>
      </w:r>
      <w:r w:rsidR="0003277B">
        <w:rPr>
          <w:rFonts w:cs="Times New Roman"/>
        </w:rPr>
        <w:t xml:space="preserve">similar to one used by </w:t>
      </w:r>
      <w:r w:rsidR="009E2903">
        <w:rPr>
          <w:rFonts w:cs="Times New Roman"/>
        </w:rPr>
        <w:t>Most et al.</w:t>
      </w:r>
      <w:r w:rsidRPr="00E775A6">
        <w:rPr>
          <w:rFonts w:cs="Times New Roman"/>
        </w:rPr>
        <w:t xml:space="preserve"> </w:t>
      </w:r>
      <w:r w:rsidR="0025560B">
        <w:rPr>
          <w:rFonts w:cs="Times New Roman"/>
        </w:rPr>
        <w:t>(</w:t>
      </w:r>
      <w:r w:rsidRPr="00E775A6">
        <w:rPr>
          <w:rFonts w:cs="Times New Roman"/>
        </w:rPr>
        <w:t>2001</w:t>
      </w:r>
      <w:r w:rsidR="00A75139">
        <w:rPr>
          <w:rFonts w:cs="Times New Roman"/>
        </w:rPr>
        <w:t>;</w:t>
      </w:r>
      <w:r w:rsidR="0025560B">
        <w:rPr>
          <w:rFonts w:cs="Times New Roman"/>
        </w:rPr>
        <w:t xml:space="preserve"> see Simons, 2003</w:t>
      </w:r>
      <w:r w:rsidRPr="00E775A6">
        <w:rPr>
          <w:rFonts w:cs="Times New Roman"/>
        </w:rPr>
        <w:t xml:space="preserve">) was </w:t>
      </w:r>
      <w:r w:rsidR="0003277B">
        <w:rPr>
          <w:rFonts w:cs="Times New Roman"/>
        </w:rPr>
        <w:t xml:space="preserve">employed in which </w:t>
      </w:r>
      <w:r w:rsidRPr="00E775A6">
        <w:rPr>
          <w:rFonts w:cs="Times New Roman"/>
        </w:rPr>
        <w:t xml:space="preserve">black </w:t>
      </w:r>
      <w:r w:rsidR="009B7291">
        <w:rPr>
          <w:rFonts w:cs="Times New Roman"/>
        </w:rPr>
        <w:t>(</w:t>
      </w:r>
      <w:r w:rsidR="009E2903">
        <w:rPr>
          <w:rFonts w:cs="Times New Roman"/>
        </w:rPr>
        <w:t>distractor</w:t>
      </w:r>
      <w:r w:rsidR="009B7291">
        <w:rPr>
          <w:rFonts w:cs="Times New Roman"/>
        </w:rPr>
        <w:t xml:space="preserve">) </w:t>
      </w:r>
      <w:r w:rsidRPr="00E775A6">
        <w:rPr>
          <w:rFonts w:cs="Times New Roman"/>
        </w:rPr>
        <w:t xml:space="preserve">and white </w:t>
      </w:r>
      <w:r w:rsidR="009E2903">
        <w:rPr>
          <w:rFonts w:cs="Times New Roman"/>
        </w:rPr>
        <w:t>(target</w:t>
      </w:r>
      <w:r w:rsidR="009B7291">
        <w:rPr>
          <w:rFonts w:cs="Times New Roman"/>
        </w:rPr>
        <w:t xml:space="preserve">) </w:t>
      </w:r>
      <w:r w:rsidRPr="00E775A6">
        <w:rPr>
          <w:rFonts w:cs="Times New Roman"/>
        </w:rPr>
        <w:t xml:space="preserve">letters move around the screen, frequently </w:t>
      </w:r>
      <w:r w:rsidR="001A693F">
        <w:rPr>
          <w:rFonts w:cs="Times New Roman"/>
        </w:rPr>
        <w:t>hitting</w:t>
      </w:r>
      <w:r w:rsidRPr="00E775A6">
        <w:rPr>
          <w:rFonts w:cs="Times New Roman"/>
        </w:rPr>
        <w:t xml:space="preserve"> the frame. </w:t>
      </w:r>
      <w:r w:rsidR="00977D92">
        <w:rPr>
          <w:rFonts w:cs="Times New Roman"/>
        </w:rPr>
        <w:t xml:space="preserve">The video </w:t>
      </w:r>
      <w:r w:rsidR="009B7291">
        <w:rPr>
          <w:rFonts w:cs="Times New Roman"/>
        </w:rPr>
        <w:t xml:space="preserve">(see Figure 1) </w:t>
      </w:r>
      <w:r w:rsidR="00977D92">
        <w:rPr>
          <w:rFonts w:cs="Times New Roman"/>
        </w:rPr>
        <w:t xml:space="preserve">began with a still frame for 8 s in which the starting positions of </w:t>
      </w:r>
      <w:r w:rsidR="009B7291">
        <w:rPr>
          <w:rFonts w:cs="Times New Roman"/>
        </w:rPr>
        <w:t xml:space="preserve">the targets and distractors were displayed. </w:t>
      </w:r>
    </w:p>
    <w:p w:rsidR="003E1663" w:rsidRDefault="003E1663" w:rsidP="00E775A6">
      <w:pPr>
        <w:spacing w:line="480" w:lineRule="auto"/>
        <w:rPr>
          <w:rFonts w:cs="Times New Roman"/>
        </w:rPr>
      </w:pPr>
      <w:r>
        <w:rPr>
          <w:noProof/>
          <w:lang w:val="en-GB" w:eastAsia="en-GB"/>
        </w:rPr>
        <w:drawing>
          <wp:inline distT="0" distB="0" distL="0" distR="0">
            <wp:extent cx="4572000" cy="2662867"/>
            <wp:effectExtent l="0" t="0" r="0" b="4445"/>
            <wp:docPr id="1" name="Picture 1" descr="Macintosh HD:Users:anne:Desktop:Screen Shot 2013-05-16 at 11.5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e:Desktop:Screen Shot 2013-05-16 at 11.59.00.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72834" cy="2663353"/>
                    </a:xfrm>
                    <a:prstGeom prst="rect">
                      <a:avLst/>
                    </a:prstGeom>
                    <a:noFill/>
                    <a:ln>
                      <a:noFill/>
                    </a:ln>
                  </pic:spPr>
                </pic:pic>
              </a:graphicData>
            </a:graphic>
          </wp:inline>
        </w:drawing>
      </w:r>
    </w:p>
    <w:p w:rsidR="003E1663" w:rsidRPr="006731B8" w:rsidRDefault="003E1663" w:rsidP="003E1663">
      <w:pPr>
        <w:spacing w:line="480" w:lineRule="auto"/>
        <w:rPr>
          <w:u w:val="single"/>
        </w:rPr>
      </w:pPr>
      <w:r w:rsidRPr="006731B8">
        <w:rPr>
          <w:i/>
          <w:u w:val="single"/>
        </w:rPr>
        <w:t>Figure 1</w:t>
      </w:r>
      <w:r w:rsidRPr="006731B8">
        <w:rPr>
          <w:u w:val="single"/>
        </w:rPr>
        <w:t xml:space="preserve">. Still frame from the </w:t>
      </w:r>
      <w:proofErr w:type="spellStart"/>
      <w:r w:rsidRPr="006731B8">
        <w:rPr>
          <w:u w:val="single"/>
        </w:rPr>
        <w:t>Inattentional</w:t>
      </w:r>
      <w:proofErr w:type="spellEnd"/>
      <w:r w:rsidRPr="006731B8">
        <w:rPr>
          <w:u w:val="single"/>
        </w:rPr>
        <w:t xml:space="preserve"> blindness video showing the unexpected </w:t>
      </w:r>
      <w:proofErr w:type="gramStart"/>
      <w:r w:rsidRPr="006731B8">
        <w:rPr>
          <w:u w:val="single"/>
        </w:rPr>
        <w:t>red cross</w:t>
      </w:r>
      <w:proofErr w:type="gramEnd"/>
      <w:r w:rsidRPr="006731B8">
        <w:rPr>
          <w:u w:val="single"/>
        </w:rPr>
        <w:t xml:space="preserve"> traversing the screen.</w:t>
      </w:r>
    </w:p>
    <w:p w:rsidR="003E1663" w:rsidRDefault="003E1663" w:rsidP="00E775A6">
      <w:pPr>
        <w:spacing w:line="480" w:lineRule="auto"/>
        <w:rPr>
          <w:rFonts w:cs="Times New Roman"/>
        </w:rPr>
      </w:pPr>
    </w:p>
    <w:p w:rsidR="009B7291" w:rsidRDefault="009B7291" w:rsidP="00E775A6">
      <w:pPr>
        <w:spacing w:line="480" w:lineRule="auto"/>
        <w:rPr>
          <w:rFonts w:cs="Times New Roman"/>
        </w:rPr>
      </w:pPr>
      <w:r>
        <w:rPr>
          <w:rFonts w:cs="Times New Roman"/>
        </w:rPr>
        <w:t>The video began immediately following the still frame and lasted for 25 s. After 7 s</w:t>
      </w:r>
      <w:r w:rsidR="009E2903">
        <w:rPr>
          <w:rFonts w:cs="Times New Roman"/>
        </w:rPr>
        <w:t xml:space="preserve"> of moving letters</w:t>
      </w:r>
      <w:r>
        <w:rPr>
          <w:rFonts w:cs="Times New Roman"/>
        </w:rPr>
        <w:t xml:space="preserve">, a red cross appeared at the right hand side of the display and moved across the centre of the screen to the left hand side, where it disappeared 11 s later. </w:t>
      </w:r>
      <w:r w:rsidR="00D20ED0" w:rsidRPr="00E775A6">
        <w:rPr>
          <w:rFonts w:cs="Times New Roman"/>
        </w:rPr>
        <w:t>Participants</w:t>
      </w:r>
      <w:r w:rsidR="009E2903">
        <w:rPr>
          <w:rFonts w:cs="Times New Roman"/>
        </w:rPr>
        <w:t xml:space="preserve"> are instructed to</w:t>
      </w:r>
      <w:r w:rsidR="00D20ED0" w:rsidRPr="00E775A6">
        <w:rPr>
          <w:rFonts w:cs="Times New Roman"/>
        </w:rPr>
        <w:t xml:space="preserve"> ignore the four black l</w:t>
      </w:r>
      <w:r w:rsidR="009E2903">
        <w:rPr>
          <w:rFonts w:cs="Times New Roman"/>
        </w:rPr>
        <w:t>etters</w:t>
      </w:r>
      <w:r w:rsidR="00D20ED0" w:rsidRPr="00E775A6">
        <w:rPr>
          <w:rFonts w:cs="Times New Roman"/>
        </w:rPr>
        <w:t xml:space="preserve"> and</w:t>
      </w:r>
      <w:r w:rsidR="009E2903">
        <w:rPr>
          <w:rFonts w:cs="Times New Roman"/>
        </w:rPr>
        <w:t xml:space="preserve"> to</w:t>
      </w:r>
      <w:r w:rsidR="00441987" w:rsidRPr="00E775A6">
        <w:rPr>
          <w:rFonts w:cs="Times New Roman"/>
        </w:rPr>
        <w:t xml:space="preserve"> silently count the times the </w:t>
      </w:r>
      <w:r w:rsidR="00D20ED0" w:rsidRPr="00E775A6">
        <w:rPr>
          <w:rFonts w:cs="Times New Roman"/>
        </w:rPr>
        <w:t xml:space="preserve">four white letters </w:t>
      </w:r>
      <w:r w:rsidR="00D20ED0" w:rsidRPr="00E775A6">
        <w:t>'</w:t>
      </w:r>
      <w:r w:rsidR="00D20ED0" w:rsidRPr="00E775A6">
        <w:rPr>
          <w:rFonts w:cs="Times New Roman"/>
        </w:rPr>
        <w:t>hit</w:t>
      </w:r>
      <w:r w:rsidR="00D20ED0" w:rsidRPr="00E775A6">
        <w:t>'</w:t>
      </w:r>
      <w:r w:rsidR="00D20ED0" w:rsidRPr="00E775A6">
        <w:rPr>
          <w:rFonts w:cs="Times New Roman"/>
        </w:rPr>
        <w:t xml:space="preserve"> the display</w:t>
      </w:r>
      <w:r w:rsidR="00E9011F">
        <w:rPr>
          <w:rFonts w:cs="Times New Roman"/>
        </w:rPr>
        <w:t xml:space="preserve"> frame</w:t>
      </w:r>
      <w:r w:rsidR="00D20ED0" w:rsidRPr="00E775A6">
        <w:rPr>
          <w:rFonts w:cs="Times New Roman"/>
        </w:rPr>
        <w:t xml:space="preserve">. </w:t>
      </w:r>
    </w:p>
    <w:p w:rsidR="00441987" w:rsidRPr="00FD6D62" w:rsidRDefault="00441987" w:rsidP="00E775A6">
      <w:pPr>
        <w:spacing w:line="480" w:lineRule="auto"/>
        <w:rPr>
          <w:i/>
          <w:iCs/>
        </w:rPr>
      </w:pPr>
      <w:r w:rsidRPr="00FD6D62">
        <w:rPr>
          <w:i/>
          <w:iCs/>
        </w:rPr>
        <w:t>Procedure</w:t>
      </w:r>
    </w:p>
    <w:p w:rsidR="00441987" w:rsidRPr="00E775A6" w:rsidRDefault="00441987" w:rsidP="00E775A6">
      <w:pPr>
        <w:spacing w:line="480" w:lineRule="auto"/>
      </w:pPr>
      <w:r w:rsidRPr="00E775A6">
        <w:t xml:space="preserve">Participants were tested individually in a cubicle. They completed the </w:t>
      </w:r>
      <w:r w:rsidR="009E2903">
        <w:t>modified-</w:t>
      </w:r>
      <w:r w:rsidR="00A75139">
        <w:t>ASGS</w:t>
      </w:r>
      <w:r w:rsidRPr="00E775A6">
        <w:t xml:space="preserve"> and T</w:t>
      </w:r>
      <w:r w:rsidR="00A75139">
        <w:t>AS</w:t>
      </w:r>
      <w:r w:rsidRPr="00E775A6">
        <w:t xml:space="preserve"> </w:t>
      </w:r>
      <w:r w:rsidR="0003277B">
        <w:t>followed by</w:t>
      </w:r>
      <w:r w:rsidRPr="00E775A6">
        <w:t xml:space="preserve"> the computerized IB </w:t>
      </w:r>
      <w:r w:rsidR="0003277B">
        <w:t>task</w:t>
      </w:r>
      <w:r w:rsidRPr="00E775A6">
        <w:t xml:space="preserve">. </w:t>
      </w:r>
      <w:r w:rsidR="0003277B">
        <w:t>Participants</w:t>
      </w:r>
      <w:r w:rsidR="001C2BB4">
        <w:t xml:space="preserve"> were</w:t>
      </w:r>
      <w:r w:rsidRPr="00E775A6">
        <w:t xml:space="preserve"> instructed to silently count the total number of 'hits'</w:t>
      </w:r>
      <w:r w:rsidR="003654D6">
        <w:t xml:space="preserve"> (i.e., the total number of times the white letters hit the frame on the video)</w:t>
      </w:r>
      <w:r w:rsidR="001A693F">
        <w:t xml:space="preserve">. At the end of the task, </w:t>
      </w:r>
      <w:r w:rsidR="00905089">
        <w:t>p</w:t>
      </w:r>
      <w:r w:rsidR="00D77969">
        <w:t xml:space="preserve">articipants were asked how many hits they counted and then asked </w:t>
      </w:r>
      <w:r w:rsidRPr="00E775A6">
        <w:t>whether they had seen anything in addition to the white and black letters. Those answer</w:t>
      </w:r>
      <w:r w:rsidR="001A693F">
        <w:t>ing</w:t>
      </w:r>
      <w:r w:rsidRPr="00E775A6">
        <w:t xml:space="preserve"> 'no' were classified as IB, and those answer</w:t>
      </w:r>
      <w:r w:rsidR="001A693F">
        <w:t>ing</w:t>
      </w:r>
      <w:r w:rsidRPr="00E775A6">
        <w:t xml:space="preserve"> 'yes, a red cross' were classified as NIB. </w:t>
      </w:r>
      <w:r w:rsidR="00F3093F">
        <w:t xml:space="preserve">At the end of the </w:t>
      </w:r>
      <w:r w:rsidR="003D1DCC">
        <w:t>study</w:t>
      </w:r>
      <w:r w:rsidR="00F3093F">
        <w:t xml:space="preserve">, participants were </w:t>
      </w:r>
      <w:r w:rsidR="003654D6">
        <w:t xml:space="preserve">fully </w:t>
      </w:r>
      <w:r w:rsidRPr="00E775A6">
        <w:t>debriefed.</w:t>
      </w:r>
    </w:p>
    <w:p w:rsidR="00441987" w:rsidRPr="00751B95" w:rsidRDefault="00441987" w:rsidP="00751B95">
      <w:pPr>
        <w:spacing w:line="480" w:lineRule="auto"/>
        <w:jc w:val="center"/>
      </w:pPr>
      <w:r w:rsidRPr="00751B95">
        <w:t>Results</w:t>
      </w:r>
    </w:p>
    <w:p w:rsidR="007739B8" w:rsidRPr="00E775A6" w:rsidRDefault="00441987" w:rsidP="00E775A6">
      <w:pPr>
        <w:spacing w:line="480" w:lineRule="auto"/>
      </w:pPr>
      <w:r w:rsidRPr="00E775A6">
        <w:t xml:space="preserve">Of the </w:t>
      </w:r>
      <w:r w:rsidR="003654D6" w:rsidRPr="00E775A6">
        <w:t>9</w:t>
      </w:r>
      <w:r w:rsidR="003654D6">
        <w:t>1</w:t>
      </w:r>
      <w:r w:rsidR="003654D6" w:rsidRPr="00E775A6">
        <w:t xml:space="preserve"> </w:t>
      </w:r>
      <w:r w:rsidRPr="00E775A6">
        <w:t xml:space="preserve">participants, </w:t>
      </w:r>
      <w:r w:rsidR="00FB5949">
        <w:t>39</w:t>
      </w:r>
      <w:r w:rsidR="00FB5949" w:rsidRPr="00E775A6">
        <w:t xml:space="preserve"> </w:t>
      </w:r>
      <w:r w:rsidRPr="00E775A6">
        <w:t xml:space="preserve">(43%) were </w:t>
      </w:r>
      <w:proofErr w:type="spellStart"/>
      <w:r w:rsidRPr="00E775A6">
        <w:t>inattentionally</w:t>
      </w:r>
      <w:proofErr w:type="spellEnd"/>
      <w:r w:rsidRPr="00E775A6">
        <w:t xml:space="preserve"> blind (IB) to the red stimulus</w:t>
      </w:r>
      <w:r w:rsidR="0003277B">
        <w:t xml:space="preserve"> whereas the remainder were</w:t>
      </w:r>
      <w:r w:rsidRPr="00E775A6">
        <w:t xml:space="preserve"> </w:t>
      </w:r>
      <w:r w:rsidR="00E9011F" w:rsidRPr="00E775A6">
        <w:t>no</w:t>
      </w:r>
      <w:r w:rsidR="00E9011F">
        <w:t>n-</w:t>
      </w:r>
      <w:proofErr w:type="spellStart"/>
      <w:r w:rsidRPr="00E775A6">
        <w:t>inattentionally</w:t>
      </w:r>
      <w:proofErr w:type="spellEnd"/>
      <w:r w:rsidRPr="00E775A6">
        <w:t xml:space="preserve"> blind (NIB). All participants </w:t>
      </w:r>
      <w:r w:rsidR="001A693F">
        <w:t>correctly identified the number of hits (</w:t>
      </w:r>
      <w:r w:rsidRPr="00E775A6">
        <w:t xml:space="preserve">plus or minus </w:t>
      </w:r>
      <w:r w:rsidR="00FD6D62">
        <w:t>2</w:t>
      </w:r>
      <w:r w:rsidRPr="00E775A6">
        <w:t>)</w:t>
      </w:r>
      <w:r w:rsidR="001A693F">
        <w:t xml:space="preserve"> in the primary IB task</w:t>
      </w:r>
      <w:r w:rsidRPr="00E775A6">
        <w:t xml:space="preserve">. </w:t>
      </w:r>
    </w:p>
    <w:p w:rsidR="003E1663" w:rsidRDefault="00973AF3" w:rsidP="00E775A6">
      <w:pPr>
        <w:spacing w:line="480" w:lineRule="auto"/>
      </w:pPr>
      <w:r>
        <w:tab/>
      </w:r>
      <w:r w:rsidR="0033306A" w:rsidRPr="00E775A6">
        <w:t>IBs had higher absorption</w:t>
      </w:r>
      <w:r w:rsidR="0003277B">
        <w:t xml:space="preserve"> </w:t>
      </w:r>
      <w:r w:rsidR="0033306A" w:rsidRPr="00E775A6">
        <w:t xml:space="preserve">scores and higher </w:t>
      </w:r>
      <w:r w:rsidR="009E2903">
        <w:t>modified-</w:t>
      </w:r>
      <w:r w:rsidR="007739B8" w:rsidRPr="00E775A6">
        <w:t xml:space="preserve">ASGS scores </w:t>
      </w:r>
      <w:r w:rsidR="00BD474F">
        <w:t xml:space="preserve">(see Table 1). </w:t>
      </w:r>
    </w:p>
    <w:p w:rsidR="003E1663" w:rsidRDefault="003E1663" w:rsidP="00E775A6">
      <w:pPr>
        <w:spacing w:line="480" w:lineRule="auto"/>
      </w:pPr>
    </w:p>
    <w:p w:rsidR="003E1663" w:rsidRDefault="003E1663" w:rsidP="00E775A6">
      <w:pPr>
        <w:spacing w:line="480" w:lineRule="auto"/>
      </w:pPr>
    </w:p>
    <w:tbl>
      <w:tblPr>
        <w:tblStyle w:val="LightShading"/>
        <w:tblW w:w="8322" w:type="dxa"/>
        <w:tblInd w:w="108" w:type="dxa"/>
        <w:tblLook w:val="06A0"/>
      </w:tblPr>
      <w:tblGrid>
        <w:gridCol w:w="1997"/>
        <w:gridCol w:w="1870"/>
        <w:gridCol w:w="2137"/>
        <w:gridCol w:w="1118"/>
        <w:gridCol w:w="1200"/>
      </w:tblGrid>
      <w:tr w:rsidR="003E1663" w:rsidTr="00EB30DF">
        <w:trPr>
          <w:cnfStyle w:val="100000000000"/>
        </w:trPr>
        <w:tc>
          <w:tcPr>
            <w:cnfStyle w:val="001000000000"/>
            <w:tcW w:w="1997" w:type="dxa"/>
          </w:tcPr>
          <w:p w:rsidR="003E1663" w:rsidRDefault="003E1663" w:rsidP="00EB30DF"/>
        </w:tc>
        <w:tc>
          <w:tcPr>
            <w:tcW w:w="1870" w:type="dxa"/>
          </w:tcPr>
          <w:p w:rsidR="003E1663" w:rsidRPr="009B4AC3" w:rsidRDefault="003E1663" w:rsidP="00EB30DF">
            <w:pPr>
              <w:jc w:val="center"/>
              <w:cnfStyle w:val="100000000000"/>
            </w:pPr>
            <w:proofErr w:type="spellStart"/>
            <w:r w:rsidRPr="009B4AC3">
              <w:t>Inattentionally</w:t>
            </w:r>
            <w:proofErr w:type="spellEnd"/>
            <w:r w:rsidRPr="009B4AC3">
              <w:t xml:space="preserve"> Blind</w:t>
            </w:r>
          </w:p>
          <w:p w:rsidR="003E1663" w:rsidRPr="009B4AC3" w:rsidRDefault="003E1663" w:rsidP="00EB30DF">
            <w:pPr>
              <w:jc w:val="center"/>
              <w:cnfStyle w:val="100000000000"/>
            </w:pPr>
            <w:r w:rsidRPr="009B4AC3">
              <w:t>N = 39</w:t>
            </w:r>
          </w:p>
          <w:p w:rsidR="003E1663" w:rsidRPr="009B4AC3" w:rsidRDefault="003E1663" w:rsidP="00EB30DF">
            <w:pPr>
              <w:jc w:val="center"/>
              <w:cnfStyle w:val="100000000000"/>
            </w:pPr>
            <w:r w:rsidRPr="009B4AC3">
              <w:t>(9 males)</w:t>
            </w:r>
          </w:p>
        </w:tc>
        <w:tc>
          <w:tcPr>
            <w:tcW w:w="2137" w:type="dxa"/>
          </w:tcPr>
          <w:p w:rsidR="003E1663" w:rsidRPr="009B4AC3" w:rsidRDefault="003E1663" w:rsidP="00EB30DF">
            <w:pPr>
              <w:jc w:val="center"/>
              <w:cnfStyle w:val="100000000000"/>
            </w:pPr>
            <w:r w:rsidRPr="009B4AC3">
              <w:t xml:space="preserve">Not </w:t>
            </w:r>
            <w:proofErr w:type="spellStart"/>
            <w:r w:rsidRPr="009B4AC3">
              <w:t>Inattentionally</w:t>
            </w:r>
            <w:proofErr w:type="spellEnd"/>
            <w:r w:rsidRPr="009B4AC3">
              <w:t xml:space="preserve"> Blind</w:t>
            </w:r>
          </w:p>
          <w:p w:rsidR="003E1663" w:rsidRPr="009B4AC3" w:rsidRDefault="003E1663" w:rsidP="00EB30DF">
            <w:pPr>
              <w:jc w:val="center"/>
              <w:cnfStyle w:val="100000000000"/>
            </w:pPr>
            <w:r w:rsidRPr="009B4AC3">
              <w:t>N = 52</w:t>
            </w:r>
          </w:p>
          <w:p w:rsidR="003E1663" w:rsidRPr="009B4AC3" w:rsidRDefault="003E1663" w:rsidP="00EB30DF">
            <w:pPr>
              <w:jc w:val="center"/>
              <w:cnfStyle w:val="100000000000"/>
            </w:pPr>
            <w:r w:rsidRPr="009B4AC3">
              <w:t>(8 males)</w:t>
            </w:r>
          </w:p>
        </w:tc>
        <w:tc>
          <w:tcPr>
            <w:tcW w:w="1118" w:type="dxa"/>
          </w:tcPr>
          <w:p w:rsidR="003E1663" w:rsidRPr="009B4AC3" w:rsidRDefault="003E1663" w:rsidP="00EB30DF">
            <w:pPr>
              <w:jc w:val="center"/>
              <w:cnfStyle w:val="100000000000"/>
            </w:pPr>
            <w:r w:rsidRPr="009B4AC3">
              <w:rPr>
                <w:i/>
              </w:rPr>
              <w:t>t</w:t>
            </w:r>
            <w:r w:rsidRPr="009B4AC3">
              <w:t>(89)</w:t>
            </w:r>
          </w:p>
        </w:tc>
        <w:tc>
          <w:tcPr>
            <w:tcW w:w="1200" w:type="dxa"/>
          </w:tcPr>
          <w:p w:rsidR="003E1663" w:rsidRPr="009B4AC3" w:rsidRDefault="003E1663" w:rsidP="00EB30DF">
            <w:pPr>
              <w:jc w:val="center"/>
              <w:cnfStyle w:val="100000000000"/>
            </w:pPr>
            <w:r w:rsidRPr="009B4AC3">
              <w:t>CI</w:t>
            </w:r>
            <w:r w:rsidRPr="009B4AC3">
              <w:rPr>
                <w:vertAlign w:val="subscript"/>
              </w:rPr>
              <w:t xml:space="preserve">95 </w:t>
            </w:r>
            <w:r w:rsidRPr="009B4AC3">
              <w:t xml:space="preserve">(Cohen </w:t>
            </w:r>
            <w:r w:rsidRPr="009B4AC3">
              <w:rPr>
                <w:i/>
              </w:rPr>
              <w:t>d)</w:t>
            </w:r>
          </w:p>
        </w:tc>
      </w:tr>
      <w:tr w:rsidR="003E1663" w:rsidTr="00EB30DF">
        <w:tc>
          <w:tcPr>
            <w:cnfStyle w:val="001000000000"/>
            <w:tcW w:w="1997" w:type="dxa"/>
          </w:tcPr>
          <w:p w:rsidR="003E1663" w:rsidRPr="009B4AC3" w:rsidRDefault="003E1663" w:rsidP="00EB30DF">
            <w:r w:rsidRPr="009B4AC3">
              <w:t>Age</w:t>
            </w:r>
          </w:p>
        </w:tc>
        <w:tc>
          <w:tcPr>
            <w:tcW w:w="1870" w:type="dxa"/>
          </w:tcPr>
          <w:p w:rsidR="003E1663" w:rsidRDefault="003E1663" w:rsidP="00EB30DF">
            <w:pPr>
              <w:jc w:val="center"/>
              <w:cnfStyle w:val="000000000000"/>
            </w:pPr>
            <w:r>
              <w:t>21.59</w:t>
            </w:r>
          </w:p>
          <w:p w:rsidR="003E1663" w:rsidRDefault="003E1663" w:rsidP="00EB30DF">
            <w:pPr>
              <w:jc w:val="center"/>
              <w:cnfStyle w:val="000000000000"/>
            </w:pPr>
            <w:r>
              <w:t>(3.73)</w:t>
            </w:r>
          </w:p>
        </w:tc>
        <w:tc>
          <w:tcPr>
            <w:tcW w:w="2137" w:type="dxa"/>
          </w:tcPr>
          <w:p w:rsidR="003E1663" w:rsidRDefault="003E1663" w:rsidP="00EB30DF">
            <w:pPr>
              <w:jc w:val="center"/>
              <w:cnfStyle w:val="000000000000"/>
            </w:pPr>
            <w:r>
              <w:t>21.42</w:t>
            </w:r>
          </w:p>
          <w:p w:rsidR="003E1663" w:rsidRDefault="003E1663" w:rsidP="00EB30DF">
            <w:pPr>
              <w:jc w:val="center"/>
              <w:cnfStyle w:val="000000000000"/>
            </w:pPr>
            <w:r>
              <w:t>(7.46)</w:t>
            </w:r>
          </w:p>
          <w:p w:rsidR="003E1663" w:rsidRDefault="003E1663" w:rsidP="00EB30DF">
            <w:pPr>
              <w:jc w:val="center"/>
              <w:cnfStyle w:val="000000000000"/>
            </w:pPr>
          </w:p>
        </w:tc>
        <w:tc>
          <w:tcPr>
            <w:tcW w:w="1118" w:type="dxa"/>
          </w:tcPr>
          <w:p w:rsidR="003E1663" w:rsidRDefault="003E1663" w:rsidP="00EB30DF">
            <w:pPr>
              <w:jc w:val="center"/>
              <w:cnfStyle w:val="000000000000"/>
            </w:pPr>
            <w:r>
              <w:t>0.13</w:t>
            </w:r>
          </w:p>
        </w:tc>
        <w:tc>
          <w:tcPr>
            <w:tcW w:w="1200" w:type="dxa"/>
          </w:tcPr>
          <w:p w:rsidR="003E1663" w:rsidRDefault="003E1663" w:rsidP="00EB30DF">
            <w:pPr>
              <w:jc w:val="center"/>
              <w:cnfStyle w:val="000000000000"/>
            </w:pPr>
          </w:p>
        </w:tc>
      </w:tr>
      <w:tr w:rsidR="003E1663" w:rsidTr="00EB30DF">
        <w:tc>
          <w:tcPr>
            <w:cnfStyle w:val="001000000000"/>
            <w:tcW w:w="1997" w:type="dxa"/>
          </w:tcPr>
          <w:p w:rsidR="003E1663" w:rsidRPr="009B4AC3" w:rsidRDefault="003E1663" w:rsidP="00EB30DF">
            <w:r w:rsidRPr="009B4AC3">
              <w:t>TAS (Total)</w:t>
            </w:r>
          </w:p>
        </w:tc>
        <w:tc>
          <w:tcPr>
            <w:tcW w:w="1870" w:type="dxa"/>
          </w:tcPr>
          <w:p w:rsidR="003E1663" w:rsidRDefault="003E1663" w:rsidP="00EB30DF">
            <w:pPr>
              <w:jc w:val="center"/>
              <w:cnfStyle w:val="000000000000"/>
            </w:pPr>
            <w:r>
              <w:t>20.23</w:t>
            </w:r>
          </w:p>
          <w:p w:rsidR="003E1663" w:rsidRDefault="003E1663" w:rsidP="00EB30DF">
            <w:pPr>
              <w:jc w:val="center"/>
              <w:cnfStyle w:val="000000000000"/>
            </w:pPr>
            <w:r>
              <w:t>(4.69)</w:t>
            </w:r>
          </w:p>
        </w:tc>
        <w:tc>
          <w:tcPr>
            <w:tcW w:w="2137" w:type="dxa"/>
          </w:tcPr>
          <w:p w:rsidR="003E1663" w:rsidRDefault="003E1663" w:rsidP="00EB30DF">
            <w:pPr>
              <w:jc w:val="center"/>
              <w:cnfStyle w:val="000000000000"/>
            </w:pPr>
            <w:r>
              <w:t>13.62</w:t>
            </w:r>
          </w:p>
          <w:p w:rsidR="003E1663" w:rsidRDefault="003E1663" w:rsidP="00EB30DF">
            <w:pPr>
              <w:jc w:val="center"/>
              <w:cnfStyle w:val="000000000000"/>
            </w:pPr>
            <w:r>
              <w:t>(5.25)</w:t>
            </w:r>
          </w:p>
        </w:tc>
        <w:tc>
          <w:tcPr>
            <w:tcW w:w="1118" w:type="dxa"/>
          </w:tcPr>
          <w:p w:rsidR="003E1663" w:rsidRDefault="003E1663" w:rsidP="00EB30DF">
            <w:pPr>
              <w:jc w:val="center"/>
              <w:cnfStyle w:val="000000000000"/>
            </w:pPr>
            <w:r>
              <w:t>6.22**</w:t>
            </w:r>
          </w:p>
        </w:tc>
        <w:tc>
          <w:tcPr>
            <w:tcW w:w="1200" w:type="dxa"/>
          </w:tcPr>
          <w:p w:rsidR="003E1663" w:rsidRDefault="003E1663" w:rsidP="00EB30DF">
            <w:pPr>
              <w:jc w:val="center"/>
              <w:cnfStyle w:val="000000000000"/>
            </w:pPr>
            <w:r>
              <w:t>4.5, 8.7</w:t>
            </w:r>
          </w:p>
          <w:p w:rsidR="003E1663" w:rsidRDefault="003E1663" w:rsidP="00EB30DF">
            <w:pPr>
              <w:jc w:val="center"/>
              <w:cnfStyle w:val="000000000000"/>
              <w:rPr>
                <w:i/>
              </w:rPr>
            </w:pPr>
            <w:r w:rsidRPr="00DE774A">
              <w:rPr>
                <w:i/>
              </w:rPr>
              <w:t>(1.34)</w:t>
            </w:r>
          </w:p>
          <w:p w:rsidR="003E1663" w:rsidRPr="00DE774A" w:rsidRDefault="003E1663" w:rsidP="00EB30DF">
            <w:pPr>
              <w:jc w:val="center"/>
              <w:cnfStyle w:val="000000000000"/>
              <w:rPr>
                <w:i/>
              </w:rPr>
            </w:pPr>
          </w:p>
        </w:tc>
      </w:tr>
      <w:tr w:rsidR="003E1663" w:rsidTr="00EB30DF">
        <w:tc>
          <w:tcPr>
            <w:cnfStyle w:val="001000000000"/>
            <w:tcW w:w="1997" w:type="dxa"/>
          </w:tcPr>
          <w:p w:rsidR="003E1663" w:rsidRDefault="003E1663" w:rsidP="00EB30DF">
            <w:r w:rsidRPr="009B4AC3">
              <w:t>TAS (Paranormal</w:t>
            </w:r>
            <w:r>
              <w:t xml:space="preserve"> Belief</w:t>
            </w:r>
            <w:r w:rsidRPr="009B4AC3">
              <w:t xml:space="preserve"> items removed)</w:t>
            </w:r>
          </w:p>
          <w:p w:rsidR="003E1663" w:rsidRPr="009B4AC3" w:rsidRDefault="003E1663" w:rsidP="00EB30DF"/>
        </w:tc>
        <w:tc>
          <w:tcPr>
            <w:tcW w:w="1870" w:type="dxa"/>
          </w:tcPr>
          <w:p w:rsidR="003E1663" w:rsidRDefault="003E1663" w:rsidP="00EB30DF">
            <w:pPr>
              <w:jc w:val="center"/>
              <w:cnfStyle w:val="000000000000"/>
            </w:pPr>
            <w:r>
              <w:t>18.31</w:t>
            </w:r>
          </w:p>
          <w:p w:rsidR="003E1663" w:rsidRDefault="003E1663" w:rsidP="00EB30DF">
            <w:pPr>
              <w:jc w:val="center"/>
              <w:cnfStyle w:val="000000000000"/>
            </w:pPr>
            <w:r>
              <w:t>(4.50)</w:t>
            </w:r>
          </w:p>
        </w:tc>
        <w:tc>
          <w:tcPr>
            <w:tcW w:w="2137" w:type="dxa"/>
          </w:tcPr>
          <w:p w:rsidR="003E1663" w:rsidRDefault="003E1663" w:rsidP="00EB30DF">
            <w:pPr>
              <w:jc w:val="center"/>
              <w:cnfStyle w:val="000000000000"/>
            </w:pPr>
            <w:r>
              <w:t>12.40</w:t>
            </w:r>
          </w:p>
          <w:p w:rsidR="003E1663" w:rsidRDefault="003E1663" w:rsidP="00EB30DF">
            <w:pPr>
              <w:jc w:val="center"/>
              <w:cnfStyle w:val="000000000000"/>
            </w:pPr>
            <w:r>
              <w:t>(4.66)</w:t>
            </w:r>
          </w:p>
        </w:tc>
        <w:tc>
          <w:tcPr>
            <w:tcW w:w="1118" w:type="dxa"/>
          </w:tcPr>
          <w:p w:rsidR="003E1663" w:rsidRDefault="003E1663" w:rsidP="00EB30DF">
            <w:pPr>
              <w:jc w:val="center"/>
              <w:cnfStyle w:val="000000000000"/>
            </w:pPr>
            <w:r>
              <w:t>6.07**</w:t>
            </w:r>
          </w:p>
        </w:tc>
        <w:tc>
          <w:tcPr>
            <w:tcW w:w="1200" w:type="dxa"/>
          </w:tcPr>
          <w:p w:rsidR="003E1663" w:rsidRDefault="003E1663" w:rsidP="00EB30DF">
            <w:pPr>
              <w:jc w:val="center"/>
              <w:cnfStyle w:val="000000000000"/>
            </w:pPr>
            <w:r>
              <w:t>4.0, 7.8</w:t>
            </w:r>
          </w:p>
          <w:p w:rsidR="003E1663" w:rsidRPr="00DE774A" w:rsidRDefault="003E1663" w:rsidP="00EB30DF">
            <w:pPr>
              <w:jc w:val="center"/>
              <w:cnfStyle w:val="000000000000"/>
              <w:rPr>
                <w:i/>
              </w:rPr>
            </w:pPr>
            <w:r w:rsidRPr="00DE774A">
              <w:rPr>
                <w:i/>
              </w:rPr>
              <w:t>(1.28)</w:t>
            </w:r>
          </w:p>
        </w:tc>
      </w:tr>
      <w:tr w:rsidR="003E1663" w:rsidTr="00EB30DF">
        <w:tc>
          <w:tcPr>
            <w:cnfStyle w:val="001000000000"/>
            <w:tcW w:w="1997" w:type="dxa"/>
          </w:tcPr>
          <w:p w:rsidR="003E1663" w:rsidRPr="009B4AC3" w:rsidRDefault="003E1663" w:rsidP="00EB30DF">
            <w:r w:rsidRPr="009B4AC3">
              <w:t>Modified ASGS</w:t>
            </w:r>
          </w:p>
          <w:p w:rsidR="003E1663" w:rsidRPr="009B4AC3" w:rsidRDefault="003E1663" w:rsidP="00EB30DF">
            <w:r w:rsidRPr="009B4AC3">
              <w:t>(Paranormal Scale)</w:t>
            </w:r>
          </w:p>
        </w:tc>
        <w:tc>
          <w:tcPr>
            <w:tcW w:w="1870" w:type="dxa"/>
          </w:tcPr>
          <w:p w:rsidR="003E1663" w:rsidRDefault="003E1663" w:rsidP="00EB30DF">
            <w:pPr>
              <w:jc w:val="center"/>
              <w:cnfStyle w:val="000000000000"/>
            </w:pPr>
            <w:r>
              <w:t>5.64</w:t>
            </w:r>
          </w:p>
          <w:p w:rsidR="003E1663" w:rsidRDefault="003E1663" w:rsidP="00EB30DF">
            <w:pPr>
              <w:jc w:val="center"/>
              <w:cnfStyle w:val="000000000000"/>
            </w:pPr>
            <w:r>
              <w:t>(3.04)</w:t>
            </w:r>
          </w:p>
        </w:tc>
        <w:tc>
          <w:tcPr>
            <w:tcW w:w="2137" w:type="dxa"/>
          </w:tcPr>
          <w:p w:rsidR="003E1663" w:rsidRDefault="003E1663" w:rsidP="00EB30DF">
            <w:pPr>
              <w:jc w:val="center"/>
              <w:cnfStyle w:val="000000000000"/>
            </w:pPr>
            <w:r>
              <w:t>3.46</w:t>
            </w:r>
          </w:p>
          <w:p w:rsidR="003E1663" w:rsidRDefault="003E1663" w:rsidP="00EB30DF">
            <w:pPr>
              <w:jc w:val="center"/>
              <w:cnfStyle w:val="000000000000"/>
            </w:pPr>
            <w:r>
              <w:t>(2.80)</w:t>
            </w:r>
          </w:p>
        </w:tc>
        <w:tc>
          <w:tcPr>
            <w:tcW w:w="1118" w:type="dxa"/>
          </w:tcPr>
          <w:p w:rsidR="003E1663" w:rsidRDefault="003E1663" w:rsidP="00EB30DF">
            <w:pPr>
              <w:jc w:val="center"/>
              <w:cnfStyle w:val="000000000000"/>
            </w:pPr>
            <w:r>
              <w:t>3.50**</w:t>
            </w:r>
          </w:p>
        </w:tc>
        <w:tc>
          <w:tcPr>
            <w:tcW w:w="1200" w:type="dxa"/>
          </w:tcPr>
          <w:p w:rsidR="003E1663" w:rsidRDefault="003E1663" w:rsidP="00EB30DF">
            <w:pPr>
              <w:jc w:val="center"/>
              <w:cnfStyle w:val="000000000000"/>
            </w:pPr>
            <w:r>
              <w:t>1.0, 3.4</w:t>
            </w:r>
          </w:p>
          <w:p w:rsidR="003E1663" w:rsidRPr="00DE774A" w:rsidRDefault="003E1663" w:rsidP="00EB30DF">
            <w:pPr>
              <w:jc w:val="center"/>
              <w:cnfStyle w:val="000000000000"/>
              <w:rPr>
                <w:i/>
              </w:rPr>
            </w:pPr>
            <w:r w:rsidRPr="00DE774A">
              <w:rPr>
                <w:i/>
              </w:rPr>
              <w:t>(0.75)</w:t>
            </w:r>
          </w:p>
        </w:tc>
      </w:tr>
    </w:tbl>
    <w:p w:rsidR="003E1663" w:rsidRDefault="003E1663" w:rsidP="003E1663">
      <w:pPr>
        <w:spacing w:line="480" w:lineRule="auto"/>
      </w:pPr>
    </w:p>
    <w:p w:rsidR="003E1663" w:rsidRPr="003E1663" w:rsidRDefault="003E1663" w:rsidP="00E775A6">
      <w:pPr>
        <w:spacing w:line="480" w:lineRule="auto"/>
        <w:rPr>
          <w:u w:val="single"/>
        </w:rPr>
      </w:pPr>
      <w:r w:rsidRPr="003E1663">
        <w:rPr>
          <w:i/>
          <w:u w:val="single"/>
        </w:rPr>
        <w:t>Table 1.</w:t>
      </w:r>
      <w:r w:rsidRPr="00EF6C96">
        <w:rPr>
          <w:u w:val="single"/>
        </w:rPr>
        <w:t xml:space="preserve"> </w:t>
      </w:r>
      <w:proofErr w:type="gramStart"/>
      <w:r w:rsidRPr="00EF6C96">
        <w:rPr>
          <w:u w:val="single"/>
        </w:rPr>
        <w:t xml:space="preserve">Characteristics of the </w:t>
      </w:r>
      <w:proofErr w:type="spellStart"/>
      <w:r w:rsidRPr="00EF6C96">
        <w:rPr>
          <w:u w:val="single"/>
        </w:rPr>
        <w:t>Inattentionally</w:t>
      </w:r>
      <w:proofErr w:type="spellEnd"/>
      <w:r w:rsidRPr="00EF6C96">
        <w:rPr>
          <w:u w:val="single"/>
        </w:rPr>
        <w:t xml:space="preserve"> Blind and Non-</w:t>
      </w:r>
      <w:proofErr w:type="spellStart"/>
      <w:r w:rsidRPr="00EF6C96">
        <w:rPr>
          <w:u w:val="single"/>
        </w:rPr>
        <w:t>Inattentionally</w:t>
      </w:r>
      <w:proofErr w:type="spellEnd"/>
      <w:r w:rsidRPr="00EF6C96">
        <w:rPr>
          <w:u w:val="single"/>
        </w:rPr>
        <w:t xml:space="preserve"> Blind Groups for Study 1</w:t>
      </w:r>
      <w:r>
        <w:rPr>
          <w:u w:val="single"/>
        </w:rPr>
        <w:t xml:space="preserve"> (SDs in parentheses)</w:t>
      </w:r>
      <w:r w:rsidRPr="00EF6C96">
        <w:rPr>
          <w:u w:val="single"/>
        </w:rPr>
        <w:t>.</w:t>
      </w:r>
      <w:proofErr w:type="gramEnd"/>
      <w:r>
        <w:rPr>
          <w:u w:val="single"/>
        </w:rPr>
        <w:t xml:space="preserve"> ** </w:t>
      </w:r>
      <w:r>
        <w:rPr>
          <w:i/>
          <w:u w:val="single"/>
        </w:rPr>
        <w:t>p=&lt;.001</w:t>
      </w:r>
    </w:p>
    <w:p w:rsidR="003E1663" w:rsidRDefault="000715F7" w:rsidP="00E775A6">
      <w:pPr>
        <w:spacing w:line="480" w:lineRule="auto"/>
      </w:pPr>
      <w:r w:rsidRPr="00E775A6">
        <w:t>Th</w:t>
      </w:r>
      <w:r>
        <w:t xml:space="preserve">ese </w:t>
      </w:r>
      <w:r w:rsidR="00A75139">
        <w:t xml:space="preserve">results </w:t>
      </w:r>
      <w:r>
        <w:t>support</w:t>
      </w:r>
      <w:r w:rsidR="007739B8" w:rsidRPr="00E775A6">
        <w:t xml:space="preserve"> both of our hypotheses. A logistic regres</w:t>
      </w:r>
      <w:r w:rsidR="003E24E7">
        <w:t>sion analysis was performed</w:t>
      </w:r>
      <w:r w:rsidR="007739B8" w:rsidRPr="00E775A6">
        <w:t xml:space="preserve"> with IB </w:t>
      </w:r>
      <w:r w:rsidR="009875BA">
        <w:t xml:space="preserve">(IB coded as 1 and NIB as 0) </w:t>
      </w:r>
      <w:r w:rsidR="007739B8" w:rsidRPr="00E775A6">
        <w:t>as the DV and TAS</w:t>
      </w:r>
      <w:r w:rsidR="008A287E">
        <w:t>,</w:t>
      </w:r>
      <w:r w:rsidR="007739B8" w:rsidRPr="00E775A6">
        <w:t xml:space="preserve"> </w:t>
      </w:r>
      <w:r w:rsidR="008A287E">
        <w:t>modified-</w:t>
      </w:r>
      <w:r w:rsidR="00A75139">
        <w:t xml:space="preserve">ASGS </w:t>
      </w:r>
      <w:r w:rsidR="007739B8" w:rsidRPr="00E775A6">
        <w:t>score</w:t>
      </w:r>
      <w:r w:rsidR="00A75139">
        <w:t>s</w:t>
      </w:r>
      <w:r w:rsidR="008A287E">
        <w:t>, age and gender of participant</w:t>
      </w:r>
      <w:r w:rsidR="009875BA">
        <w:t xml:space="preserve"> (female coded as 1 and male as 0)</w:t>
      </w:r>
      <w:r w:rsidR="007739B8" w:rsidRPr="00E775A6">
        <w:t xml:space="preserve"> as </w:t>
      </w:r>
      <w:r w:rsidR="001A693F">
        <w:t>IVs</w:t>
      </w:r>
      <w:r w:rsidR="003433DA">
        <w:t xml:space="preserve"> (see Table 2)</w:t>
      </w:r>
      <w:r w:rsidR="007739B8" w:rsidRPr="00E775A6">
        <w:t xml:space="preserve">. </w:t>
      </w:r>
    </w:p>
    <w:p w:rsidR="003E1663" w:rsidRDefault="003E1663" w:rsidP="003E1663">
      <w:pPr>
        <w:spacing w:line="480" w:lineRule="auto"/>
        <w:rPr>
          <w:u w:val="single"/>
        </w:rPr>
      </w:pPr>
    </w:p>
    <w:p w:rsidR="003E1663" w:rsidRDefault="003E1663" w:rsidP="003E1663">
      <w:pPr>
        <w:spacing w:line="480" w:lineRule="auto"/>
        <w:rPr>
          <w:u w:val="single"/>
        </w:rPr>
      </w:pPr>
    </w:p>
    <w:p w:rsidR="003E1663" w:rsidRDefault="003E1663" w:rsidP="003E1663">
      <w:pPr>
        <w:spacing w:line="480" w:lineRule="auto"/>
        <w:rPr>
          <w:u w:val="single"/>
        </w:rPr>
      </w:pPr>
    </w:p>
    <w:p w:rsidR="003E1663" w:rsidRDefault="003E1663" w:rsidP="003E1663">
      <w:pPr>
        <w:spacing w:line="480" w:lineRule="auto"/>
        <w:rPr>
          <w:u w:val="single"/>
        </w:rPr>
      </w:pPr>
    </w:p>
    <w:p w:rsidR="003E1663" w:rsidRDefault="003E1663" w:rsidP="003E1663">
      <w:pPr>
        <w:spacing w:line="480" w:lineRule="auto"/>
        <w:rPr>
          <w:u w:val="single"/>
        </w:rPr>
      </w:pPr>
    </w:p>
    <w:p w:rsidR="003E1663" w:rsidRDefault="003E1663" w:rsidP="003E1663">
      <w:pPr>
        <w:spacing w:line="480" w:lineRule="auto"/>
        <w:rPr>
          <w:u w:val="single"/>
        </w:rPr>
      </w:pPr>
    </w:p>
    <w:tbl>
      <w:tblPr>
        <w:tblStyle w:val="LightShading"/>
        <w:tblW w:w="0" w:type="auto"/>
        <w:tblLayout w:type="fixed"/>
        <w:tblLook w:val="06A0"/>
      </w:tblPr>
      <w:tblGrid>
        <w:gridCol w:w="1880"/>
        <w:gridCol w:w="1489"/>
        <w:gridCol w:w="850"/>
        <w:gridCol w:w="851"/>
        <w:gridCol w:w="1559"/>
        <w:gridCol w:w="966"/>
        <w:gridCol w:w="921"/>
      </w:tblGrid>
      <w:tr w:rsidR="003E1663" w:rsidTr="00EB30DF">
        <w:trPr>
          <w:cnfStyle w:val="100000000000"/>
        </w:trPr>
        <w:tc>
          <w:tcPr>
            <w:cnfStyle w:val="001000000000"/>
            <w:tcW w:w="1880" w:type="dxa"/>
          </w:tcPr>
          <w:p w:rsidR="003E1663" w:rsidRDefault="003E1663" w:rsidP="00EB30DF">
            <w:r>
              <w:t>Predictor</w:t>
            </w:r>
          </w:p>
        </w:tc>
        <w:tc>
          <w:tcPr>
            <w:tcW w:w="1489" w:type="dxa"/>
          </w:tcPr>
          <w:p w:rsidR="003E1663" w:rsidRPr="00E36767" w:rsidRDefault="003E1663" w:rsidP="00EB30DF">
            <w:pPr>
              <w:cnfStyle w:val="100000000000"/>
              <w:rPr>
                <w:i/>
              </w:rPr>
            </w:pPr>
            <w:r w:rsidRPr="00E36767">
              <w:rPr>
                <w:i/>
              </w:rPr>
              <w:sym w:font="Symbol" w:char="F062"/>
            </w:r>
            <w:r>
              <w:rPr>
                <w:i/>
              </w:rPr>
              <w:t xml:space="preserve"> (Se)</w:t>
            </w:r>
          </w:p>
        </w:tc>
        <w:tc>
          <w:tcPr>
            <w:tcW w:w="850" w:type="dxa"/>
          </w:tcPr>
          <w:p w:rsidR="003E1663" w:rsidRPr="00E36767" w:rsidRDefault="003E1663" w:rsidP="00EB30DF">
            <w:pPr>
              <w:cnfStyle w:val="100000000000"/>
              <w:rPr>
                <w:i/>
                <w:vertAlign w:val="superscript"/>
              </w:rPr>
            </w:pPr>
            <w:r>
              <w:t xml:space="preserve">Wald  </w:t>
            </w:r>
            <w:r w:rsidRPr="00E36767">
              <w:rPr>
                <w:i/>
              </w:rPr>
              <w:sym w:font="Symbol" w:char="F063"/>
            </w:r>
            <w:r w:rsidRPr="00E36767">
              <w:rPr>
                <w:i/>
                <w:vertAlign w:val="superscript"/>
              </w:rPr>
              <w:t>2</w:t>
            </w:r>
          </w:p>
          <w:p w:rsidR="003E1663" w:rsidRDefault="003E1663" w:rsidP="00EB30DF">
            <w:pPr>
              <w:cnfStyle w:val="100000000000"/>
            </w:pPr>
          </w:p>
        </w:tc>
        <w:tc>
          <w:tcPr>
            <w:tcW w:w="851" w:type="dxa"/>
          </w:tcPr>
          <w:p w:rsidR="003E1663" w:rsidRPr="00E36767" w:rsidRDefault="003E1663" w:rsidP="00EB30DF">
            <w:pPr>
              <w:cnfStyle w:val="100000000000"/>
              <w:rPr>
                <w:i/>
              </w:rPr>
            </w:pPr>
            <w:r>
              <w:rPr>
                <w:i/>
              </w:rPr>
              <w:t>p</w:t>
            </w:r>
          </w:p>
        </w:tc>
        <w:tc>
          <w:tcPr>
            <w:tcW w:w="1559" w:type="dxa"/>
          </w:tcPr>
          <w:p w:rsidR="003E1663" w:rsidRDefault="003E1663" w:rsidP="00EB30DF">
            <w:pPr>
              <w:cnfStyle w:val="100000000000"/>
            </w:pPr>
            <w:r>
              <w:t>Odds Ratio</w:t>
            </w:r>
          </w:p>
          <w:p w:rsidR="003E1663" w:rsidRDefault="003E1663" w:rsidP="00EB30DF">
            <w:pPr>
              <w:cnfStyle w:val="100000000000"/>
            </w:pPr>
            <w:r>
              <w:t>Exp(B)</w:t>
            </w:r>
          </w:p>
        </w:tc>
        <w:tc>
          <w:tcPr>
            <w:tcW w:w="1887" w:type="dxa"/>
            <w:gridSpan w:val="2"/>
          </w:tcPr>
          <w:p w:rsidR="003E1663" w:rsidRDefault="003E1663" w:rsidP="00EB30DF">
            <w:pPr>
              <w:cnfStyle w:val="100000000000"/>
            </w:pPr>
            <w:r>
              <w:t>95% C.I. for Odds Ratio</w:t>
            </w:r>
          </w:p>
        </w:tc>
      </w:tr>
      <w:tr w:rsidR="003E1663" w:rsidTr="00EB30DF">
        <w:tc>
          <w:tcPr>
            <w:cnfStyle w:val="001000000000"/>
            <w:tcW w:w="1880" w:type="dxa"/>
          </w:tcPr>
          <w:p w:rsidR="003E1663" w:rsidRDefault="003E1663" w:rsidP="00EB30DF"/>
        </w:tc>
        <w:tc>
          <w:tcPr>
            <w:tcW w:w="1489" w:type="dxa"/>
          </w:tcPr>
          <w:p w:rsidR="003E1663" w:rsidRPr="00E36767" w:rsidRDefault="003E1663" w:rsidP="00EB30DF">
            <w:pPr>
              <w:cnfStyle w:val="000000000000"/>
              <w:rPr>
                <w:i/>
              </w:rPr>
            </w:pPr>
          </w:p>
        </w:tc>
        <w:tc>
          <w:tcPr>
            <w:tcW w:w="850" w:type="dxa"/>
          </w:tcPr>
          <w:p w:rsidR="003E1663" w:rsidRDefault="003E1663" w:rsidP="00EB30DF">
            <w:pPr>
              <w:cnfStyle w:val="000000000000"/>
            </w:pPr>
          </w:p>
        </w:tc>
        <w:tc>
          <w:tcPr>
            <w:tcW w:w="851" w:type="dxa"/>
          </w:tcPr>
          <w:p w:rsidR="003E1663" w:rsidRDefault="003E1663" w:rsidP="00EB30DF">
            <w:pPr>
              <w:cnfStyle w:val="000000000000"/>
              <w:rPr>
                <w:i/>
              </w:rPr>
            </w:pPr>
          </w:p>
        </w:tc>
        <w:tc>
          <w:tcPr>
            <w:tcW w:w="1559" w:type="dxa"/>
          </w:tcPr>
          <w:p w:rsidR="003E1663" w:rsidRDefault="003E1663" w:rsidP="00EB30DF">
            <w:pPr>
              <w:cnfStyle w:val="000000000000"/>
            </w:pPr>
          </w:p>
        </w:tc>
        <w:tc>
          <w:tcPr>
            <w:tcW w:w="966" w:type="dxa"/>
          </w:tcPr>
          <w:p w:rsidR="003E1663" w:rsidRPr="00364848" w:rsidRDefault="003E1663" w:rsidP="00EB30DF">
            <w:pPr>
              <w:cnfStyle w:val="000000000000"/>
              <w:rPr>
                <w:b/>
              </w:rPr>
            </w:pPr>
            <w:r w:rsidRPr="00364848">
              <w:rPr>
                <w:b/>
              </w:rPr>
              <w:t>Lower</w:t>
            </w:r>
          </w:p>
        </w:tc>
        <w:tc>
          <w:tcPr>
            <w:tcW w:w="921" w:type="dxa"/>
          </w:tcPr>
          <w:p w:rsidR="003E1663" w:rsidRPr="00364848" w:rsidRDefault="003E1663" w:rsidP="00EB30DF">
            <w:pPr>
              <w:cnfStyle w:val="000000000000"/>
              <w:rPr>
                <w:b/>
              </w:rPr>
            </w:pPr>
            <w:r w:rsidRPr="00364848">
              <w:rPr>
                <w:b/>
              </w:rPr>
              <w:t>Upper</w:t>
            </w:r>
          </w:p>
        </w:tc>
      </w:tr>
      <w:tr w:rsidR="003E1663" w:rsidTr="00EB30DF">
        <w:tc>
          <w:tcPr>
            <w:cnfStyle w:val="001000000000"/>
            <w:tcW w:w="1880" w:type="dxa"/>
          </w:tcPr>
          <w:p w:rsidR="003E1663" w:rsidRDefault="003E1663" w:rsidP="00EB30DF">
            <w:r>
              <w:t>TAS (Absorption)</w:t>
            </w:r>
          </w:p>
          <w:p w:rsidR="003E1663" w:rsidRDefault="003E1663" w:rsidP="00EB30DF"/>
        </w:tc>
        <w:tc>
          <w:tcPr>
            <w:tcW w:w="1489" w:type="dxa"/>
          </w:tcPr>
          <w:p w:rsidR="003E1663" w:rsidRDefault="003E1663" w:rsidP="00EB30DF">
            <w:pPr>
              <w:cnfStyle w:val="000000000000"/>
            </w:pPr>
            <w:r>
              <w:t xml:space="preserve"> 0.24 (0.06)</w:t>
            </w:r>
          </w:p>
        </w:tc>
        <w:tc>
          <w:tcPr>
            <w:tcW w:w="850" w:type="dxa"/>
          </w:tcPr>
          <w:p w:rsidR="003E1663" w:rsidRDefault="003E1663" w:rsidP="00EB30DF">
            <w:pPr>
              <w:cnfStyle w:val="000000000000"/>
            </w:pPr>
            <w:r>
              <w:t>15.51</w:t>
            </w:r>
          </w:p>
        </w:tc>
        <w:tc>
          <w:tcPr>
            <w:tcW w:w="851" w:type="dxa"/>
          </w:tcPr>
          <w:p w:rsidR="003E1663" w:rsidRDefault="003E1663" w:rsidP="00EB30DF">
            <w:pPr>
              <w:cnfStyle w:val="000000000000"/>
            </w:pPr>
            <w:r>
              <w:t>&lt;.001</w:t>
            </w:r>
          </w:p>
        </w:tc>
        <w:tc>
          <w:tcPr>
            <w:tcW w:w="1559" w:type="dxa"/>
          </w:tcPr>
          <w:p w:rsidR="003E1663" w:rsidRDefault="003E1663" w:rsidP="00EB30DF">
            <w:pPr>
              <w:cnfStyle w:val="000000000000"/>
            </w:pPr>
            <w:r>
              <w:t>1.27</w:t>
            </w:r>
          </w:p>
        </w:tc>
        <w:tc>
          <w:tcPr>
            <w:tcW w:w="966" w:type="dxa"/>
          </w:tcPr>
          <w:p w:rsidR="003E1663" w:rsidRDefault="003E1663" w:rsidP="00EB30DF">
            <w:pPr>
              <w:cnfStyle w:val="000000000000"/>
            </w:pPr>
            <w:r>
              <w:t>1.13</w:t>
            </w:r>
          </w:p>
        </w:tc>
        <w:tc>
          <w:tcPr>
            <w:tcW w:w="921" w:type="dxa"/>
          </w:tcPr>
          <w:p w:rsidR="003E1663" w:rsidRDefault="003E1663" w:rsidP="00EB30DF">
            <w:pPr>
              <w:cnfStyle w:val="000000000000"/>
            </w:pPr>
            <w:r>
              <w:t>1.43</w:t>
            </w:r>
          </w:p>
        </w:tc>
      </w:tr>
      <w:tr w:rsidR="003E1663" w:rsidTr="00EB30DF">
        <w:tc>
          <w:tcPr>
            <w:cnfStyle w:val="001000000000"/>
            <w:tcW w:w="1880" w:type="dxa"/>
          </w:tcPr>
          <w:p w:rsidR="003E1663" w:rsidRDefault="003E1663" w:rsidP="00EB30DF">
            <w:r>
              <w:t xml:space="preserve">Modified-ASGS (Paranormal </w:t>
            </w:r>
          </w:p>
          <w:p w:rsidR="003E1663" w:rsidRDefault="003E1663" w:rsidP="00EB30DF">
            <w:r>
              <w:t>Belief)</w:t>
            </w:r>
          </w:p>
          <w:p w:rsidR="003E1663" w:rsidRDefault="003E1663" w:rsidP="00EB30DF"/>
        </w:tc>
        <w:tc>
          <w:tcPr>
            <w:tcW w:w="1489" w:type="dxa"/>
          </w:tcPr>
          <w:p w:rsidR="003E1663" w:rsidRDefault="003E1663" w:rsidP="00EB30DF">
            <w:pPr>
              <w:cnfStyle w:val="000000000000"/>
            </w:pPr>
            <w:r>
              <w:t xml:space="preserve"> 0.12 (0.09)</w:t>
            </w:r>
          </w:p>
        </w:tc>
        <w:tc>
          <w:tcPr>
            <w:tcW w:w="850" w:type="dxa"/>
          </w:tcPr>
          <w:p w:rsidR="003E1663" w:rsidRDefault="003E1663" w:rsidP="00EB30DF">
            <w:pPr>
              <w:cnfStyle w:val="000000000000"/>
            </w:pPr>
            <w:r>
              <w:t xml:space="preserve"> 1.78</w:t>
            </w:r>
          </w:p>
        </w:tc>
        <w:tc>
          <w:tcPr>
            <w:tcW w:w="851" w:type="dxa"/>
          </w:tcPr>
          <w:p w:rsidR="003E1663" w:rsidRDefault="003E1663" w:rsidP="00EB30DF">
            <w:pPr>
              <w:cnfStyle w:val="000000000000"/>
            </w:pPr>
            <w:r>
              <w:t>ns</w:t>
            </w:r>
          </w:p>
        </w:tc>
        <w:tc>
          <w:tcPr>
            <w:tcW w:w="1559" w:type="dxa"/>
          </w:tcPr>
          <w:p w:rsidR="003E1663" w:rsidRDefault="003E1663" w:rsidP="00EB30DF">
            <w:pPr>
              <w:cnfStyle w:val="000000000000"/>
            </w:pPr>
            <w:r>
              <w:t>1.13</w:t>
            </w:r>
          </w:p>
        </w:tc>
        <w:tc>
          <w:tcPr>
            <w:tcW w:w="966" w:type="dxa"/>
          </w:tcPr>
          <w:p w:rsidR="003E1663" w:rsidRDefault="003E1663" w:rsidP="00EB30DF">
            <w:pPr>
              <w:cnfStyle w:val="000000000000"/>
            </w:pPr>
            <w:r>
              <w:t>0.94</w:t>
            </w:r>
          </w:p>
        </w:tc>
        <w:tc>
          <w:tcPr>
            <w:tcW w:w="921" w:type="dxa"/>
          </w:tcPr>
          <w:p w:rsidR="003E1663" w:rsidRDefault="003E1663" w:rsidP="00EB30DF">
            <w:pPr>
              <w:cnfStyle w:val="000000000000"/>
            </w:pPr>
            <w:r>
              <w:t>1.35</w:t>
            </w:r>
          </w:p>
          <w:p w:rsidR="003E1663" w:rsidRDefault="003E1663" w:rsidP="00EB30DF">
            <w:pPr>
              <w:cnfStyle w:val="000000000000"/>
            </w:pPr>
          </w:p>
        </w:tc>
      </w:tr>
      <w:tr w:rsidR="003E1663" w:rsidTr="00EB30DF">
        <w:tc>
          <w:tcPr>
            <w:cnfStyle w:val="001000000000"/>
            <w:tcW w:w="1880" w:type="dxa"/>
          </w:tcPr>
          <w:p w:rsidR="003E1663" w:rsidRDefault="003E1663" w:rsidP="00EB30DF">
            <w:r>
              <w:t>Age</w:t>
            </w:r>
          </w:p>
          <w:p w:rsidR="003E1663" w:rsidRDefault="003E1663" w:rsidP="00EB30DF"/>
        </w:tc>
        <w:tc>
          <w:tcPr>
            <w:tcW w:w="1489" w:type="dxa"/>
          </w:tcPr>
          <w:p w:rsidR="003E1663" w:rsidRDefault="003E1663" w:rsidP="00EB30DF">
            <w:pPr>
              <w:cnfStyle w:val="000000000000"/>
            </w:pPr>
            <w:r>
              <w:t xml:space="preserve"> 0.03 (0.04)</w:t>
            </w:r>
          </w:p>
        </w:tc>
        <w:tc>
          <w:tcPr>
            <w:tcW w:w="850" w:type="dxa"/>
          </w:tcPr>
          <w:p w:rsidR="003E1663" w:rsidRDefault="003E1663" w:rsidP="00EB30DF">
            <w:pPr>
              <w:cnfStyle w:val="000000000000"/>
            </w:pPr>
            <w:r>
              <w:t xml:space="preserve"> 0.52</w:t>
            </w:r>
          </w:p>
        </w:tc>
        <w:tc>
          <w:tcPr>
            <w:tcW w:w="851" w:type="dxa"/>
          </w:tcPr>
          <w:p w:rsidR="003E1663" w:rsidRDefault="003E1663" w:rsidP="00EB30DF">
            <w:pPr>
              <w:cnfStyle w:val="000000000000"/>
            </w:pPr>
            <w:r>
              <w:t>ns</w:t>
            </w:r>
          </w:p>
        </w:tc>
        <w:tc>
          <w:tcPr>
            <w:tcW w:w="1559" w:type="dxa"/>
          </w:tcPr>
          <w:p w:rsidR="003E1663" w:rsidRDefault="003E1663" w:rsidP="00EB30DF">
            <w:pPr>
              <w:cnfStyle w:val="000000000000"/>
            </w:pPr>
            <w:r>
              <w:t>1.03</w:t>
            </w:r>
          </w:p>
        </w:tc>
        <w:tc>
          <w:tcPr>
            <w:tcW w:w="966" w:type="dxa"/>
          </w:tcPr>
          <w:p w:rsidR="003E1663" w:rsidRDefault="003E1663" w:rsidP="00EB30DF">
            <w:pPr>
              <w:cnfStyle w:val="000000000000"/>
            </w:pPr>
            <w:r>
              <w:t>0.95</w:t>
            </w:r>
          </w:p>
        </w:tc>
        <w:tc>
          <w:tcPr>
            <w:tcW w:w="921" w:type="dxa"/>
          </w:tcPr>
          <w:p w:rsidR="003E1663" w:rsidRDefault="003E1663" w:rsidP="00EB30DF">
            <w:pPr>
              <w:cnfStyle w:val="000000000000"/>
            </w:pPr>
            <w:r>
              <w:t>1.12</w:t>
            </w:r>
          </w:p>
        </w:tc>
      </w:tr>
      <w:tr w:rsidR="003E1663" w:rsidTr="00EB30DF">
        <w:tc>
          <w:tcPr>
            <w:cnfStyle w:val="001000000000"/>
            <w:tcW w:w="1880" w:type="dxa"/>
          </w:tcPr>
          <w:p w:rsidR="003E1663" w:rsidRDefault="003E1663" w:rsidP="00EB30DF">
            <w:r>
              <w:t xml:space="preserve">Gender </w:t>
            </w:r>
          </w:p>
          <w:p w:rsidR="003E1663" w:rsidRDefault="003E1663" w:rsidP="00EB30DF"/>
        </w:tc>
        <w:tc>
          <w:tcPr>
            <w:tcW w:w="1489" w:type="dxa"/>
          </w:tcPr>
          <w:p w:rsidR="003E1663" w:rsidRDefault="003E1663" w:rsidP="00EB30DF">
            <w:pPr>
              <w:cnfStyle w:val="000000000000"/>
            </w:pPr>
            <w:r>
              <w:t>-0.08 (0.70)</w:t>
            </w:r>
          </w:p>
        </w:tc>
        <w:tc>
          <w:tcPr>
            <w:tcW w:w="850" w:type="dxa"/>
          </w:tcPr>
          <w:p w:rsidR="003E1663" w:rsidRDefault="003E1663" w:rsidP="00EB30DF">
            <w:pPr>
              <w:cnfStyle w:val="000000000000"/>
            </w:pPr>
            <w:r>
              <w:t xml:space="preserve"> 0.01</w:t>
            </w:r>
          </w:p>
        </w:tc>
        <w:tc>
          <w:tcPr>
            <w:tcW w:w="851" w:type="dxa"/>
          </w:tcPr>
          <w:p w:rsidR="003E1663" w:rsidRDefault="003E1663" w:rsidP="00EB30DF">
            <w:pPr>
              <w:cnfStyle w:val="000000000000"/>
            </w:pPr>
            <w:r>
              <w:t>ns</w:t>
            </w:r>
          </w:p>
        </w:tc>
        <w:tc>
          <w:tcPr>
            <w:tcW w:w="1559" w:type="dxa"/>
          </w:tcPr>
          <w:p w:rsidR="003E1663" w:rsidRDefault="003E1663" w:rsidP="00EB30DF">
            <w:pPr>
              <w:cnfStyle w:val="000000000000"/>
            </w:pPr>
            <w:r>
              <w:t>0.93</w:t>
            </w:r>
          </w:p>
        </w:tc>
        <w:tc>
          <w:tcPr>
            <w:tcW w:w="966" w:type="dxa"/>
          </w:tcPr>
          <w:p w:rsidR="003E1663" w:rsidRDefault="003E1663" w:rsidP="00EB30DF">
            <w:pPr>
              <w:cnfStyle w:val="000000000000"/>
            </w:pPr>
            <w:r>
              <w:t>0.24</w:t>
            </w:r>
          </w:p>
        </w:tc>
        <w:tc>
          <w:tcPr>
            <w:tcW w:w="921" w:type="dxa"/>
          </w:tcPr>
          <w:p w:rsidR="003E1663" w:rsidRDefault="003E1663" w:rsidP="00EB30DF">
            <w:pPr>
              <w:cnfStyle w:val="000000000000"/>
            </w:pPr>
            <w:r>
              <w:t>3.64</w:t>
            </w:r>
          </w:p>
        </w:tc>
      </w:tr>
    </w:tbl>
    <w:p w:rsidR="003E1663" w:rsidRDefault="003E1663" w:rsidP="003E1663">
      <w:pPr>
        <w:rPr>
          <w:u w:val="single"/>
          <w:vertAlign w:val="superscript"/>
        </w:rPr>
      </w:pPr>
    </w:p>
    <w:p w:rsidR="003E1663" w:rsidRPr="00364848" w:rsidRDefault="003E1663" w:rsidP="003E1663">
      <w:pPr>
        <w:spacing w:line="480" w:lineRule="auto"/>
        <w:rPr>
          <w:u w:val="single"/>
          <w:vertAlign w:val="superscript"/>
        </w:rPr>
      </w:pPr>
    </w:p>
    <w:p w:rsidR="003E1663" w:rsidRPr="00364848" w:rsidRDefault="003E1663" w:rsidP="003E1663">
      <w:pPr>
        <w:spacing w:line="480" w:lineRule="auto"/>
        <w:rPr>
          <w:u w:val="single"/>
          <w:vertAlign w:val="superscript"/>
        </w:rPr>
      </w:pPr>
      <w:r w:rsidRPr="003E1663">
        <w:rPr>
          <w:i/>
          <w:u w:val="single"/>
        </w:rPr>
        <w:t>Table 2</w:t>
      </w:r>
      <w:r w:rsidRPr="00364848">
        <w:rPr>
          <w:u w:val="single"/>
        </w:rPr>
        <w:t xml:space="preserve">. Logistic Regression Predicting </w:t>
      </w:r>
      <w:proofErr w:type="spellStart"/>
      <w:r w:rsidRPr="00364848">
        <w:rPr>
          <w:u w:val="single"/>
        </w:rPr>
        <w:t>Inattentional</w:t>
      </w:r>
      <w:proofErr w:type="spellEnd"/>
      <w:r w:rsidRPr="00364848">
        <w:rPr>
          <w:u w:val="single"/>
        </w:rPr>
        <w:t xml:space="preserve"> Blindness from Absorption (TAS scale), paranormal Belief</w:t>
      </w:r>
      <w:r>
        <w:rPr>
          <w:u w:val="single"/>
        </w:rPr>
        <w:t xml:space="preserve"> (modified-ASGS)</w:t>
      </w:r>
      <w:r w:rsidRPr="00364848">
        <w:rPr>
          <w:u w:val="single"/>
        </w:rPr>
        <w:t>, Age and Gender.</w:t>
      </w:r>
    </w:p>
    <w:p w:rsidR="003E1663" w:rsidRDefault="003E1663" w:rsidP="00E775A6">
      <w:pPr>
        <w:spacing w:line="480" w:lineRule="auto"/>
      </w:pPr>
    </w:p>
    <w:p w:rsidR="00C12CEB" w:rsidRPr="00657072" w:rsidRDefault="00ED6FC1" w:rsidP="00E775A6">
      <w:pPr>
        <w:spacing w:line="480" w:lineRule="auto"/>
      </w:pPr>
      <w:r>
        <w:t>The overall model was significant (</w:t>
      </w:r>
      <w:r w:rsidR="003E24E7" w:rsidRPr="00B30F63">
        <w:t xml:space="preserve">Model = </w:t>
      </w:r>
      <w:r w:rsidR="003E24E7" w:rsidRPr="00B30F63">
        <w:rPr>
          <w:szCs w:val="18"/>
        </w:rPr>
        <w:sym w:font="Symbol" w:char="F063"/>
      </w:r>
      <w:r w:rsidR="003E24E7" w:rsidRPr="00B30F63">
        <w:rPr>
          <w:vertAlign w:val="superscript"/>
        </w:rPr>
        <w:t>2</w:t>
      </w:r>
      <w:r w:rsidR="003E24E7" w:rsidRPr="00B30F63">
        <w:t>(</w:t>
      </w:r>
      <w:r w:rsidR="002B3ED1">
        <w:t>4</w:t>
      </w:r>
      <w:r w:rsidR="003E24E7" w:rsidRPr="00B30F63">
        <w:t xml:space="preserve">) </w:t>
      </w:r>
      <w:r w:rsidR="003E24E7">
        <w:t xml:space="preserve">= </w:t>
      </w:r>
      <w:r w:rsidR="00352F38">
        <w:t>34</w:t>
      </w:r>
      <w:r w:rsidR="003E24E7">
        <w:t>.</w:t>
      </w:r>
      <w:r w:rsidR="008A287E">
        <w:t>1</w:t>
      </w:r>
      <w:r w:rsidR="00054CAA">
        <w:t>5</w:t>
      </w:r>
      <w:r w:rsidR="003E24E7" w:rsidRPr="00B30F63">
        <w:t xml:space="preserve">, </w:t>
      </w:r>
      <w:r w:rsidR="003E24E7" w:rsidRPr="00B30F63">
        <w:rPr>
          <w:i/>
        </w:rPr>
        <w:t>p</w:t>
      </w:r>
      <w:r w:rsidR="003E24E7">
        <w:t>&lt;</w:t>
      </w:r>
      <w:r w:rsidR="003E24E7" w:rsidRPr="00B30F63">
        <w:t>.</w:t>
      </w:r>
      <w:r w:rsidR="004C25C0">
        <w:t>001)</w:t>
      </w:r>
      <w:r w:rsidR="003E24E7">
        <w:rPr>
          <w:lang w:val="nb-NO"/>
        </w:rPr>
        <w:t>,</w:t>
      </w:r>
      <w:r>
        <w:t xml:space="preserve"> but only absorption </w:t>
      </w:r>
      <w:r w:rsidR="009875BA">
        <w:t xml:space="preserve">predicted </w:t>
      </w:r>
      <w:proofErr w:type="spellStart"/>
      <w:r w:rsidR="009875BA">
        <w:t>inattentional</w:t>
      </w:r>
      <w:proofErr w:type="spellEnd"/>
      <w:r w:rsidR="009875BA">
        <w:t xml:space="preserve"> blindness</w:t>
      </w:r>
      <w:r w:rsidR="00905089">
        <w:t>. A</w:t>
      </w:r>
      <w:r w:rsidR="009875BA">
        <w:t xml:space="preserve"> one-point increase in absorption </w:t>
      </w:r>
      <w:r w:rsidR="0023104D">
        <w:t>results in a 1.27 unit change in the odds</w:t>
      </w:r>
      <w:r w:rsidR="009B1340">
        <w:t xml:space="preserve"> of being classified as IB</w:t>
      </w:r>
      <w:r w:rsidR="0023104D">
        <w:t xml:space="preserve">. </w:t>
      </w:r>
      <w:r w:rsidR="00657072">
        <w:t xml:space="preserve">A mediation analysis revealed that the association between paranormal belief and </w:t>
      </w:r>
      <w:proofErr w:type="spellStart"/>
      <w:r w:rsidR="00657072">
        <w:t>inattentional</w:t>
      </w:r>
      <w:proofErr w:type="spellEnd"/>
      <w:r w:rsidR="00657072">
        <w:t xml:space="preserve"> blindness status was mediated by absorption (</w:t>
      </w:r>
      <w:proofErr w:type="spellStart"/>
      <w:r w:rsidR="00657072">
        <w:t>Sobel</w:t>
      </w:r>
      <w:proofErr w:type="spellEnd"/>
      <w:r w:rsidR="00657072">
        <w:t xml:space="preserve"> test = 3.</w:t>
      </w:r>
      <w:r w:rsidR="0055025A">
        <w:t>45</w:t>
      </w:r>
      <w:r w:rsidR="00657072">
        <w:t>, SE = .</w:t>
      </w:r>
      <w:r w:rsidR="0055025A">
        <w:t>01</w:t>
      </w:r>
      <w:r w:rsidR="00657072">
        <w:t xml:space="preserve">, </w:t>
      </w:r>
      <w:r w:rsidR="00657072">
        <w:rPr>
          <w:i/>
        </w:rPr>
        <w:t xml:space="preserve">p </w:t>
      </w:r>
      <w:r w:rsidR="0055025A">
        <w:t>&lt;.001</w:t>
      </w:r>
      <w:r w:rsidR="00657072">
        <w:t xml:space="preserve">) whereas the direct association between absorption and </w:t>
      </w:r>
      <w:proofErr w:type="spellStart"/>
      <w:r w:rsidR="00657072">
        <w:t>inattentional</w:t>
      </w:r>
      <w:proofErr w:type="spellEnd"/>
      <w:r w:rsidR="00657072">
        <w:t xml:space="preserve"> blindness status was not mediated by paranormal belief (</w:t>
      </w:r>
      <w:proofErr w:type="spellStart"/>
      <w:r w:rsidR="00657072">
        <w:t>Sobel</w:t>
      </w:r>
      <w:proofErr w:type="spellEnd"/>
      <w:r w:rsidR="00657072">
        <w:t xml:space="preserve"> = 1.</w:t>
      </w:r>
      <w:r w:rsidR="001A56C2">
        <w:t>2</w:t>
      </w:r>
      <w:r w:rsidR="0055025A">
        <w:t>6</w:t>
      </w:r>
      <w:r w:rsidR="001A56C2">
        <w:t xml:space="preserve">, SE = .004, </w:t>
      </w:r>
      <w:r w:rsidR="001A56C2">
        <w:rPr>
          <w:i/>
        </w:rPr>
        <w:t>p</w:t>
      </w:r>
      <w:r w:rsidR="001A56C2">
        <w:t>=.21)</w:t>
      </w:r>
      <w:r w:rsidR="00657072">
        <w:t>.</w:t>
      </w:r>
      <w:r w:rsidR="00657072">
        <w:rPr>
          <w:i/>
        </w:rPr>
        <w:t xml:space="preserve"> </w:t>
      </w:r>
    </w:p>
    <w:p w:rsidR="00652297" w:rsidRPr="0055025A" w:rsidRDefault="007739B8">
      <w:pPr>
        <w:spacing w:line="480" w:lineRule="auto"/>
        <w:ind w:firstLine="720"/>
      </w:pPr>
      <w:r w:rsidRPr="00E775A6">
        <w:t xml:space="preserve">Finally, </w:t>
      </w:r>
      <w:r w:rsidR="001220AB" w:rsidRPr="00E775A6">
        <w:rPr>
          <w:rFonts w:cs="Times New Roman"/>
        </w:rPr>
        <w:t>there was a significan</w:t>
      </w:r>
      <w:r w:rsidR="002B4908">
        <w:rPr>
          <w:rFonts w:cs="Times New Roman"/>
        </w:rPr>
        <w:t>t</w:t>
      </w:r>
      <w:r w:rsidRPr="00E775A6">
        <w:rPr>
          <w:rFonts w:cs="Times New Roman"/>
        </w:rPr>
        <w:t xml:space="preserve"> relationship between paranormal belief (</w:t>
      </w:r>
      <w:r w:rsidR="00905089">
        <w:rPr>
          <w:rFonts w:cs="Times New Roman"/>
        </w:rPr>
        <w:t xml:space="preserve">modified </w:t>
      </w:r>
      <w:r w:rsidRPr="00E775A6">
        <w:rPr>
          <w:rFonts w:cs="Times New Roman"/>
        </w:rPr>
        <w:t>ASGS) and absorption (TAS), r =</w:t>
      </w:r>
      <w:r w:rsidR="0055025A">
        <w:rPr>
          <w:rFonts w:cs="Times New Roman"/>
        </w:rPr>
        <w:t xml:space="preserve"> 0</w:t>
      </w:r>
      <w:r w:rsidRPr="00E775A6">
        <w:rPr>
          <w:rFonts w:cs="Times New Roman"/>
        </w:rPr>
        <w:t xml:space="preserve">.44, </w:t>
      </w:r>
      <w:r w:rsidRPr="00E775A6">
        <w:rPr>
          <w:rFonts w:cs="Times New Roman"/>
          <w:i/>
        </w:rPr>
        <w:t>p</w:t>
      </w:r>
      <w:r w:rsidRPr="00E775A6">
        <w:rPr>
          <w:rFonts w:cs="Times New Roman"/>
        </w:rPr>
        <w:t>&lt;.0</w:t>
      </w:r>
      <w:r w:rsidR="007422D1" w:rsidRPr="00E775A6">
        <w:rPr>
          <w:rFonts w:cs="Times New Roman"/>
        </w:rPr>
        <w:t>0</w:t>
      </w:r>
      <w:r w:rsidRPr="00E775A6">
        <w:rPr>
          <w:rFonts w:cs="Times New Roman"/>
        </w:rPr>
        <w:t>1, replicating an association reported by previous investigators</w:t>
      </w:r>
      <w:r w:rsidR="00B53294">
        <w:rPr>
          <w:rFonts w:cs="Times New Roman"/>
        </w:rPr>
        <w:t xml:space="preserve"> using the 18-item version of the ASGS</w:t>
      </w:r>
      <w:r w:rsidR="00121087">
        <w:rPr>
          <w:rFonts w:cs="Times New Roman"/>
        </w:rPr>
        <w:t xml:space="preserve"> (e.g.,</w:t>
      </w:r>
      <w:r w:rsidR="00121087" w:rsidRPr="00121087">
        <w:t xml:space="preserve"> </w:t>
      </w:r>
      <w:r w:rsidR="00121087" w:rsidRPr="0028073F">
        <w:t>Frenc</w:t>
      </w:r>
      <w:r w:rsidR="00121087">
        <w:t xml:space="preserve">h, </w:t>
      </w:r>
      <w:proofErr w:type="spellStart"/>
      <w:r w:rsidR="00121087">
        <w:t>Santomauro</w:t>
      </w:r>
      <w:proofErr w:type="spellEnd"/>
      <w:r w:rsidR="00121087">
        <w:t>, Hamilton, Fox, &amp;</w:t>
      </w:r>
      <w:r w:rsidR="00121087" w:rsidRPr="0028073F">
        <w:t xml:space="preserve"> </w:t>
      </w:r>
      <w:proofErr w:type="spellStart"/>
      <w:r w:rsidR="00121087" w:rsidRPr="0028073F">
        <w:t>Thalbourne</w:t>
      </w:r>
      <w:proofErr w:type="spellEnd"/>
      <w:r w:rsidR="00121087" w:rsidRPr="0028073F">
        <w:t xml:space="preserve">, 2008; </w:t>
      </w:r>
      <w:proofErr w:type="spellStart"/>
      <w:r w:rsidR="00121087" w:rsidRPr="0028073F">
        <w:t>Thal</w:t>
      </w:r>
      <w:r w:rsidR="00121087">
        <w:t>bourne</w:t>
      </w:r>
      <w:proofErr w:type="spellEnd"/>
      <w:r w:rsidR="00121087">
        <w:t xml:space="preserve">, 1998; </w:t>
      </w:r>
      <w:proofErr w:type="spellStart"/>
      <w:r w:rsidR="00121087">
        <w:t>Thalbourne</w:t>
      </w:r>
      <w:proofErr w:type="spellEnd"/>
      <w:r w:rsidR="00121087">
        <w:t xml:space="preserve">, </w:t>
      </w:r>
      <w:proofErr w:type="spellStart"/>
      <w:r w:rsidR="00121087">
        <w:t>Bartemucci</w:t>
      </w:r>
      <w:proofErr w:type="spellEnd"/>
      <w:r w:rsidR="00121087">
        <w:t xml:space="preserve">, </w:t>
      </w:r>
      <w:proofErr w:type="spellStart"/>
      <w:r w:rsidR="00121087">
        <w:t>Delin</w:t>
      </w:r>
      <w:proofErr w:type="spellEnd"/>
      <w:r w:rsidR="00121087">
        <w:t xml:space="preserve">, Fox, &amp; </w:t>
      </w:r>
      <w:proofErr w:type="spellStart"/>
      <w:r w:rsidR="00121087">
        <w:t>Nofi</w:t>
      </w:r>
      <w:proofErr w:type="spellEnd"/>
      <w:r w:rsidR="00A8053C">
        <w:t>, 1997)</w:t>
      </w:r>
      <w:r w:rsidRPr="00E775A6">
        <w:rPr>
          <w:rFonts w:cs="Times New Roman"/>
        </w:rPr>
        <w:t>.</w:t>
      </w:r>
      <w:r w:rsidR="00F03E0F">
        <w:rPr>
          <w:rFonts w:cs="Times New Roman"/>
        </w:rPr>
        <w:t xml:space="preserve"> One concern was that that t</w:t>
      </w:r>
      <w:r w:rsidR="006D23AF">
        <w:rPr>
          <w:rFonts w:cs="Times New Roman"/>
        </w:rPr>
        <w:t xml:space="preserve">his correlation may be inflated due </w:t>
      </w:r>
      <w:r w:rsidR="00DB5DBE">
        <w:rPr>
          <w:rFonts w:cs="Times New Roman"/>
        </w:rPr>
        <w:t xml:space="preserve">to </w:t>
      </w:r>
      <w:r w:rsidR="009875BA">
        <w:rPr>
          <w:rFonts w:cs="Times New Roman"/>
        </w:rPr>
        <w:t>overlapping</w:t>
      </w:r>
      <w:r w:rsidR="00DB5DBE">
        <w:rPr>
          <w:rFonts w:cs="Times New Roman"/>
        </w:rPr>
        <w:t xml:space="preserve"> items</w:t>
      </w:r>
      <w:r w:rsidR="006D23AF">
        <w:rPr>
          <w:rFonts w:cs="Times New Roman"/>
        </w:rPr>
        <w:t xml:space="preserve"> in the two scales, with the TAS containing some items that clearly tap into paranormal belief</w:t>
      </w:r>
      <w:r w:rsidR="00F03E0F">
        <w:rPr>
          <w:rFonts w:cs="Times New Roman"/>
        </w:rPr>
        <w:t>/experience</w:t>
      </w:r>
      <w:r w:rsidR="006D23AF">
        <w:rPr>
          <w:rFonts w:cs="Times New Roman"/>
        </w:rPr>
        <w:t xml:space="preserve"> (e.g., </w:t>
      </w:r>
      <w:r w:rsidR="006D23AF">
        <w:t>“At times I somehow feel the presence of someone who is not physically there.”)</w:t>
      </w:r>
      <w:r w:rsidR="00F03E0F">
        <w:t>.</w:t>
      </w:r>
      <w:r w:rsidR="006D23AF">
        <w:t xml:space="preserve"> To address this, the overlapping items were removed from the TAS scores and the analyses performed again. There was no reduction in the prediction of </w:t>
      </w:r>
      <w:proofErr w:type="spellStart"/>
      <w:r w:rsidR="006D23AF">
        <w:t>inattentional</w:t>
      </w:r>
      <w:proofErr w:type="spellEnd"/>
      <w:r w:rsidR="006D23AF">
        <w:t xml:space="preserve"> blindness</w:t>
      </w:r>
      <w:r w:rsidR="00905089">
        <w:t xml:space="preserve"> with</w:t>
      </w:r>
      <w:r w:rsidR="006D23AF">
        <w:t xml:space="preserve"> the revised absorption scale (Wald </w:t>
      </w:r>
      <w:r w:rsidR="009B1340">
        <w:t xml:space="preserve">statistic </w:t>
      </w:r>
      <w:r w:rsidR="006D23AF">
        <w:t>= 15.08</w:t>
      </w:r>
      <w:proofErr w:type="gramStart"/>
      <w:r w:rsidR="006D23AF">
        <w:t xml:space="preserve">, </w:t>
      </w:r>
      <w:r w:rsidR="00D82841">
        <w:t xml:space="preserve"> </w:t>
      </w:r>
      <w:r w:rsidR="001813CA">
        <w:t>Exp</w:t>
      </w:r>
      <w:proofErr w:type="gramEnd"/>
      <w:r w:rsidR="00CC22B9">
        <w:t>(</w:t>
      </w:r>
      <w:r w:rsidR="001813CA">
        <w:t>B</w:t>
      </w:r>
      <w:r w:rsidR="00CC22B9">
        <w:t>)</w:t>
      </w:r>
      <w:r w:rsidR="006D23AF">
        <w:rPr>
          <w:i/>
        </w:rPr>
        <w:t xml:space="preserve"> = </w:t>
      </w:r>
      <w:r w:rsidR="006D23AF" w:rsidRPr="00C23F64">
        <w:t>1.29</w:t>
      </w:r>
      <w:r w:rsidR="006D23AF">
        <w:rPr>
          <w:i/>
        </w:rPr>
        <w:t xml:space="preserve">). </w:t>
      </w:r>
      <w:r w:rsidR="00A12FAC">
        <w:t>As expected, none of the other variables were significant predictors (</w:t>
      </w:r>
      <w:r w:rsidR="00905089">
        <w:t>a</w:t>
      </w:r>
      <w:r w:rsidR="00A12FAC">
        <w:t>ll Wald</w:t>
      </w:r>
      <w:r w:rsidR="00D82841">
        <w:t xml:space="preserve"> statistic</w:t>
      </w:r>
      <w:r w:rsidR="00A12FAC">
        <w:t>s &lt; 2.64).</w:t>
      </w:r>
      <w:r w:rsidR="0055025A">
        <w:t xml:space="preserve"> The revised TAS scale significantly correlated with the modified ASGS (</w:t>
      </w:r>
      <w:r w:rsidR="0055025A">
        <w:rPr>
          <w:i/>
        </w:rPr>
        <w:t>r</w:t>
      </w:r>
      <w:r w:rsidR="0055025A">
        <w:t xml:space="preserve"> = 0.40, </w:t>
      </w:r>
      <w:r w:rsidR="0055025A">
        <w:rPr>
          <w:i/>
        </w:rPr>
        <w:t>p</w:t>
      </w:r>
      <w:r w:rsidR="0055025A">
        <w:t>&lt;.001).</w:t>
      </w:r>
    </w:p>
    <w:p w:rsidR="007739B8" w:rsidRPr="00751B95" w:rsidRDefault="007739B8" w:rsidP="00751B95">
      <w:pPr>
        <w:spacing w:line="480" w:lineRule="auto"/>
        <w:jc w:val="center"/>
        <w:rPr>
          <w:rFonts w:cs="Times New Roman"/>
        </w:rPr>
      </w:pPr>
      <w:r w:rsidRPr="00751B95">
        <w:rPr>
          <w:rFonts w:cs="Times New Roman"/>
        </w:rPr>
        <w:t>Discussion</w:t>
      </w:r>
    </w:p>
    <w:p w:rsidR="00DA4C0F" w:rsidRDefault="00A75139" w:rsidP="00DA30E7">
      <w:pPr>
        <w:spacing w:line="480" w:lineRule="auto"/>
        <w:rPr>
          <w:rFonts w:cs="Times New Roman"/>
        </w:rPr>
      </w:pPr>
      <w:r>
        <w:rPr>
          <w:rFonts w:cs="Times New Roman"/>
        </w:rPr>
        <w:t>IBs scored higher on absorption than NIBs.</w:t>
      </w:r>
      <w:r w:rsidR="007739B8" w:rsidRPr="00E775A6">
        <w:rPr>
          <w:rFonts w:cs="Times New Roman"/>
        </w:rPr>
        <w:t xml:space="preserve"> Furthermore, IBs had higher </w:t>
      </w:r>
      <w:r w:rsidR="00D05948">
        <w:rPr>
          <w:rFonts w:cs="Times New Roman"/>
        </w:rPr>
        <w:t xml:space="preserve">paranormal belief/experience </w:t>
      </w:r>
      <w:r w:rsidR="007739B8" w:rsidRPr="00E775A6">
        <w:rPr>
          <w:rFonts w:cs="Times New Roman"/>
        </w:rPr>
        <w:t>scores than NIBs</w:t>
      </w:r>
      <w:r w:rsidR="007A0E9D">
        <w:rPr>
          <w:rFonts w:cs="Times New Roman"/>
        </w:rPr>
        <w:t>,</w:t>
      </w:r>
      <w:r w:rsidR="007739B8" w:rsidRPr="00E775A6">
        <w:rPr>
          <w:rFonts w:cs="Times New Roman"/>
        </w:rPr>
        <w:t xml:space="preserve"> supporting the suggestion that </w:t>
      </w:r>
      <w:r w:rsidR="007422D1" w:rsidRPr="00E775A6">
        <w:rPr>
          <w:rFonts w:cs="Times New Roman"/>
        </w:rPr>
        <w:t>IB</w:t>
      </w:r>
      <w:r w:rsidR="007739B8" w:rsidRPr="00E775A6">
        <w:rPr>
          <w:rFonts w:cs="Times New Roman"/>
        </w:rPr>
        <w:t xml:space="preserve"> may be a factor in explaining some ostensibly paranormal experiences. However, when both absorption and paranormal belief/experience were entered </w:t>
      </w:r>
      <w:r w:rsidR="007A0E9D">
        <w:rPr>
          <w:rFonts w:cs="Times New Roman"/>
        </w:rPr>
        <w:t>in</w:t>
      </w:r>
      <w:r w:rsidR="001A693F">
        <w:rPr>
          <w:rFonts w:cs="Times New Roman"/>
        </w:rPr>
        <w:t>to</w:t>
      </w:r>
      <w:r w:rsidR="007A0E9D">
        <w:rPr>
          <w:rFonts w:cs="Times New Roman"/>
        </w:rPr>
        <w:t xml:space="preserve"> the </w:t>
      </w:r>
      <w:r w:rsidR="004B77C5">
        <w:rPr>
          <w:rFonts w:cs="Times New Roman"/>
        </w:rPr>
        <w:t>regression</w:t>
      </w:r>
      <w:r w:rsidR="007739B8" w:rsidRPr="00E775A6">
        <w:rPr>
          <w:rFonts w:cs="Times New Roman"/>
        </w:rPr>
        <w:t xml:space="preserve">, only absorption significantly predicted IB status. </w:t>
      </w:r>
      <w:r w:rsidR="00657072">
        <w:rPr>
          <w:rFonts w:cs="Times New Roman"/>
        </w:rPr>
        <w:t xml:space="preserve">In addition, the mediation analysis confirmed an indirect </w:t>
      </w:r>
      <w:r w:rsidR="009B1340">
        <w:rPr>
          <w:rFonts w:cs="Times New Roman"/>
        </w:rPr>
        <w:t>relationship between</w:t>
      </w:r>
      <w:r w:rsidR="00657072">
        <w:rPr>
          <w:rFonts w:cs="Times New Roman"/>
        </w:rPr>
        <w:t xml:space="preserve"> paranormal belief </w:t>
      </w:r>
      <w:r w:rsidR="009B1340">
        <w:rPr>
          <w:rFonts w:cs="Times New Roman"/>
        </w:rPr>
        <w:t>and</w:t>
      </w:r>
      <w:r w:rsidR="00657072">
        <w:rPr>
          <w:rFonts w:cs="Times New Roman"/>
        </w:rPr>
        <w:t xml:space="preserve"> </w:t>
      </w:r>
      <w:proofErr w:type="spellStart"/>
      <w:r w:rsidR="00657072">
        <w:rPr>
          <w:rFonts w:cs="Times New Roman"/>
        </w:rPr>
        <w:t>inattentional</w:t>
      </w:r>
      <w:proofErr w:type="spellEnd"/>
      <w:r w:rsidR="00657072">
        <w:rPr>
          <w:rFonts w:cs="Times New Roman"/>
        </w:rPr>
        <w:t xml:space="preserve"> blindness via </w:t>
      </w:r>
      <w:r w:rsidR="001A5268">
        <w:rPr>
          <w:rFonts w:cs="Times New Roman"/>
        </w:rPr>
        <w:t xml:space="preserve">absorption. </w:t>
      </w:r>
      <w:r w:rsidR="007A0E9D">
        <w:rPr>
          <w:rFonts w:cs="Times New Roman"/>
        </w:rPr>
        <w:t>As predicted</w:t>
      </w:r>
      <w:r w:rsidR="004A0B12">
        <w:rPr>
          <w:rFonts w:cs="Times New Roman"/>
        </w:rPr>
        <w:t>,</w:t>
      </w:r>
      <w:r w:rsidR="007A0E9D">
        <w:rPr>
          <w:rFonts w:cs="Times New Roman"/>
        </w:rPr>
        <w:t xml:space="preserve"> </w:t>
      </w:r>
      <w:r w:rsidR="007739B8" w:rsidRPr="00E775A6">
        <w:rPr>
          <w:rFonts w:cs="Times New Roman"/>
        </w:rPr>
        <w:t>absorption and paranormal belief/experience</w:t>
      </w:r>
      <w:r w:rsidR="004A0B12">
        <w:rPr>
          <w:rFonts w:cs="Times New Roman"/>
        </w:rPr>
        <w:t xml:space="preserve"> were</w:t>
      </w:r>
      <w:r w:rsidR="004B77C5">
        <w:rPr>
          <w:rFonts w:cs="Times New Roman"/>
        </w:rPr>
        <w:t xml:space="preserve"> correlated</w:t>
      </w:r>
      <w:r w:rsidR="001F0AFE">
        <w:rPr>
          <w:rFonts w:cs="Times New Roman"/>
        </w:rPr>
        <w:t>. However, when the items relating to paranormal belief were removed from the TAS, there was no reduction in the predictive power of this construct and paranormal belief did not predict IB status.</w:t>
      </w:r>
    </w:p>
    <w:p w:rsidR="007739B8" w:rsidRPr="00E775A6" w:rsidRDefault="007A0E9D" w:rsidP="00DA30E7">
      <w:pPr>
        <w:spacing w:line="480" w:lineRule="auto"/>
        <w:rPr>
          <w:rFonts w:cs="Times New Roman"/>
        </w:rPr>
      </w:pPr>
      <w:r>
        <w:rPr>
          <w:rFonts w:cs="Times New Roman"/>
        </w:rPr>
        <w:t xml:space="preserve"> </w:t>
      </w:r>
      <w:r w:rsidR="004A0B12">
        <w:rPr>
          <w:rFonts w:cs="Times New Roman"/>
        </w:rPr>
        <w:tab/>
      </w:r>
      <w:r w:rsidR="007739B8" w:rsidRPr="00E775A6">
        <w:rPr>
          <w:rFonts w:cs="Times New Roman"/>
        </w:rPr>
        <w:t xml:space="preserve">These results are </w:t>
      </w:r>
      <w:r>
        <w:rPr>
          <w:rFonts w:cs="Times New Roman"/>
        </w:rPr>
        <w:t>important</w:t>
      </w:r>
      <w:r w:rsidR="007739B8" w:rsidRPr="00E775A6">
        <w:rPr>
          <w:rFonts w:cs="Times New Roman"/>
        </w:rPr>
        <w:t xml:space="preserve"> as they are possibly the first to demonstrate a significant association between a personality trait (absorption) and susceptibility to IB. </w:t>
      </w:r>
      <w:r w:rsidR="007422D1" w:rsidRPr="00E775A6">
        <w:rPr>
          <w:rFonts w:cs="Times New Roman"/>
        </w:rPr>
        <w:t xml:space="preserve">To check the </w:t>
      </w:r>
      <w:proofErr w:type="spellStart"/>
      <w:r w:rsidR="00973C2D">
        <w:rPr>
          <w:rFonts w:cs="Times New Roman"/>
        </w:rPr>
        <w:t>replicability</w:t>
      </w:r>
      <w:proofErr w:type="spellEnd"/>
      <w:r w:rsidR="00973C2D" w:rsidRPr="00E775A6">
        <w:rPr>
          <w:rFonts w:cs="Times New Roman"/>
        </w:rPr>
        <w:t xml:space="preserve"> </w:t>
      </w:r>
      <w:r w:rsidR="007422D1" w:rsidRPr="00E775A6">
        <w:rPr>
          <w:rFonts w:cs="Times New Roman"/>
        </w:rPr>
        <w:t xml:space="preserve">of these findings </w:t>
      </w:r>
      <w:r w:rsidR="00A75139">
        <w:rPr>
          <w:rFonts w:cs="Times New Roman"/>
        </w:rPr>
        <w:t>using</w:t>
      </w:r>
      <w:r w:rsidR="007422D1" w:rsidRPr="00E775A6">
        <w:rPr>
          <w:rFonts w:cs="Times New Roman"/>
        </w:rPr>
        <w:t xml:space="preserve"> the </w:t>
      </w:r>
      <w:r w:rsidR="008343F7">
        <w:rPr>
          <w:rFonts w:cs="Times New Roman"/>
        </w:rPr>
        <w:t>standard</w:t>
      </w:r>
      <w:r w:rsidR="007422D1" w:rsidRPr="00E775A6">
        <w:rPr>
          <w:rFonts w:cs="Times New Roman"/>
        </w:rPr>
        <w:t xml:space="preserve"> ASGS</w:t>
      </w:r>
      <w:r w:rsidR="008343F7">
        <w:rPr>
          <w:rFonts w:cs="Times New Roman"/>
        </w:rPr>
        <w:t xml:space="preserve"> form</w:t>
      </w:r>
      <w:r w:rsidR="007422D1" w:rsidRPr="00E775A6">
        <w:rPr>
          <w:rFonts w:cs="Times New Roman"/>
        </w:rPr>
        <w:t xml:space="preserve">, a second study was undertaken. </w:t>
      </w:r>
      <w:r w:rsidR="007739B8" w:rsidRPr="00E775A6">
        <w:rPr>
          <w:rFonts w:cs="Times New Roman"/>
        </w:rPr>
        <w:t xml:space="preserve">Furthermore, </w:t>
      </w:r>
      <w:r w:rsidR="004A0B12">
        <w:rPr>
          <w:rFonts w:cs="Times New Roman"/>
        </w:rPr>
        <w:t>Study</w:t>
      </w:r>
      <w:r w:rsidR="004A0B12" w:rsidRPr="00E775A6">
        <w:rPr>
          <w:rFonts w:cs="Times New Roman"/>
        </w:rPr>
        <w:t xml:space="preserve"> </w:t>
      </w:r>
      <w:r>
        <w:rPr>
          <w:rFonts w:cs="Times New Roman"/>
        </w:rPr>
        <w:t xml:space="preserve">2 examined </w:t>
      </w:r>
      <w:r w:rsidR="004A0B12">
        <w:rPr>
          <w:rFonts w:cs="Times New Roman"/>
        </w:rPr>
        <w:t xml:space="preserve">a </w:t>
      </w:r>
      <w:r w:rsidR="007739B8" w:rsidRPr="00E775A6">
        <w:rPr>
          <w:rFonts w:cs="Times New Roman"/>
        </w:rPr>
        <w:t>possible underlying cognitive factor that might lead to both IB and absorption (and, indirectly, to higher levels of paranormal belief/experience).</w:t>
      </w:r>
    </w:p>
    <w:p w:rsidR="00716E58" w:rsidRDefault="004B77C5">
      <w:pPr>
        <w:spacing w:line="480" w:lineRule="auto"/>
        <w:ind w:firstLine="720"/>
      </w:pPr>
      <w:r>
        <w:t xml:space="preserve">Research </w:t>
      </w:r>
      <w:r w:rsidRPr="00E775A6">
        <w:t xml:space="preserve">has shown that low working </w:t>
      </w:r>
      <w:r w:rsidR="00113C1A">
        <w:t xml:space="preserve">memory </w:t>
      </w:r>
      <w:r w:rsidRPr="00E775A6">
        <w:t>capacity (WMC) is associated with IB</w:t>
      </w:r>
      <w:r w:rsidRPr="00E775A6" w:rsidDel="004B77C5">
        <w:t xml:space="preserve"> </w:t>
      </w:r>
      <w:r w:rsidR="007739B8" w:rsidRPr="00E775A6">
        <w:t>(</w:t>
      </w:r>
      <w:r>
        <w:t>Hannon &amp;</w:t>
      </w:r>
      <w:r w:rsidRPr="00E775A6">
        <w:t xml:space="preserve"> Richards</w:t>
      </w:r>
      <w:r>
        <w:t>,</w:t>
      </w:r>
      <w:r w:rsidRPr="00E775A6">
        <w:t xml:space="preserve"> </w:t>
      </w:r>
      <w:r w:rsidR="007739B8" w:rsidRPr="00E775A6">
        <w:t xml:space="preserve">2010; </w:t>
      </w:r>
      <w:r w:rsidR="00DA30E7" w:rsidRPr="00AD27D2">
        <w:t>Richards, Hannon</w:t>
      </w:r>
      <w:r w:rsidR="00DA30E7">
        <w:t xml:space="preserve">, </w:t>
      </w:r>
      <w:r w:rsidR="00DA30E7" w:rsidRPr="00AD27D2">
        <w:t xml:space="preserve">&amp; </w:t>
      </w:r>
      <w:proofErr w:type="spellStart"/>
      <w:r w:rsidR="00DA30E7" w:rsidRPr="00AD27D2">
        <w:t>Derakshan</w:t>
      </w:r>
      <w:proofErr w:type="spellEnd"/>
      <w:r w:rsidR="00DA30E7" w:rsidRPr="00AD27D2">
        <w:t xml:space="preserve">, </w:t>
      </w:r>
      <w:r w:rsidR="00DA30E7">
        <w:t xml:space="preserve">2010; </w:t>
      </w:r>
      <w:r w:rsidR="00DA30E7" w:rsidRPr="00AD27D2">
        <w:t>Richards, Hannon</w:t>
      </w:r>
      <w:r w:rsidR="00DA30E7">
        <w:t xml:space="preserve">, &amp; </w:t>
      </w:r>
      <w:proofErr w:type="spellStart"/>
      <w:r w:rsidR="00DA30E7">
        <w:t>Vitkovitch</w:t>
      </w:r>
      <w:proofErr w:type="spellEnd"/>
      <w:r w:rsidR="00DA30E7">
        <w:t xml:space="preserve">, </w:t>
      </w:r>
      <w:r w:rsidR="00DA30E7" w:rsidRPr="00AD27D2">
        <w:t>2012</w:t>
      </w:r>
      <w:r w:rsidR="00DA30E7">
        <w:t xml:space="preserve">; </w:t>
      </w:r>
      <w:proofErr w:type="spellStart"/>
      <w:r w:rsidR="001F29EC">
        <w:t>Seegm</w:t>
      </w:r>
      <w:r w:rsidR="00DA30E7">
        <w:t>iller</w:t>
      </w:r>
      <w:proofErr w:type="spellEnd"/>
      <w:r w:rsidR="00DA30E7">
        <w:t xml:space="preserve">, Watson, &amp; </w:t>
      </w:r>
      <w:proofErr w:type="spellStart"/>
      <w:r w:rsidR="00DA30E7">
        <w:t>Strayer</w:t>
      </w:r>
      <w:proofErr w:type="spellEnd"/>
      <w:r w:rsidR="00DA30E7">
        <w:t>, 2011</w:t>
      </w:r>
      <w:r w:rsidR="007739B8" w:rsidRPr="00E775A6">
        <w:t xml:space="preserve">). </w:t>
      </w:r>
      <w:r w:rsidR="00D546A6">
        <w:t xml:space="preserve">High WMC is associated with enhanced performance </w:t>
      </w:r>
      <w:r w:rsidR="00A75139">
        <w:t xml:space="preserve">on </w:t>
      </w:r>
      <w:r w:rsidR="006C2364">
        <w:t xml:space="preserve">central executive functioning </w:t>
      </w:r>
      <w:r>
        <w:t xml:space="preserve">tasks </w:t>
      </w:r>
      <w:r w:rsidR="006C2364">
        <w:t xml:space="preserve">(Conway &amp; Eagle, 1994; </w:t>
      </w:r>
      <w:proofErr w:type="spellStart"/>
      <w:r w:rsidR="006C2364">
        <w:t>Daneman</w:t>
      </w:r>
      <w:proofErr w:type="spellEnd"/>
      <w:r w:rsidR="006C2364">
        <w:t xml:space="preserve"> &amp; C</w:t>
      </w:r>
      <w:r w:rsidR="005B0438">
        <w:t>arpenter</w:t>
      </w:r>
      <w:r w:rsidR="006C2364">
        <w:t xml:space="preserve">, 1980) and with </w:t>
      </w:r>
      <w:r w:rsidR="001A693F">
        <w:t>effectively</w:t>
      </w:r>
      <w:r w:rsidR="006C2364">
        <w:t xml:space="preserve"> </w:t>
      </w:r>
      <w:r w:rsidR="001A693F">
        <w:t xml:space="preserve">allocating </w:t>
      </w:r>
      <w:proofErr w:type="spellStart"/>
      <w:r w:rsidR="006C2364">
        <w:t>attentional</w:t>
      </w:r>
      <w:proofErr w:type="spellEnd"/>
      <w:r w:rsidR="006C2364">
        <w:t xml:space="preserve"> resources (Bleckley, </w:t>
      </w:r>
      <w:proofErr w:type="spellStart"/>
      <w:r w:rsidR="006C2364">
        <w:t>Durso</w:t>
      </w:r>
      <w:proofErr w:type="spellEnd"/>
      <w:r w:rsidR="006C2364">
        <w:t xml:space="preserve">, Crutchfield, Engle, &amp; </w:t>
      </w:r>
      <w:proofErr w:type="spellStart"/>
      <w:r w:rsidR="006C2364">
        <w:t>Khanna</w:t>
      </w:r>
      <w:proofErr w:type="spellEnd"/>
      <w:r w:rsidR="006C2364">
        <w:t xml:space="preserve">, 2003). </w:t>
      </w:r>
      <w:r w:rsidR="00446F27">
        <w:t>There is evidence that operation span is highly correlated with measure</w:t>
      </w:r>
      <w:r w:rsidR="003D1DCC">
        <w:t>s</w:t>
      </w:r>
      <w:r w:rsidR="00446F27">
        <w:t xml:space="preserve"> of fluid intellig</w:t>
      </w:r>
      <w:r w:rsidR="00DB5DBE">
        <w:t>ence (e.g., Conway et al., 2005</w:t>
      </w:r>
      <w:r w:rsidR="00446F27">
        <w:t xml:space="preserve">; </w:t>
      </w:r>
      <w:proofErr w:type="spellStart"/>
      <w:r w:rsidR="00446F27">
        <w:t>Salt</w:t>
      </w:r>
      <w:r w:rsidR="0025322A">
        <w:t>house</w:t>
      </w:r>
      <w:proofErr w:type="spellEnd"/>
      <w:r w:rsidR="00446F27">
        <w:t xml:space="preserve"> &amp; Pink, 2008; </w:t>
      </w:r>
      <w:proofErr w:type="spellStart"/>
      <w:r w:rsidR="00446F27" w:rsidRPr="00E775A6">
        <w:t>Unsworth</w:t>
      </w:r>
      <w:proofErr w:type="spellEnd"/>
      <w:r w:rsidR="00446F27" w:rsidRPr="00E775A6">
        <w:t xml:space="preserve">, </w:t>
      </w:r>
      <w:proofErr w:type="spellStart"/>
      <w:r w:rsidR="00446F27" w:rsidRPr="00E775A6">
        <w:t>Heitz</w:t>
      </w:r>
      <w:proofErr w:type="spellEnd"/>
      <w:r w:rsidR="00446F27" w:rsidRPr="00E775A6">
        <w:t>, Schrock, &amp; Engle, 2005</w:t>
      </w:r>
      <w:r w:rsidR="00D06807">
        <w:t xml:space="preserve">). </w:t>
      </w:r>
      <w:r w:rsidR="00E037E3" w:rsidRPr="00E775A6">
        <w:t>This suggests that</w:t>
      </w:r>
      <w:r w:rsidR="007739B8" w:rsidRPr="00E775A6">
        <w:t xml:space="preserve"> individual</w:t>
      </w:r>
      <w:r w:rsidR="00E037E3" w:rsidRPr="00E775A6">
        <w:t>s</w:t>
      </w:r>
      <w:r w:rsidR="007739B8" w:rsidRPr="00E775A6">
        <w:t xml:space="preserve"> with low </w:t>
      </w:r>
      <w:r w:rsidR="007A0E9D">
        <w:t xml:space="preserve">compared to high </w:t>
      </w:r>
      <w:r w:rsidR="007739B8" w:rsidRPr="00E775A6">
        <w:t xml:space="preserve">WMC need to devote a higher proportion of </w:t>
      </w:r>
      <w:r w:rsidR="001C2BB4">
        <w:t xml:space="preserve">their </w:t>
      </w:r>
      <w:r w:rsidR="007739B8" w:rsidRPr="00E775A6">
        <w:t xml:space="preserve">cognitive resources to the primary task thus </w:t>
      </w:r>
      <w:r w:rsidR="001A693F">
        <w:t>resulting in</w:t>
      </w:r>
      <w:r w:rsidR="007739B8" w:rsidRPr="00E775A6">
        <w:t xml:space="preserve"> </w:t>
      </w:r>
      <w:r w:rsidR="008343F7">
        <w:t xml:space="preserve">fewer </w:t>
      </w:r>
      <w:r w:rsidR="007739B8" w:rsidRPr="00E775A6">
        <w:t xml:space="preserve">resources </w:t>
      </w:r>
      <w:r w:rsidR="00F03E0F">
        <w:t xml:space="preserve">being </w:t>
      </w:r>
      <w:r w:rsidR="001A693F">
        <w:t xml:space="preserve">available </w:t>
      </w:r>
      <w:r w:rsidR="007739B8" w:rsidRPr="00E775A6">
        <w:t>to notice task-irrelevant stimuli.</w:t>
      </w:r>
    </w:p>
    <w:p w:rsidR="00CA6FE8" w:rsidRDefault="003D1DCC">
      <w:pPr>
        <w:spacing w:line="480" w:lineRule="auto"/>
        <w:ind w:firstLine="720"/>
      </w:pPr>
      <w:r>
        <w:t xml:space="preserve">Study </w:t>
      </w:r>
      <w:r w:rsidR="00F03E0F">
        <w:t>2</w:t>
      </w:r>
      <w:r w:rsidR="007739B8" w:rsidRPr="00E775A6">
        <w:t xml:space="preserve"> </w:t>
      </w:r>
      <w:r w:rsidR="007A0E9D">
        <w:t xml:space="preserve">was a </w:t>
      </w:r>
      <w:r w:rsidR="007739B8" w:rsidRPr="00E775A6">
        <w:t xml:space="preserve">direct replication of </w:t>
      </w:r>
      <w:r>
        <w:t>Study</w:t>
      </w:r>
      <w:r w:rsidR="007739B8" w:rsidRPr="00E775A6">
        <w:t xml:space="preserve"> 1 except that (a) WMC was assessed and (b) the </w:t>
      </w:r>
      <w:r w:rsidRPr="00E775A6">
        <w:t>standard</w:t>
      </w:r>
      <w:r>
        <w:t xml:space="preserve"> 18-item </w:t>
      </w:r>
      <w:r w:rsidR="00E14D5C">
        <w:t xml:space="preserve">true-false version of the </w:t>
      </w:r>
      <w:r w:rsidR="007739B8" w:rsidRPr="00E775A6">
        <w:t>ASGS was used.</w:t>
      </w:r>
      <w:r w:rsidR="00DA30E7">
        <w:t xml:space="preserve"> </w:t>
      </w:r>
      <w:r w:rsidR="008343F7">
        <w:rPr>
          <w:rFonts w:cs="Times New Roman"/>
        </w:rPr>
        <w:t>This</w:t>
      </w:r>
      <w:r w:rsidR="000715F7">
        <w:rPr>
          <w:rFonts w:cs="Times New Roman"/>
        </w:rPr>
        <w:t xml:space="preserve"> version of the ASGS </w:t>
      </w:r>
      <w:r w:rsidR="008343F7">
        <w:rPr>
          <w:rFonts w:cs="Times New Roman"/>
        </w:rPr>
        <w:t>is</w:t>
      </w:r>
      <w:r w:rsidR="000715F7">
        <w:rPr>
          <w:rFonts w:cs="Times New Roman"/>
        </w:rPr>
        <w:t xml:space="preserve"> </w:t>
      </w:r>
      <w:r w:rsidR="00E14D5C">
        <w:rPr>
          <w:rFonts w:cs="Times New Roman"/>
        </w:rPr>
        <w:t xml:space="preserve">known to be </w:t>
      </w:r>
      <w:r w:rsidR="000715F7">
        <w:rPr>
          <w:rFonts w:cs="Times New Roman"/>
        </w:rPr>
        <w:t>reliable and valid (</w:t>
      </w:r>
      <w:proofErr w:type="spellStart"/>
      <w:r w:rsidR="000715F7">
        <w:rPr>
          <w:rFonts w:cs="Times New Roman"/>
        </w:rPr>
        <w:t>Thalbourne</w:t>
      </w:r>
      <w:proofErr w:type="spellEnd"/>
      <w:r w:rsidR="000715F7">
        <w:rPr>
          <w:rFonts w:cs="Times New Roman"/>
        </w:rPr>
        <w:t xml:space="preserve">, 2010). </w:t>
      </w:r>
      <w:r w:rsidR="007739B8" w:rsidRPr="00E775A6">
        <w:t>I</w:t>
      </w:r>
      <w:r w:rsidR="00F03E0F">
        <w:t>n addition to the hypotheses of Study 1, i</w:t>
      </w:r>
      <w:r w:rsidR="007739B8" w:rsidRPr="00E775A6">
        <w:t xml:space="preserve">t was also </w:t>
      </w:r>
      <w:proofErr w:type="spellStart"/>
      <w:r w:rsidR="007739B8" w:rsidRPr="00E775A6">
        <w:t>hypothesised</w:t>
      </w:r>
      <w:proofErr w:type="spellEnd"/>
      <w:r w:rsidR="007739B8" w:rsidRPr="00E775A6">
        <w:t xml:space="preserve"> that IBs and NIBs would differ in terms of WMC. </w:t>
      </w:r>
      <w:r w:rsidR="00646F64">
        <w:t xml:space="preserve">We will examine the relationship between WMC, absorption, and paranormal belief </w:t>
      </w:r>
      <w:r w:rsidR="00716E58">
        <w:t>in the context of</w:t>
      </w:r>
      <w:r w:rsidR="00646F64">
        <w:t xml:space="preserve"> </w:t>
      </w:r>
      <w:r w:rsidR="007739B8" w:rsidRPr="00E775A6">
        <w:t xml:space="preserve">the </w:t>
      </w:r>
      <w:r w:rsidR="002B4908">
        <w:t>“cognitive deficits hypothesis”</w:t>
      </w:r>
      <w:r w:rsidR="00716E58">
        <w:t xml:space="preserve"> (Irwin, 2009)</w:t>
      </w:r>
      <w:r w:rsidR="007739B8" w:rsidRPr="00E775A6">
        <w:t>, i.e., the notion that at least some aspects of paranormal belief/experience can be explained in terms of cognitive deficits on the part of believers.</w:t>
      </w:r>
    </w:p>
    <w:p w:rsidR="007422D1" w:rsidRPr="00E775A6" w:rsidRDefault="00760CBE" w:rsidP="00E775A6">
      <w:pPr>
        <w:spacing w:line="480" w:lineRule="auto"/>
        <w:jc w:val="center"/>
      </w:pPr>
      <w:r>
        <w:t>Study</w:t>
      </w:r>
      <w:r w:rsidRPr="00E775A6">
        <w:t xml:space="preserve"> </w:t>
      </w:r>
      <w:r w:rsidR="002613DA" w:rsidRPr="00E775A6">
        <w:t>2</w:t>
      </w:r>
    </w:p>
    <w:p w:rsidR="002613DA" w:rsidRPr="00C5733B" w:rsidRDefault="002613DA" w:rsidP="00E775A6">
      <w:pPr>
        <w:spacing w:line="480" w:lineRule="auto"/>
        <w:rPr>
          <w:i/>
        </w:rPr>
      </w:pPr>
      <w:r w:rsidRPr="00C5733B">
        <w:rPr>
          <w:i/>
        </w:rPr>
        <w:t>Method</w:t>
      </w:r>
    </w:p>
    <w:p w:rsidR="002613DA" w:rsidRPr="00E775A6" w:rsidRDefault="002613DA" w:rsidP="00E775A6">
      <w:pPr>
        <w:spacing w:line="480" w:lineRule="auto"/>
      </w:pPr>
      <w:r w:rsidRPr="00E775A6">
        <w:rPr>
          <w:i/>
        </w:rPr>
        <w:t>Participants</w:t>
      </w:r>
    </w:p>
    <w:p w:rsidR="002613DA" w:rsidRDefault="007869F6" w:rsidP="00E775A6">
      <w:pPr>
        <w:spacing w:line="480" w:lineRule="auto"/>
      </w:pPr>
      <w:r>
        <w:t xml:space="preserve">A total </w:t>
      </w:r>
      <w:r w:rsidR="002613DA" w:rsidRPr="00E775A6">
        <w:t xml:space="preserve">70 participants were tested </w:t>
      </w:r>
      <w:r w:rsidR="001A693F">
        <w:t xml:space="preserve">but </w:t>
      </w:r>
      <w:r w:rsidR="002613DA" w:rsidRPr="00E775A6">
        <w:t xml:space="preserve">4 were excluded </w:t>
      </w:r>
      <w:r>
        <w:t>due to</w:t>
      </w:r>
      <w:r w:rsidR="00246DDF" w:rsidRPr="00E775A6">
        <w:t xml:space="preserve"> familiar</w:t>
      </w:r>
      <w:r>
        <w:t>ity</w:t>
      </w:r>
      <w:r w:rsidR="00246DDF" w:rsidRPr="00E775A6">
        <w:t xml:space="preserve"> with IB</w:t>
      </w:r>
      <w:r w:rsidR="00AD58A9">
        <w:t xml:space="preserve"> research</w:t>
      </w:r>
      <w:r>
        <w:t xml:space="preserve">, leaving </w:t>
      </w:r>
      <w:r w:rsidR="002613DA" w:rsidRPr="00E775A6">
        <w:t xml:space="preserve">66 participants (age range 18 to 44; mean age </w:t>
      </w:r>
      <w:r w:rsidR="00246DDF" w:rsidRPr="00E775A6">
        <w:t xml:space="preserve">= 23.02; </w:t>
      </w:r>
      <w:r w:rsidR="002613DA" w:rsidRPr="00E775A6">
        <w:t>31 females</w:t>
      </w:r>
      <w:r w:rsidR="00246DDF" w:rsidRPr="00E775A6">
        <w:t>).</w:t>
      </w:r>
    </w:p>
    <w:p w:rsidR="002613DA" w:rsidRPr="00E775A6" w:rsidRDefault="00246DDF" w:rsidP="00E775A6">
      <w:pPr>
        <w:spacing w:line="480" w:lineRule="auto"/>
      </w:pPr>
      <w:r w:rsidRPr="00E775A6">
        <w:rPr>
          <w:i/>
        </w:rPr>
        <w:t>Stimuli</w:t>
      </w:r>
      <w:r w:rsidR="00E14D5C">
        <w:rPr>
          <w:i/>
        </w:rPr>
        <w:t xml:space="preserve"> &amp; Materials</w:t>
      </w:r>
    </w:p>
    <w:p w:rsidR="002613DA" w:rsidRPr="00E775A6" w:rsidRDefault="000715F7" w:rsidP="00E775A6">
      <w:pPr>
        <w:spacing w:line="480" w:lineRule="auto"/>
      </w:pPr>
      <w:r>
        <w:t>Materials</w:t>
      </w:r>
      <w:r w:rsidR="002613DA" w:rsidRPr="00E775A6">
        <w:t xml:space="preserve"> were identical to those in </w:t>
      </w:r>
      <w:r w:rsidR="003D1DCC">
        <w:t>Study</w:t>
      </w:r>
      <w:r w:rsidR="003D1DCC" w:rsidRPr="00E775A6">
        <w:t xml:space="preserve"> </w:t>
      </w:r>
      <w:r w:rsidR="002613DA" w:rsidRPr="00E775A6">
        <w:t>1 except that (a) the standard 18-item True</w:t>
      </w:r>
      <w:r w:rsidR="00527911">
        <w:t>/don’t know</w:t>
      </w:r>
      <w:r w:rsidR="002613DA" w:rsidRPr="00E775A6">
        <w:t>/False version of the ASGS was administered</w:t>
      </w:r>
      <w:r w:rsidR="00527911">
        <w:t xml:space="preserve"> (True = 2 points; don’t know = 1 point; False = no points)</w:t>
      </w:r>
      <w:r w:rsidR="00F03E0F">
        <w:t xml:space="preserve"> with a theoretical range of scores from zero to 36</w:t>
      </w:r>
      <w:r w:rsidR="002613DA" w:rsidRPr="00E775A6">
        <w:t xml:space="preserve"> and (b) WMC was measured </w:t>
      </w:r>
      <w:r w:rsidR="00F03E0F">
        <w:t>with</w:t>
      </w:r>
      <w:r w:rsidR="002613DA" w:rsidRPr="00E775A6">
        <w:t xml:space="preserve"> the </w:t>
      </w:r>
      <w:r w:rsidR="003D1DCC">
        <w:t xml:space="preserve">widely used </w:t>
      </w:r>
      <w:r w:rsidR="002613DA" w:rsidRPr="00E775A6">
        <w:t xml:space="preserve">Automated Operation Span Task (AOSPAN; </w:t>
      </w:r>
      <w:proofErr w:type="spellStart"/>
      <w:r w:rsidR="002613DA" w:rsidRPr="00E775A6">
        <w:t>Unsworth</w:t>
      </w:r>
      <w:proofErr w:type="spellEnd"/>
      <w:r w:rsidR="002613DA" w:rsidRPr="00E775A6">
        <w:t xml:space="preserve">, </w:t>
      </w:r>
      <w:proofErr w:type="spellStart"/>
      <w:r w:rsidR="002613DA" w:rsidRPr="00E775A6">
        <w:t>Heitz</w:t>
      </w:r>
      <w:proofErr w:type="spellEnd"/>
      <w:r w:rsidR="002613DA" w:rsidRPr="00E775A6">
        <w:t>, Schrock, &amp; Engle, 2005).</w:t>
      </w:r>
    </w:p>
    <w:p w:rsidR="00F03E0F" w:rsidRDefault="002613DA" w:rsidP="00D546A6">
      <w:pPr>
        <w:spacing w:line="480" w:lineRule="auto"/>
        <w:rPr>
          <w:rFonts w:cs="TimesNewRomanPSMT"/>
        </w:rPr>
      </w:pPr>
      <w:r w:rsidRPr="00E775A6">
        <w:rPr>
          <w:i/>
        </w:rPr>
        <w:t>Automat</w:t>
      </w:r>
      <w:r w:rsidR="0064733A">
        <w:rPr>
          <w:i/>
        </w:rPr>
        <w:t>ed Operation Span Task (AOSPAN</w:t>
      </w:r>
      <w:r w:rsidRPr="00E775A6">
        <w:rPr>
          <w:i/>
        </w:rPr>
        <w:t xml:space="preserve">): </w:t>
      </w:r>
      <w:r w:rsidRPr="00E775A6">
        <w:rPr>
          <w:rFonts w:cs="TimesNewRomanPSMT"/>
        </w:rPr>
        <w:t>This task measure</w:t>
      </w:r>
      <w:r w:rsidR="007869F6">
        <w:rPr>
          <w:rFonts w:cs="TimesNewRomanPSMT"/>
        </w:rPr>
        <w:t>s</w:t>
      </w:r>
      <w:r w:rsidRPr="00E775A6">
        <w:rPr>
          <w:rFonts w:cs="TimesNewRomanPSMT"/>
        </w:rPr>
        <w:t xml:space="preserve"> working memory capacity</w:t>
      </w:r>
      <w:r w:rsidR="00246DDF" w:rsidRPr="00E775A6">
        <w:rPr>
          <w:rFonts w:cs="TimesNewRomanPSMT"/>
        </w:rPr>
        <w:t xml:space="preserve"> (WMC)</w:t>
      </w:r>
      <w:r w:rsidRPr="00E775A6">
        <w:rPr>
          <w:rFonts w:cs="TimesNewRomanPSMT"/>
        </w:rPr>
        <w:t xml:space="preserve">. Participants </w:t>
      </w:r>
      <w:r w:rsidR="004A0FA9" w:rsidRPr="00E775A6">
        <w:rPr>
          <w:rFonts w:cs="TimesNewRomanPSMT"/>
        </w:rPr>
        <w:t xml:space="preserve">complete, as quickly as possible, a series of </w:t>
      </w:r>
      <w:r w:rsidR="00113C1A">
        <w:rPr>
          <w:rFonts w:cs="TimesNewRomanPSMT"/>
        </w:rPr>
        <w:t>arithmetic</w:t>
      </w:r>
      <w:r w:rsidR="00113C1A" w:rsidRPr="00E775A6">
        <w:rPr>
          <w:rFonts w:cs="TimesNewRomanPSMT"/>
        </w:rPr>
        <w:t xml:space="preserve"> </w:t>
      </w:r>
      <w:r w:rsidR="004A0FA9" w:rsidRPr="00E775A6">
        <w:rPr>
          <w:rFonts w:cs="TimesNewRomanPSMT"/>
        </w:rPr>
        <w:t>problem</w:t>
      </w:r>
      <w:r w:rsidR="001C2BB4">
        <w:rPr>
          <w:rFonts w:cs="TimesNewRomanPSMT"/>
        </w:rPr>
        <w:t>s</w:t>
      </w:r>
      <w:r w:rsidR="000077B3">
        <w:rPr>
          <w:rFonts w:cs="TimesNewRomanPSMT"/>
        </w:rPr>
        <w:t xml:space="preserve">. </w:t>
      </w:r>
      <w:r w:rsidR="004A0FA9" w:rsidRPr="00E775A6">
        <w:rPr>
          <w:rFonts w:cs="TimesNewRomanPSMT"/>
        </w:rPr>
        <w:t xml:space="preserve">Participants solve </w:t>
      </w:r>
      <w:r w:rsidR="001C2BB4">
        <w:rPr>
          <w:rFonts w:cs="TimesNewRomanPSMT"/>
        </w:rPr>
        <w:t xml:space="preserve">each </w:t>
      </w:r>
      <w:r w:rsidR="004A0FA9" w:rsidRPr="00E775A6">
        <w:rPr>
          <w:rFonts w:cs="TimesNewRomanPSMT"/>
        </w:rPr>
        <w:t>problem and then cl</w:t>
      </w:r>
      <w:r w:rsidR="00D546A6">
        <w:rPr>
          <w:rFonts w:cs="TimesNewRomanPSMT"/>
        </w:rPr>
        <w:t>i</w:t>
      </w:r>
      <w:r w:rsidR="004A0FA9" w:rsidRPr="00E775A6">
        <w:rPr>
          <w:rFonts w:cs="TimesNewRomanPSMT"/>
        </w:rPr>
        <w:t xml:space="preserve">ck the mouse. An answer is presented on the screen and </w:t>
      </w:r>
      <w:r w:rsidR="00D546A6">
        <w:rPr>
          <w:rFonts w:cs="TimesNewRomanPSMT"/>
        </w:rPr>
        <w:t xml:space="preserve">the </w:t>
      </w:r>
      <w:r w:rsidR="00D546A6" w:rsidRPr="00E775A6">
        <w:rPr>
          <w:rFonts w:cs="TimesNewRomanPSMT"/>
        </w:rPr>
        <w:t>participant</w:t>
      </w:r>
      <w:r w:rsidR="004A0FA9" w:rsidRPr="00E775A6">
        <w:rPr>
          <w:rFonts w:cs="TimesNewRomanPSMT"/>
        </w:rPr>
        <w:t xml:space="preserve"> decide</w:t>
      </w:r>
      <w:r w:rsidR="00D546A6">
        <w:rPr>
          <w:rFonts w:cs="TimesNewRomanPSMT"/>
        </w:rPr>
        <w:t>s</w:t>
      </w:r>
      <w:r w:rsidR="004A0FA9" w:rsidRPr="00E775A6">
        <w:rPr>
          <w:rFonts w:cs="TimesNewRomanPSMT"/>
        </w:rPr>
        <w:t xml:space="preserve"> if the solution is true or false by clicking the appropriate box. Each problem is</w:t>
      </w:r>
      <w:r w:rsidRPr="00E775A6">
        <w:rPr>
          <w:rFonts w:cs="TimesNewRomanPSMT"/>
        </w:rPr>
        <w:t xml:space="preserve"> followed by a letter that </w:t>
      </w:r>
      <w:r w:rsidR="00114492">
        <w:rPr>
          <w:rFonts w:cs="TimesNewRomanPSMT"/>
        </w:rPr>
        <w:t>is</w:t>
      </w:r>
      <w:r w:rsidRPr="00E775A6">
        <w:rPr>
          <w:rFonts w:cs="TimesNewRomanPSMT"/>
        </w:rPr>
        <w:t xml:space="preserve"> recalled at a later stage. </w:t>
      </w:r>
      <w:r w:rsidR="004A0FA9" w:rsidRPr="00E775A6">
        <w:rPr>
          <w:rFonts w:cs="TimesNewRomanPSMT"/>
        </w:rPr>
        <w:t>At the end of each trial (comprising between 3 and 7 problems), a</w:t>
      </w:r>
      <w:r w:rsidRPr="00E775A6">
        <w:rPr>
          <w:rFonts w:cs="TimesNewRomanPSMT"/>
        </w:rPr>
        <w:t xml:space="preserve"> 4 x 3 matrix of letters (F, H, J, K, L, N, P, Q, R, S, T, Y)</w:t>
      </w:r>
      <w:r w:rsidR="004A0FA9" w:rsidRPr="00E775A6">
        <w:rPr>
          <w:rFonts w:cs="TimesNewRomanPSMT"/>
        </w:rPr>
        <w:t xml:space="preserve"> is presented and p</w:t>
      </w:r>
      <w:r w:rsidRPr="00E775A6">
        <w:rPr>
          <w:rFonts w:cs="TimesNewRomanPSMT"/>
        </w:rPr>
        <w:t xml:space="preserve">articipants click a box next to the appropriate letter in the exact order that the letters had appeared. Accuracy feedback </w:t>
      </w:r>
      <w:r w:rsidR="00D546A6">
        <w:rPr>
          <w:rFonts w:cs="TimesNewRomanPSMT"/>
        </w:rPr>
        <w:t>i</w:t>
      </w:r>
      <w:r w:rsidRPr="00E775A6">
        <w:rPr>
          <w:rFonts w:cs="TimesNewRomanPSMT"/>
        </w:rPr>
        <w:t>s given.</w:t>
      </w:r>
      <w:r w:rsidR="004A0FA9" w:rsidRPr="00E775A6">
        <w:rPr>
          <w:rFonts w:cs="TimesNewRomanPSMT"/>
        </w:rPr>
        <w:t xml:space="preserve"> There are three practice blocks </w:t>
      </w:r>
      <w:r w:rsidR="00DA30E7">
        <w:rPr>
          <w:rFonts w:cs="TimesNewRomanPSMT"/>
        </w:rPr>
        <w:t xml:space="preserve">to </w:t>
      </w:r>
      <w:r w:rsidR="00D546A6">
        <w:rPr>
          <w:rFonts w:cs="TimesNewRomanPSMT"/>
        </w:rPr>
        <w:t>train the</w:t>
      </w:r>
      <w:r w:rsidR="004A0FA9" w:rsidRPr="00E775A6">
        <w:rPr>
          <w:rFonts w:cs="TimesNewRomanPSMT"/>
        </w:rPr>
        <w:t xml:space="preserve"> participant </w:t>
      </w:r>
      <w:r w:rsidR="00DA30E7">
        <w:rPr>
          <w:rFonts w:cs="TimesNewRomanPSMT"/>
        </w:rPr>
        <w:t>and to</w:t>
      </w:r>
      <w:r w:rsidR="004A0FA9" w:rsidRPr="00E775A6">
        <w:rPr>
          <w:rFonts w:cs="TimesNewRomanPSMT"/>
        </w:rPr>
        <w:t xml:space="preserve"> calculate </w:t>
      </w:r>
      <w:r w:rsidRPr="00E775A6">
        <w:rPr>
          <w:rFonts w:cs="TimesNewRomanPSMT"/>
        </w:rPr>
        <w:t>average solution time</w:t>
      </w:r>
      <w:r w:rsidR="00D546A6">
        <w:rPr>
          <w:rFonts w:cs="TimesNewRomanPSMT"/>
        </w:rPr>
        <w:t xml:space="preserve"> for the </w:t>
      </w:r>
      <w:r w:rsidR="00113C1A">
        <w:rPr>
          <w:rFonts w:cs="TimesNewRomanPSMT"/>
        </w:rPr>
        <w:t>arithmetic</w:t>
      </w:r>
      <w:r w:rsidR="00113C1A" w:rsidRPr="00E775A6">
        <w:rPr>
          <w:rFonts w:cs="TimesNewRomanPSMT"/>
        </w:rPr>
        <w:t xml:space="preserve"> </w:t>
      </w:r>
      <w:r w:rsidR="00D546A6">
        <w:rPr>
          <w:rFonts w:cs="TimesNewRomanPSMT"/>
        </w:rPr>
        <w:t>problems</w:t>
      </w:r>
      <w:r w:rsidRPr="00E775A6">
        <w:rPr>
          <w:rFonts w:cs="TimesNewRomanPSMT"/>
        </w:rPr>
        <w:t xml:space="preserve">. This average time (plus 2.5 SD) </w:t>
      </w:r>
      <w:r w:rsidR="00F10EE0" w:rsidRPr="00E775A6">
        <w:rPr>
          <w:rFonts w:cs="TimesNewRomanPSMT"/>
        </w:rPr>
        <w:t>is then used as the</w:t>
      </w:r>
      <w:r w:rsidRPr="00E775A6">
        <w:rPr>
          <w:rFonts w:cs="TimesNewRomanPSMT"/>
        </w:rPr>
        <w:t xml:space="preserve"> time limit for the </w:t>
      </w:r>
      <w:r w:rsidR="00113C1A">
        <w:rPr>
          <w:rFonts w:cs="TimesNewRomanPSMT"/>
        </w:rPr>
        <w:t>arithmetic</w:t>
      </w:r>
      <w:r w:rsidRPr="00E775A6">
        <w:rPr>
          <w:rFonts w:cs="TimesNewRomanPSMT"/>
        </w:rPr>
        <w:t xml:space="preserve"> portion of the task.</w:t>
      </w:r>
    </w:p>
    <w:p w:rsidR="006B6845" w:rsidRDefault="00F03E0F" w:rsidP="00D546A6">
      <w:pPr>
        <w:spacing w:line="480" w:lineRule="auto"/>
        <w:rPr>
          <w:rFonts w:cs="TimesNewRomanPSMT"/>
        </w:rPr>
      </w:pPr>
      <w:r>
        <w:rPr>
          <w:rFonts w:cs="TimesNewRomanPSMT"/>
        </w:rPr>
        <w:tab/>
      </w:r>
      <w:r w:rsidR="00E74B94">
        <w:rPr>
          <w:rFonts w:cs="TimesNewRomanPSMT"/>
        </w:rPr>
        <w:t>The test phase of the AOSPAN comprised set size</w:t>
      </w:r>
      <w:r>
        <w:rPr>
          <w:rFonts w:cs="TimesNewRomanPSMT"/>
        </w:rPr>
        <w:t>s</w:t>
      </w:r>
      <w:r w:rsidR="00E74B94">
        <w:rPr>
          <w:rFonts w:cs="TimesNewRomanPSMT"/>
        </w:rPr>
        <w:t xml:space="preserve"> of 3,</w:t>
      </w:r>
      <w:r w:rsidR="003D1DCC">
        <w:rPr>
          <w:rFonts w:cs="TimesNewRomanPSMT"/>
        </w:rPr>
        <w:t xml:space="preserve"> </w:t>
      </w:r>
      <w:r w:rsidR="00E74B94">
        <w:rPr>
          <w:rFonts w:cs="TimesNewRomanPSMT"/>
        </w:rPr>
        <w:t>4,</w:t>
      </w:r>
      <w:r w:rsidR="003D1DCC">
        <w:rPr>
          <w:rFonts w:cs="TimesNewRomanPSMT"/>
        </w:rPr>
        <w:t xml:space="preserve"> </w:t>
      </w:r>
      <w:r w:rsidR="00E74B94">
        <w:rPr>
          <w:rFonts w:cs="TimesNewRomanPSMT"/>
        </w:rPr>
        <w:t>5,</w:t>
      </w:r>
      <w:r w:rsidR="003D1DCC">
        <w:rPr>
          <w:rFonts w:cs="TimesNewRomanPSMT"/>
        </w:rPr>
        <w:t xml:space="preserve"> </w:t>
      </w:r>
      <w:r w:rsidR="00E74B94">
        <w:rPr>
          <w:rFonts w:cs="TimesNewRomanPSMT"/>
        </w:rPr>
        <w:t>6 and 7 items</w:t>
      </w:r>
      <w:r w:rsidR="00716E58">
        <w:rPr>
          <w:rFonts w:cs="TimesNewRomanPSMT"/>
        </w:rPr>
        <w:t xml:space="preserve">, </w:t>
      </w:r>
      <w:r w:rsidR="00E74B94">
        <w:rPr>
          <w:rFonts w:cs="TimesNewRomanPSMT"/>
        </w:rPr>
        <w:t xml:space="preserve">each of which were presented 3 times. This gave a total of </w:t>
      </w:r>
      <w:r w:rsidR="002613DA" w:rsidRPr="00E775A6">
        <w:rPr>
          <w:rFonts w:cs="TimesNewRomanPSMT"/>
        </w:rPr>
        <w:t xml:space="preserve">75 </w:t>
      </w:r>
      <w:r w:rsidR="00B552E0">
        <w:rPr>
          <w:rFonts w:cs="TimesNewRomanPSMT"/>
        </w:rPr>
        <w:t>trials with scores</w:t>
      </w:r>
      <w:r w:rsidR="00F10EE0" w:rsidRPr="00E775A6">
        <w:rPr>
          <w:rFonts w:cs="TimesNewRomanPSMT"/>
        </w:rPr>
        <w:t xml:space="preserve"> </w:t>
      </w:r>
      <w:r>
        <w:rPr>
          <w:rFonts w:cs="TimesNewRomanPSMT"/>
        </w:rPr>
        <w:t xml:space="preserve">therefore </w:t>
      </w:r>
      <w:r w:rsidR="002613DA" w:rsidRPr="00E775A6">
        <w:rPr>
          <w:rFonts w:cs="TimesNewRomanPSMT"/>
        </w:rPr>
        <w:t>rang</w:t>
      </w:r>
      <w:r w:rsidR="00B552E0">
        <w:rPr>
          <w:rFonts w:cs="TimesNewRomanPSMT"/>
        </w:rPr>
        <w:t>ing</w:t>
      </w:r>
      <w:r w:rsidR="002613DA" w:rsidRPr="00E775A6">
        <w:rPr>
          <w:rFonts w:cs="TimesNewRomanPSMT"/>
        </w:rPr>
        <w:t xml:space="preserve"> </w:t>
      </w:r>
      <w:r w:rsidR="00B552E0">
        <w:rPr>
          <w:rFonts w:cs="TimesNewRomanPSMT"/>
        </w:rPr>
        <w:t>from</w:t>
      </w:r>
      <w:r w:rsidR="00B552E0" w:rsidRPr="00E775A6">
        <w:rPr>
          <w:rFonts w:cs="TimesNewRomanPSMT"/>
        </w:rPr>
        <w:t xml:space="preserve"> </w:t>
      </w:r>
      <w:r w:rsidR="002613DA" w:rsidRPr="00E775A6">
        <w:rPr>
          <w:rFonts w:cs="TimesNewRomanPSMT"/>
        </w:rPr>
        <w:t xml:space="preserve">0 </w:t>
      </w:r>
      <w:r w:rsidR="00B552E0">
        <w:rPr>
          <w:rFonts w:cs="TimesNewRomanPSMT"/>
        </w:rPr>
        <w:t xml:space="preserve">to </w:t>
      </w:r>
      <w:r w:rsidR="002613DA" w:rsidRPr="00E775A6">
        <w:rPr>
          <w:rFonts w:cs="TimesNewRomanPSMT"/>
        </w:rPr>
        <w:t xml:space="preserve">75. </w:t>
      </w:r>
      <w:r w:rsidR="00874116">
        <w:rPr>
          <w:rFonts w:cs="TimesNewRomanPSMT"/>
        </w:rPr>
        <w:t>The absolute AOSPAN score is calculated by adding the number</w:t>
      </w:r>
      <w:r w:rsidR="003D1DCC">
        <w:rPr>
          <w:rFonts w:cs="TimesNewRomanPSMT"/>
        </w:rPr>
        <w:t xml:space="preserve"> of</w:t>
      </w:r>
      <w:r w:rsidR="00874116">
        <w:rPr>
          <w:rFonts w:cs="TimesNewRomanPSMT"/>
        </w:rPr>
        <w:t xml:space="preserve"> items that were reported in the correct order</w:t>
      </w:r>
      <w:r w:rsidR="00AE0B4B">
        <w:rPr>
          <w:rFonts w:cs="TimesNewRomanPSMT"/>
        </w:rPr>
        <w:t xml:space="preserve"> whereas the total score would be how many items were correctly reported without regard to their serial position</w:t>
      </w:r>
      <w:r w:rsidR="00874116">
        <w:rPr>
          <w:rFonts w:cs="TimesNewRomanPSMT"/>
        </w:rPr>
        <w:t xml:space="preserve"> (e.g., if someone </w:t>
      </w:r>
      <w:r w:rsidR="00AE0B4B">
        <w:rPr>
          <w:rFonts w:cs="TimesNewRomanPSMT"/>
        </w:rPr>
        <w:t>correctly recorded all items in the correct position for all sets except the 3 sets with 7 items, then their score would be 54</w:t>
      </w:r>
      <w:r w:rsidR="00817C8C">
        <w:rPr>
          <w:rFonts w:cs="TimesNewRomanPSMT"/>
        </w:rPr>
        <w:t>; i</w:t>
      </w:r>
      <w:r w:rsidR="00AE0B4B">
        <w:rPr>
          <w:rFonts w:cs="TimesNewRomanPSMT"/>
        </w:rPr>
        <w:t>f the 7</w:t>
      </w:r>
      <w:r w:rsidR="00817C8C">
        <w:rPr>
          <w:rFonts w:cs="TimesNewRomanPSMT"/>
        </w:rPr>
        <w:t>-</w:t>
      </w:r>
      <w:r w:rsidR="00AE0B4B">
        <w:rPr>
          <w:rFonts w:cs="TimesNewRomanPSMT"/>
        </w:rPr>
        <w:t xml:space="preserve">item sets had been recalled correctly but in the wrong order, then the total score would be 75). </w:t>
      </w:r>
      <w:r w:rsidR="001A5268">
        <w:rPr>
          <w:rFonts w:cs="TimesNewRomanPSMT"/>
        </w:rPr>
        <w:t>This test has been shown to have good test re-test reliability and internal validity (</w:t>
      </w:r>
      <w:r w:rsidR="006B6845">
        <w:rPr>
          <w:rFonts w:cs="TimesNewRomanPSMT"/>
        </w:rPr>
        <w:t>alphas</w:t>
      </w:r>
      <w:r w:rsidR="001A5268">
        <w:rPr>
          <w:rFonts w:cs="TimesNewRomanPSMT"/>
        </w:rPr>
        <w:t xml:space="preserve"> = </w:t>
      </w:r>
      <w:r w:rsidR="006B6845">
        <w:rPr>
          <w:rFonts w:cs="TimesNewRomanPSMT"/>
        </w:rPr>
        <w:t>0</w:t>
      </w:r>
      <w:r w:rsidR="001A5268">
        <w:rPr>
          <w:rFonts w:cs="TimesNewRomanPSMT"/>
        </w:rPr>
        <w:t>.83</w:t>
      </w:r>
      <w:r w:rsidR="006B6845">
        <w:rPr>
          <w:rFonts w:cs="TimesNewRomanPSMT"/>
        </w:rPr>
        <w:t xml:space="preserve"> and 0.78, respectively; </w:t>
      </w:r>
      <w:proofErr w:type="spellStart"/>
      <w:r w:rsidR="006B6845" w:rsidRPr="00E775A6">
        <w:t>Unsworth</w:t>
      </w:r>
      <w:proofErr w:type="spellEnd"/>
      <w:r w:rsidR="006B6845" w:rsidRPr="00E775A6">
        <w:t xml:space="preserve">, </w:t>
      </w:r>
      <w:proofErr w:type="spellStart"/>
      <w:r w:rsidR="006B6845" w:rsidRPr="00E775A6">
        <w:t>Heitz</w:t>
      </w:r>
      <w:proofErr w:type="spellEnd"/>
      <w:r w:rsidR="006B6845" w:rsidRPr="00E775A6">
        <w:t>, Schrock, &amp; Engle, 2005</w:t>
      </w:r>
      <w:r w:rsidR="006B6845">
        <w:t>).</w:t>
      </w:r>
    </w:p>
    <w:p w:rsidR="002613DA" w:rsidRPr="00E775A6" w:rsidRDefault="002613DA" w:rsidP="00E775A6">
      <w:pPr>
        <w:spacing w:line="480" w:lineRule="auto"/>
      </w:pPr>
      <w:r w:rsidRPr="00E775A6">
        <w:rPr>
          <w:i/>
        </w:rPr>
        <w:t>Procedure</w:t>
      </w:r>
    </w:p>
    <w:p w:rsidR="002613DA" w:rsidRPr="00E775A6" w:rsidRDefault="002613DA" w:rsidP="00E775A6">
      <w:pPr>
        <w:spacing w:line="480" w:lineRule="auto"/>
      </w:pPr>
      <w:r w:rsidRPr="00E775A6">
        <w:t xml:space="preserve">The procedure for </w:t>
      </w:r>
      <w:r w:rsidR="003D1DCC">
        <w:t>Study</w:t>
      </w:r>
      <w:r w:rsidR="003D1DCC" w:rsidRPr="00E775A6">
        <w:t xml:space="preserve"> </w:t>
      </w:r>
      <w:r w:rsidRPr="00E775A6">
        <w:t xml:space="preserve">2 was identical to that for </w:t>
      </w:r>
      <w:r w:rsidR="003D1DCC">
        <w:t>Study</w:t>
      </w:r>
      <w:r w:rsidR="003D1DCC" w:rsidRPr="00E775A6">
        <w:t xml:space="preserve"> </w:t>
      </w:r>
      <w:r w:rsidRPr="00E775A6">
        <w:t xml:space="preserve">1 </w:t>
      </w:r>
      <w:r w:rsidR="00481E59">
        <w:t>except that</w:t>
      </w:r>
      <w:r w:rsidRPr="00E775A6">
        <w:t xml:space="preserve"> participants </w:t>
      </w:r>
      <w:r w:rsidR="001F7DD6">
        <w:t xml:space="preserve">additionally </w:t>
      </w:r>
      <w:r w:rsidRPr="00E775A6">
        <w:t>performed the AOSPAN task after completing the TAS and the</w:t>
      </w:r>
      <w:r w:rsidR="00E14D5C">
        <w:t>n</w:t>
      </w:r>
      <w:r w:rsidRPr="00E775A6">
        <w:t xml:space="preserve"> </w:t>
      </w:r>
      <w:r w:rsidR="000077B3">
        <w:t xml:space="preserve">completed the standard </w:t>
      </w:r>
      <w:r w:rsidRPr="00E775A6">
        <w:t xml:space="preserve">ASGS before performing the IB task. </w:t>
      </w:r>
    </w:p>
    <w:p w:rsidR="002613DA" w:rsidRPr="00751B95" w:rsidRDefault="002613DA" w:rsidP="00751B95">
      <w:pPr>
        <w:spacing w:line="480" w:lineRule="auto"/>
        <w:jc w:val="center"/>
      </w:pPr>
      <w:r w:rsidRPr="00751B95">
        <w:t>Results</w:t>
      </w:r>
    </w:p>
    <w:p w:rsidR="002613DA" w:rsidRPr="00E775A6" w:rsidRDefault="002613DA" w:rsidP="00E775A6">
      <w:pPr>
        <w:spacing w:line="480" w:lineRule="auto"/>
      </w:pPr>
      <w:r w:rsidRPr="00E775A6">
        <w:t>Of the 66 participants, 32 (48%) were IB</w:t>
      </w:r>
      <w:r w:rsidR="00246DDF" w:rsidRPr="00E775A6">
        <w:t xml:space="preserve"> to the red stimulus and the</w:t>
      </w:r>
      <w:r w:rsidRPr="00E775A6">
        <w:t xml:space="preserve"> remaining participants </w:t>
      </w:r>
      <w:r w:rsidR="007869F6">
        <w:t xml:space="preserve">were </w:t>
      </w:r>
      <w:r w:rsidRPr="00E775A6">
        <w:t xml:space="preserve">NIB. All participants </w:t>
      </w:r>
      <w:r w:rsidR="000077B3">
        <w:t>correctly (</w:t>
      </w:r>
      <w:r w:rsidR="000077B3" w:rsidRPr="00E775A6">
        <w:t>plus or minus 2)</w:t>
      </w:r>
      <w:r w:rsidR="000077B3">
        <w:t xml:space="preserve"> reported the number of target hits in the </w:t>
      </w:r>
      <w:r w:rsidRPr="00E775A6">
        <w:t xml:space="preserve">primary task. </w:t>
      </w:r>
    </w:p>
    <w:p w:rsidR="003E1663" w:rsidRDefault="00AD58A9" w:rsidP="00E775A6">
      <w:pPr>
        <w:spacing w:line="480" w:lineRule="auto"/>
      </w:pPr>
      <w:r>
        <w:tab/>
      </w:r>
      <w:r w:rsidR="00412178" w:rsidRPr="00E775A6">
        <w:t xml:space="preserve">Consistent with </w:t>
      </w:r>
      <w:r w:rsidR="003D1DCC">
        <w:t>Study</w:t>
      </w:r>
      <w:r w:rsidR="003D1DCC" w:rsidRPr="00E775A6">
        <w:t xml:space="preserve"> </w:t>
      </w:r>
      <w:r w:rsidR="00412178" w:rsidRPr="00E775A6">
        <w:t>1, IBs had higher absorption</w:t>
      </w:r>
      <w:r w:rsidR="003D1DCC">
        <w:t xml:space="preserve"> </w:t>
      </w:r>
      <w:r w:rsidR="00A207BE">
        <w:t xml:space="preserve">and </w:t>
      </w:r>
      <w:r w:rsidR="00412178" w:rsidRPr="00E775A6">
        <w:t xml:space="preserve">higher </w:t>
      </w:r>
      <w:r w:rsidR="002613DA" w:rsidRPr="00E775A6">
        <w:t>ASGS</w:t>
      </w:r>
      <w:r w:rsidR="003D1DCC">
        <w:t xml:space="preserve"> scores</w:t>
      </w:r>
      <w:r w:rsidR="002613DA" w:rsidRPr="00E775A6">
        <w:t xml:space="preserve"> </w:t>
      </w:r>
      <w:r w:rsidR="00B31CCB">
        <w:t>than the N</w:t>
      </w:r>
      <w:r w:rsidR="00A207BE">
        <w:t>IBs. However, they had</w:t>
      </w:r>
      <w:r w:rsidR="00E633DC">
        <w:t xml:space="preserve"> </w:t>
      </w:r>
      <w:r w:rsidR="004816B4" w:rsidRPr="00E775A6">
        <w:t>lower</w:t>
      </w:r>
      <w:r w:rsidR="002613DA" w:rsidRPr="00E775A6">
        <w:t xml:space="preserve"> AOSPAN </w:t>
      </w:r>
      <w:r w:rsidR="00A207BE">
        <w:t>(see Table 3)</w:t>
      </w:r>
      <w:r w:rsidR="002613DA" w:rsidRPr="00E775A6">
        <w:t xml:space="preserve">. </w:t>
      </w:r>
    </w:p>
    <w:p w:rsidR="003E1663" w:rsidRDefault="003E1663" w:rsidP="00E775A6">
      <w:pPr>
        <w:spacing w:line="480" w:lineRule="auto"/>
      </w:pPr>
    </w:p>
    <w:p w:rsidR="003E1663" w:rsidRDefault="003E1663" w:rsidP="00E775A6">
      <w:pPr>
        <w:spacing w:line="480" w:lineRule="auto"/>
      </w:pPr>
    </w:p>
    <w:tbl>
      <w:tblPr>
        <w:tblStyle w:val="LightShading"/>
        <w:tblW w:w="8430" w:type="dxa"/>
        <w:tblLook w:val="06A0"/>
      </w:tblPr>
      <w:tblGrid>
        <w:gridCol w:w="1656"/>
        <w:gridCol w:w="1870"/>
        <w:gridCol w:w="2252"/>
        <w:gridCol w:w="1320"/>
        <w:gridCol w:w="1332"/>
      </w:tblGrid>
      <w:tr w:rsidR="003E1663" w:rsidRPr="009B4AC3" w:rsidTr="00EB30DF">
        <w:trPr>
          <w:cnfStyle w:val="100000000000"/>
        </w:trPr>
        <w:tc>
          <w:tcPr>
            <w:cnfStyle w:val="001000000000"/>
            <w:tcW w:w="1656" w:type="dxa"/>
          </w:tcPr>
          <w:p w:rsidR="003E1663" w:rsidRDefault="003E1663" w:rsidP="00EB30DF"/>
        </w:tc>
        <w:tc>
          <w:tcPr>
            <w:tcW w:w="1870" w:type="dxa"/>
          </w:tcPr>
          <w:p w:rsidR="003E1663" w:rsidRPr="00E9342D" w:rsidRDefault="003E1663" w:rsidP="00EB30DF">
            <w:pPr>
              <w:jc w:val="center"/>
              <w:cnfStyle w:val="100000000000"/>
            </w:pPr>
            <w:proofErr w:type="spellStart"/>
            <w:r w:rsidRPr="00E9342D">
              <w:t>Inattentionally</w:t>
            </w:r>
            <w:proofErr w:type="spellEnd"/>
            <w:r w:rsidRPr="00E9342D">
              <w:t xml:space="preserve"> Blind</w:t>
            </w:r>
          </w:p>
          <w:p w:rsidR="003E1663" w:rsidRPr="00E9342D" w:rsidRDefault="003E1663" w:rsidP="00EB30DF">
            <w:pPr>
              <w:jc w:val="center"/>
              <w:cnfStyle w:val="100000000000"/>
            </w:pPr>
            <w:r w:rsidRPr="00E9342D">
              <w:t>N = 32</w:t>
            </w:r>
          </w:p>
          <w:p w:rsidR="003E1663" w:rsidRPr="00E9342D" w:rsidRDefault="003E1663" w:rsidP="00EB30DF">
            <w:pPr>
              <w:jc w:val="center"/>
              <w:cnfStyle w:val="100000000000"/>
            </w:pPr>
            <w:r w:rsidRPr="00E9342D">
              <w:t>(14 males)</w:t>
            </w:r>
          </w:p>
        </w:tc>
        <w:tc>
          <w:tcPr>
            <w:tcW w:w="2252" w:type="dxa"/>
          </w:tcPr>
          <w:p w:rsidR="003E1663" w:rsidRPr="00E9342D" w:rsidRDefault="003E1663" w:rsidP="00EB30DF">
            <w:pPr>
              <w:jc w:val="center"/>
              <w:cnfStyle w:val="100000000000"/>
            </w:pPr>
            <w:r w:rsidRPr="00E9342D">
              <w:t xml:space="preserve">Not </w:t>
            </w:r>
            <w:proofErr w:type="spellStart"/>
            <w:r w:rsidRPr="00E9342D">
              <w:t>Inattentionally</w:t>
            </w:r>
            <w:proofErr w:type="spellEnd"/>
            <w:r w:rsidRPr="00E9342D">
              <w:t xml:space="preserve"> Blind</w:t>
            </w:r>
          </w:p>
          <w:p w:rsidR="003E1663" w:rsidRPr="00E9342D" w:rsidRDefault="003E1663" w:rsidP="00EB30DF">
            <w:pPr>
              <w:jc w:val="center"/>
              <w:cnfStyle w:val="100000000000"/>
            </w:pPr>
            <w:r w:rsidRPr="00E9342D">
              <w:t>N = 34</w:t>
            </w:r>
          </w:p>
          <w:p w:rsidR="003E1663" w:rsidRPr="00E9342D" w:rsidRDefault="003E1663" w:rsidP="00EB30DF">
            <w:pPr>
              <w:jc w:val="center"/>
              <w:cnfStyle w:val="100000000000"/>
            </w:pPr>
            <w:r w:rsidRPr="00E9342D">
              <w:t>(21 males)</w:t>
            </w:r>
          </w:p>
        </w:tc>
        <w:tc>
          <w:tcPr>
            <w:tcW w:w="1320" w:type="dxa"/>
          </w:tcPr>
          <w:p w:rsidR="003E1663" w:rsidRPr="00E9342D" w:rsidRDefault="003E1663" w:rsidP="00EB30DF">
            <w:pPr>
              <w:jc w:val="center"/>
              <w:cnfStyle w:val="100000000000"/>
            </w:pPr>
            <w:r w:rsidRPr="00E9342D">
              <w:rPr>
                <w:i/>
              </w:rPr>
              <w:t>t</w:t>
            </w:r>
            <w:r w:rsidRPr="00E9342D">
              <w:t>(64)</w:t>
            </w:r>
          </w:p>
        </w:tc>
        <w:tc>
          <w:tcPr>
            <w:tcW w:w="1332" w:type="dxa"/>
          </w:tcPr>
          <w:p w:rsidR="003E1663" w:rsidRPr="00E9342D" w:rsidRDefault="003E1663" w:rsidP="00EB30DF">
            <w:pPr>
              <w:jc w:val="center"/>
              <w:cnfStyle w:val="100000000000"/>
            </w:pPr>
            <w:r w:rsidRPr="00E9342D">
              <w:t>CI</w:t>
            </w:r>
            <w:r w:rsidRPr="00E9342D">
              <w:rPr>
                <w:vertAlign w:val="subscript"/>
              </w:rPr>
              <w:t xml:space="preserve">95 </w:t>
            </w:r>
            <w:r w:rsidRPr="00E9342D">
              <w:t xml:space="preserve">(Cohen </w:t>
            </w:r>
            <w:r w:rsidRPr="00E9342D">
              <w:rPr>
                <w:i/>
              </w:rPr>
              <w:t>d)</w:t>
            </w:r>
          </w:p>
        </w:tc>
      </w:tr>
      <w:tr w:rsidR="003E1663" w:rsidTr="00EB30DF">
        <w:tc>
          <w:tcPr>
            <w:cnfStyle w:val="001000000000"/>
            <w:tcW w:w="1656" w:type="dxa"/>
          </w:tcPr>
          <w:p w:rsidR="003E1663" w:rsidRPr="00E9342D" w:rsidRDefault="003E1663" w:rsidP="00EB30DF">
            <w:r w:rsidRPr="00E9342D">
              <w:t>Age</w:t>
            </w:r>
          </w:p>
        </w:tc>
        <w:tc>
          <w:tcPr>
            <w:tcW w:w="1870" w:type="dxa"/>
          </w:tcPr>
          <w:p w:rsidR="003E1663" w:rsidRDefault="003E1663" w:rsidP="00EB30DF">
            <w:pPr>
              <w:jc w:val="center"/>
              <w:cnfStyle w:val="000000000000"/>
            </w:pPr>
            <w:r>
              <w:t>22.63</w:t>
            </w:r>
          </w:p>
          <w:p w:rsidR="003E1663" w:rsidRDefault="003E1663" w:rsidP="00EB30DF">
            <w:pPr>
              <w:jc w:val="center"/>
              <w:cnfStyle w:val="000000000000"/>
            </w:pPr>
            <w:r>
              <w:t>(4.67)</w:t>
            </w:r>
          </w:p>
        </w:tc>
        <w:tc>
          <w:tcPr>
            <w:tcW w:w="2252" w:type="dxa"/>
          </w:tcPr>
          <w:p w:rsidR="003E1663" w:rsidRDefault="003E1663" w:rsidP="00EB30DF">
            <w:pPr>
              <w:jc w:val="center"/>
              <w:cnfStyle w:val="000000000000"/>
            </w:pPr>
            <w:r>
              <w:t>23.38</w:t>
            </w:r>
          </w:p>
          <w:p w:rsidR="003E1663" w:rsidRDefault="003E1663" w:rsidP="00EB30DF">
            <w:pPr>
              <w:jc w:val="center"/>
              <w:cnfStyle w:val="000000000000"/>
            </w:pPr>
            <w:r>
              <w:t>(5.04)</w:t>
            </w:r>
          </w:p>
          <w:p w:rsidR="003E1663" w:rsidRDefault="003E1663" w:rsidP="00EB30DF">
            <w:pPr>
              <w:jc w:val="center"/>
              <w:cnfStyle w:val="000000000000"/>
            </w:pPr>
          </w:p>
        </w:tc>
        <w:tc>
          <w:tcPr>
            <w:tcW w:w="1320" w:type="dxa"/>
          </w:tcPr>
          <w:p w:rsidR="003E1663" w:rsidRDefault="003E1663" w:rsidP="00EB30DF">
            <w:pPr>
              <w:jc w:val="center"/>
              <w:cnfStyle w:val="000000000000"/>
            </w:pPr>
            <w:r>
              <w:t>0.63</w:t>
            </w:r>
          </w:p>
        </w:tc>
        <w:tc>
          <w:tcPr>
            <w:tcW w:w="1332" w:type="dxa"/>
          </w:tcPr>
          <w:p w:rsidR="003E1663" w:rsidRDefault="003E1663" w:rsidP="00EB30DF">
            <w:pPr>
              <w:jc w:val="center"/>
              <w:cnfStyle w:val="000000000000"/>
            </w:pPr>
          </w:p>
        </w:tc>
      </w:tr>
      <w:tr w:rsidR="003E1663" w:rsidTr="00EB30DF">
        <w:tc>
          <w:tcPr>
            <w:cnfStyle w:val="001000000000"/>
            <w:tcW w:w="1656" w:type="dxa"/>
          </w:tcPr>
          <w:p w:rsidR="003E1663" w:rsidRPr="00E9342D" w:rsidRDefault="003E1663" w:rsidP="00EB30DF">
            <w:r w:rsidRPr="00E9342D">
              <w:t>AOSPAN</w:t>
            </w:r>
          </w:p>
          <w:p w:rsidR="003E1663" w:rsidRPr="00E9342D" w:rsidRDefault="003E1663" w:rsidP="00EB30DF">
            <w:r w:rsidRPr="00E9342D">
              <w:t>(Working Memory)</w:t>
            </w:r>
          </w:p>
          <w:p w:rsidR="003E1663" w:rsidRPr="00E9342D" w:rsidRDefault="003E1663" w:rsidP="00EB30DF"/>
        </w:tc>
        <w:tc>
          <w:tcPr>
            <w:tcW w:w="1870" w:type="dxa"/>
          </w:tcPr>
          <w:p w:rsidR="003E1663" w:rsidRDefault="003E1663" w:rsidP="00EB30DF">
            <w:pPr>
              <w:jc w:val="center"/>
              <w:cnfStyle w:val="000000000000"/>
            </w:pPr>
            <w:r>
              <w:t>39.50</w:t>
            </w:r>
          </w:p>
          <w:p w:rsidR="003E1663" w:rsidRDefault="003E1663" w:rsidP="00EB30DF">
            <w:pPr>
              <w:jc w:val="center"/>
              <w:cnfStyle w:val="000000000000"/>
            </w:pPr>
            <w:r>
              <w:t>(10.39)</w:t>
            </w:r>
          </w:p>
        </w:tc>
        <w:tc>
          <w:tcPr>
            <w:tcW w:w="2252" w:type="dxa"/>
          </w:tcPr>
          <w:p w:rsidR="003E1663" w:rsidRDefault="003E1663" w:rsidP="00EB30DF">
            <w:pPr>
              <w:jc w:val="center"/>
              <w:cnfStyle w:val="000000000000"/>
            </w:pPr>
            <w:r>
              <w:t>52.03</w:t>
            </w:r>
          </w:p>
          <w:p w:rsidR="003E1663" w:rsidRDefault="003E1663" w:rsidP="00EB30DF">
            <w:pPr>
              <w:jc w:val="center"/>
              <w:cnfStyle w:val="000000000000"/>
            </w:pPr>
            <w:r>
              <w:t>(11.67)</w:t>
            </w:r>
          </w:p>
        </w:tc>
        <w:tc>
          <w:tcPr>
            <w:tcW w:w="1320" w:type="dxa"/>
          </w:tcPr>
          <w:p w:rsidR="003E1663" w:rsidRDefault="003E1663" w:rsidP="00EB30DF">
            <w:pPr>
              <w:jc w:val="center"/>
              <w:cnfStyle w:val="000000000000"/>
            </w:pPr>
            <w:r>
              <w:t xml:space="preserve">  4.60**</w:t>
            </w:r>
          </w:p>
        </w:tc>
        <w:tc>
          <w:tcPr>
            <w:tcW w:w="1332" w:type="dxa"/>
          </w:tcPr>
          <w:p w:rsidR="003E1663" w:rsidRDefault="003E1663" w:rsidP="00EB30DF">
            <w:pPr>
              <w:jc w:val="center"/>
              <w:cnfStyle w:val="000000000000"/>
            </w:pPr>
            <w:r>
              <w:t>7.1, 17.97</w:t>
            </w:r>
          </w:p>
          <w:p w:rsidR="003E1663" w:rsidRPr="00DE774A" w:rsidRDefault="003E1663" w:rsidP="00EB30DF">
            <w:pPr>
              <w:jc w:val="center"/>
              <w:cnfStyle w:val="000000000000"/>
              <w:rPr>
                <w:i/>
              </w:rPr>
            </w:pPr>
            <w:r w:rsidRPr="00DE774A">
              <w:rPr>
                <w:i/>
              </w:rPr>
              <w:t>(</w:t>
            </w:r>
            <w:r>
              <w:rPr>
                <w:i/>
              </w:rPr>
              <w:t>1.13</w:t>
            </w:r>
            <w:r w:rsidRPr="00DE774A">
              <w:rPr>
                <w:i/>
              </w:rPr>
              <w:t>)</w:t>
            </w:r>
          </w:p>
        </w:tc>
      </w:tr>
      <w:tr w:rsidR="003E1663" w:rsidTr="00EB30DF">
        <w:tc>
          <w:tcPr>
            <w:cnfStyle w:val="001000000000"/>
            <w:tcW w:w="1656" w:type="dxa"/>
          </w:tcPr>
          <w:p w:rsidR="003E1663" w:rsidRPr="00E9342D" w:rsidRDefault="003E1663" w:rsidP="00EB30DF">
            <w:r w:rsidRPr="00E9342D">
              <w:t xml:space="preserve">TAS </w:t>
            </w:r>
          </w:p>
          <w:p w:rsidR="003E1663" w:rsidRPr="00E9342D" w:rsidRDefault="003E1663" w:rsidP="00EB30DF">
            <w:r w:rsidRPr="00E9342D">
              <w:t>(Absorption)</w:t>
            </w:r>
          </w:p>
          <w:p w:rsidR="003E1663" w:rsidRPr="00E9342D" w:rsidRDefault="003E1663" w:rsidP="00EB30DF"/>
        </w:tc>
        <w:tc>
          <w:tcPr>
            <w:tcW w:w="1870" w:type="dxa"/>
          </w:tcPr>
          <w:p w:rsidR="003E1663" w:rsidRDefault="003E1663" w:rsidP="00EB30DF">
            <w:pPr>
              <w:jc w:val="center"/>
              <w:cnfStyle w:val="000000000000"/>
            </w:pPr>
            <w:r>
              <w:t>20.97</w:t>
            </w:r>
          </w:p>
          <w:p w:rsidR="003E1663" w:rsidRDefault="003E1663" w:rsidP="00EB30DF">
            <w:pPr>
              <w:jc w:val="center"/>
              <w:cnfStyle w:val="000000000000"/>
            </w:pPr>
            <w:r>
              <w:t>(6.69)</w:t>
            </w:r>
          </w:p>
        </w:tc>
        <w:tc>
          <w:tcPr>
            <w:tcW w:w="2252" w:type="dxa"/>
          </w:tcPr>
          <w:p w:rsidR="003E1663" w:rsidRDefault="003E1663" w:rsidP="00EB30DF">
            <w:pPr>
              <w:jc w:val="center"/>
              <w:cnfStyle w:val="000000000000"/>
            </w:pPr>
            <w:r>
              <w:t>14.97</w:t>
            </w:r>
          </w:p>
          <w:p w:rsidR="003E1663" w:rsidRDefault="003E1663" w:rsidP="00EB30DF">
            <w:pPr>
              <w:jc w:val="center"/>
              <w:cnfStyle w:val="000000000000"/>
            </w:pPr>
            <w:r>
              <w:t>(6.48)</w:t>
            </w:r>
          </w:p>
        </w:tc>
        <w:tc>
          <w:tcPr>
            <w:tcW w:w="1320" w:type="dxa"/>
          </w:tcPr>
          <w:p w:rsidR="003E1663" w:rsidRDefault="003E1663" w:rsidP="00EB30DF">
            <w:pPr>
              <w:jc w:val="center"/>
              <w:cnfStyle w:val="000000000000"/>
            </w:pPr>
            <w:r>
              <w:t xml:space="preserve">  3.70**</w:t>
            </w:r>
          </w:p>
        </w:tc>
        <w:tc>
          <w:tcPr>
            <w:tcW w:w="1332" w:type="dxa"/>
          </w:tcPr>
          <w:p w:rsidR="003E1663" w:rsidRDefault="003E1663" w:rsidP="00EB30DF">
            <w:pPr>
              <w:jc w:val="center"/>
              <w:cnfStyle w:val="000000000000"/>
            </w:pPr>
            <w:r>
              <w:t>2.8, 9.2, 7.8</w:t>
            </w:r>
          </w:p>
          <w:p w:rsidR="003E1663" w:rsidRPr="00DE774A" w:rsidRDefault="003E1663" w:rsidP="00EB30DF">
            <w:pPr>
              <w:jc w:val="center"/>
              <w:cnfStyle w:val="000000000000"/>
              <w:rPr>
                <w:i/>
              </w:rPr>
            </w:pPr>
            <w:r w:rsidRPr="00DE774A">
              <w:rPr>
                <w:i/>
              </w:rPr>
              <w:t>(</w:t>
            </w:r>
            <w:r>
              <w:rPr>
                <w:i/>
              </w:rPr>
              <w:t>0.83</w:t>
            </w:r>
            <w:r w:rsidRPr="00DE774A">
              <w:rPr>
                <w:i/>
              </w:rPr>
              <w:t>)</w:t>
            </w:r>
          </w:p>
        </w:tc>
      </w:tr>
      <w:tr w:rsidR="003E1663" w:rsidTr="00EB30DF">
        <w:tc>
          <w:tcPr>
            <w:cnfStyle w:val="001000000000"/>
            <w:tcW w:w="1656" w:type="dxa"/>
          </w:tcPr>
          <w:p w:rsidR="003E1663" w:rsidRPr="00E9342D" w:rsidRDefault="003E1663" w:rsidP="00EB30DF">
            <w:r w:rsidRPr="00E9342D">
              <w:t>ASGS</w:t>
            </w:r>
          </w:p>
          <w:p w:rsidR="003E1663" w:rsidRPr="00E9342D" w:rsidRDefault="003E1663" w:rsidP="00EB30DF">
            <w:r w:rsidRPr="00E9342D">
              <w:t>(Paranormal Belief)</w:t>
            </w:r>
          </w:p>
          <w:p w:rsidR="003E1663" w:rsidRPr="00E9342D" w:rsidRDefault="003E1663" w:rsidP="00EB30DF"/>
        </w:tc>
        <w:tc>
          <w:tcPr>
            <w:tcW w:w="1870" w:type="dxa"/>
          </w:tcPr>
          <w:p w:rsidR="003E1663" w:rsidRDefault="003E1663" w:rsidP="00EB30DF">
            <w:pPr>
              <w:jc w:val="center"/>
              <w:cnfStyle w:val="000000000000"/>
            </w:pPr>
            <w:r>
              <w:t>13.09</w:t>
            </w:r>
          </w:p>
          <w:p w:rsidR="003E1663" w:rsidRDefault="003E1663" w:rsidP="00EB30DF">
            <w:pPr>
              <w:jc w:val="center"/>
              <w:cnfStyle w:val="000000000000"/>
            </w:pPr>
            <w:r>
              <w:t>(6.74)</w:t>
            </w:r>
          </w:p>
        </w:tc>
        <w:tc>
          <w:tcPr>
            <w:tcW w:w="2252" w:type="dxa"/>
          </w:tcPr>
          <w:p w:rsidR="003E1663" w:rsidRDefault="003E1663" w:rsidP="00EB30DF">
            <w:pPr>
              <w:jc w:val="center"/>
              <w:cnfStyle w:val="000000000000"/>
            </w:pPr>
            <w:r>
              <w:t>8.21</w:t>
            </w:r>
          </w:p>
          <w:p w:rsidR="003E1663" w:rsidRDefault="003E1663" w:rsidP="00EB30DF">
            <w:pPr>
              <w:jc w:val="center"/>
              <w:cnfStyle w:val="000000000000"/>
            </w:pPr>
            <w:r>
              <w:t>(4.85)</w:t>
            </w:r>
          </w:p>
        </w:tc>
        <w:tc>
          <w:tcPr>
            <w:tcW w:w="1320" w:type="dxa"/>
          </w:tcPr>
          <w:p w:rsidR="003E1663" w:rsidRDefault="003E1663" w:rsidP="00EB30DF">
            <w:pPr>
              <w:jc w:val="center"/>
              <w:cnfStyle w:val="000000000000"/>
            </w:pPr>
            <w:r>
              <w:t xml:space="preserve"> 3.40**</w:t>
            </w:r>
          </w:p>
        </w:tc>
        <w:tc>
          <w:tcPr>
            <w:tcW w:w="1332" w:type="dxa"/>
          </w:tcPr>
          <w:p w:rsidR="003E1663" w:rsidRDefault="003E1663" w:rsidP="00EB30DF">
            <w:pPr>
              <w:jc w:val="center"/>
              <w:cnfStyle w:val="000000000000"/>
            </w:pPr>
            <w:r>
              <w:t>2.0, 7.8</w:t>
            </w:r>
          </w:p>
          <w:p w:rsidR="003E1663" w:rsidRPr="00DE774A" w:rsidRDefault="003E1663" w:rsidP="00EB30DF">
            <w:pPr>
              <w:jc w:val="center"/>
              <w:cnfStyle w:val="000000000000"/>
              <w:rPr>
                <w:i/>
              </w:rPr>
            </w:pPr>
            <w:r w:rsidRPr="00DE774A">
              <w:rPr>
                <w:i/>
              </w:rPr>
              <w:t>(</w:t>
            </w:r>
            <w:r>
              <w:rPr>
                <w:i/>
              </w:rPr>
              <w:t>1.34</w:t>
            </w:r>
            <w:r w:rsidRPr="00DE774A">
              <w:rPr>
                <w:i/>
              </w:rPr>
              <w:t>)</w:t>
            </w:r>
          </w:p>
        </w:tc>
      </w:tr>
    </w:tbl>
    <w:p w:rsidR="003E1663" w:rsidRDefault="003E1663" w:rsidP="003E1663">
      <w:pPr>
        <w:spacing w:line="480" w:lineRule="auto"/>
      </w:pPr>
    </w:p>
    <w:p w:rsidR="003E1663" w:rsidRDefault="003E1663" w:rsidP="003E1663">
      <w:pPr>
        <w:spacing w:line="480" w:lineRule="auto"/>
        <w:rPr>
          <w:u w:val="single"/>
        </w:rPr>
      </w:pPr>
      <w:r w:rsidRPr="003E1663">
        <w:rPr>
          <w:i/>
          <w:u w:val="single"/>
        </w:rPr>
        <w:t>Table 3.</w:t>
      </w:r>
      <w:r w:rsidRPr="00EF6C96">
        <w:rPr>
          <w:u w:val="single"/>
        </w:rPr>
        <w:t xml:space="preserve"> </w:t>
      </w:r>
      <w:proofErr w:type="gramStart"/>
      <w:r w:rsidRPr="00EF6C96">
        <w:rPr>
          <w:u w:val="single"/>
        </w:rPr>
        <w:t xml:space="preserve">Characteristics of the </w:t>
      </w:r>
      <w:proofErr w:type="spellStart"/>
      <w:r w:rsidRPr="00EF6C96">
        <w:rPr>
          <w:u w:val="single"/>
        </w:rPr>
        <w:t>Inattentionally</w:t>
      </w:r>
      <w:proofErr w:type="spellEnd"/>
      <w:r w:rsidRPr="00EF6C96">
        <w:rPr>
          <w:u w:val="single"/>
        </w:rPr>
        <w:t xml:space="preserve"> Blind and Non-</w:t>
      </w:r>
      <w:proofErr w:type="spellStart"/>
      <w:r w:rsidRPr="00EF6C96">
        <w:rPr>
          <w:u w:val="single"/>
        </w:rPr>
        <w:t>Inattentionally</w:t>
      </w:r>
      <w:proofErr w:type="spellEnd"/>
      <w:r w:rsidRPr="00EF6C96">
        <w:rPr>
          <w:u w:val="single"/>
        </w:rPr>
        <w:t xml:space="preserve"> Blind Groups for Study </w:t>
      </w:r>
      <w:r>
        <w:rPr>
          <w:u w:val="single"/>
        </w:rPr>
        <w:t>2 (SDs in parentheses)</w:t>
      </w:r>
      <w:r w:rsidRPr="00EF6C96">
        <w:rPr>
          <w:u w:val="single"/>
        </w:rPr>
        <w:t>.</w:t>
      </w:r>
      <w:proofErr w:type="gramEnd"/>
      <w:r>
        <w:rPr>
          <w:u w:val="single"/>
        </w:rPr>
        <w:t xml:space="preserve"> ** </w:t>
      </w:r>
      <w:r>
        <w:rPr>
          <w:i/>
          <w:u w:val="single"/>
        </w:rPr>
        <w:t>p=&lt;.001.</w:t>
      </w:r>
    </w:p>
    <w:p w:rsidR="003E1663" w:rsidRDefault="003E1663" w:rsidP="00E775A6">
      <w:pPr>
        <w:spacing w:line="480" w:lineRule="auto"/>
      </w:pPr>
    </w:p>
    <w:p w:rsidR="004816B4" w:rsidRPr="00E775A6" w:rsidRDefault="004B77C5" w:rsidP="00E775A6">
      <w:pPr>
        <w:spacing w:line="480" w:lineRule="auto"/>
      </w:pPr>
      <w:r>
        <w:t>Both</w:t>
      </w:r>
      <w:r w:rsidR="002613DA" w:rsidRPr="00E775A6">
        <w:t xml:space="preserve"> effects reported in </w:t>
      </w:r>
      <w:r w:rsidR="003D1DCC">
        <w:t>Study</w:t>
      </w:r>
      <w:r w:rsidR="003D1DCC" w:rsidRPr="00E775A6">
        <w:t xml:space="preserve"> </w:t>
      </w:r>
      <w:r w:rsidR="002613DA" w:rsidRPr="00E775A6">
        <w:t>1 were replicated and the finding of a significant difference in AOSPAN scores between IBs and NIBs in previous research was confirmed.</w:t>
      </w:r>
    </w:p>
    <w:p w:rsidR="003E1663" w:rsidRDefault="000707D2" w:rsidP="00E775A6">
      <w:pPr>
        <w:spacing w:line="480" w:lineRule="auto"/>
      </w:pPr>
      <w:r>
        <w:tab/>
      </w:r>
      <w:r w:rsidR="002613DA" w:rsidRPr="00E775A6">
        <w:t xml:space="preserve"> As planned, a </w:t>
      </w:r>
      <w:r w:rsidR="00EF5515">
        <w:t xml:space="preserve">hierarchical </w:t>
      </w:r>
      <w:r w:rsidR="002613DA" w:rsidRPr="00E775A6">
        <w:t xml:space="preserve">logistic regression analysis </w:t>
      </w:r>
      <w:r w:rsidR="004816B4" w:rsidRPr="00E775A6">
        <w:t>with</w:t>
      </w:r>
      <w:r w:rsidR="00DA30E7">
        <w:t xml:space="preserve"> IB as the DV and TAS, </w:t>
      </w:r>
      <w:r w:rsidR="002613DA" w:rsidRPr="00E775A6">
        <w:t xml:space="preserve">ASGS </w:t>
      </w:r>
      <w:r w:rsidR="001220AB" w:rsidRPr="00E775A6">
        <w:t xml:space="preserve">and </w:t>
      </w:r>
      <w:r w:rsidR="002613DA" w:rsidRPr="00E775A6">
        <w:t xml:space="preserve">AOSPAN as </w:t>
      </w:r>
      <w:r w:rsidR="00741D94">
        <w:t>IVs</w:t>
      </w:r>
      <w:r w:rsidR="004816B4" w:rsidRPr="00E775A6">
        <w:t xml:space="preserve"> was performed</w:t>
      </w:r>
      <w:r w:rsidR="002613DA" w:rsidRPr="00E775A6">
        <w:t xml:space="preserve">. </w:t>
      </w:r>
      <w:r w:rsidR="00EF5515">
        <w:t>To confirm the finding</w:t>
      </w:r>
      <w:r w:rsidR="00817C8C">
        <w:t>s</w:t>
      </w:r>
      <w:r w:rsidR="00EF5515">
        <w:t xml:space="preserve"> in </w:t>
      </w:r>
      <w:r w:rsidR="003D1DCC">
        <w:t xml:space="preserve">Study </w:t>
      </w:r>
      <w:r w:rsidR="00EF5515">
        <w:t xml:space="preserve">1, </w:t>
      </w:r>
      <w:r w:rsidR="00C65E1C">
        <w:t xml:space="preserve">TAS </w:t>
      </w:r>
      <w:r w:rsidR="00EF5515">
        <w:t>was entered on the first step and ASGS and AOSPAN added on the second step</w:t>
      </w:r>
      <w:r w:rsidR="003433DA">
        <w:t xml:space="preserve"> (see Table 4)</w:t>
      </w:r>
      <w:r w:rsidR="00EF5515">
        <w:t xml:space="preserve">. </w:t>
      </w:r>
    </w:p>
    <w:p w:rsidR="003E1663" w:rsidRDefault="003E1663" w:rsidP="003E1663">
      <w:pPr>
        <w:spacing w:line="480" w:lineRule="auto"/>
        <w:rPr>
          <w:u w:val="single"/>
        </w:rPr>
      </w:pPr>
    </w:p>
    <w:p w:rsidR="003E1663" w:rsidRPr="00E9342D" w:rsidRDefault="003E1663" w:rsidP="003E1663">
      <w:pPr>
        <w:spacing w:line="480" w:lineRule="auto"/>
        <w:rPr>
          <w:u w:val="single"/>
        </w:rPr>
      </w:pPr>
    </w:p>
    <w:tbl>
      <w:tblPr>
        <w:tblStyle w:val="LightShading"/>
        <w:tblW w:w="0" w:type="auto"/>
        <w:tblLayout w:type="fixed"/>
        <w:tblLook w:val="06A0"/>
      </w:tblPr>
      <w:tblGrid>
        <w:gridCol w:w="2376"/>
        <w:gridCol w:w="1560"/>
        <w:gridCol w:w="992"/>
        <w:gridCol w:w="709"/>
        <w:gridCol w:w="992"/>
        <w:gridCol w:w="966"/>
        <w:gridCol w:w="921"/>
      </w:tblGrid>
      <w:tr w:rsidR="003E1663" w:rsidTr="00EB30DF">
        <w:trPr>
          <w:cnfStyle w:val="100000000000"/>
        </w:trPr>
        <w:tc>
          <w:tcPr>
            <w:cnfStyle w:val="001000000000"/>
            <w:tcW w:w="2376" w:type="dxa"/>
          </w:tcPr>
          <w:p w:rsidR="003E1663" w:rsidRDefault="003E1663" w:rsidP="00EB30DF">
            <w:r>
              <w:t>Predictor</w:t>
            </w:r>
          </w:p>
        </w:tc>
        <w:tc>
          <w:tcPr>
            <w:tcW w:w="1560" w:type="dxa"/>
          </w:tcPr>
          <w:p w:rsidR="003E1663" w:rsidRPr="00E36767" w:rsidRDefault="003E1663" w:rsidP="00EB30DF">
            <w:pPr>
              <w:cnfStyle w:val="100000000000"/>
              <w:rPr>
                <w:i/>
              </w:rPr>
            </w:pPr>
            <w:r w:rsidRPr="00E36767">
              <w:rPr>
                <w:i/>
              </w:rPr>
              <w:sym w:font="Symbol" w:char="F062"/>
            </w:r>
            <w:r>
              <w:rPr>
                <w:i/>
              </w:rPr>
              <w:t xml:space="preserve"> (Se)</w:t>
            </w:r>
          </w:p>
        </w:tc>
        <w:tc>
          <w:tcPr>
            <w:tcW w:w="992" w:type="dxa"/>
          </w:tcPr>
          <w:p w:rsidR="003E1663" w:rsidRPr="00E36767" w:rsidRDefault="003E1663" w:rsidP="00EB30DF">
            <w:pPr>
              <w:cnfStyle w:val="100000000000"/>
              <w:rPr>
                <w:i/>
                <w:vertAlign w:val="superscript"/>
              </w:rPr>
            </w:pPr>
            <w:r>
              <w:t xml:space="preserve">Wald  </w:t>
            </w:r>
            <w:r w:rsidRPr="00E36767">
              <w:rPr>
                <w:i/>
              </w:rPr>
              <w:sym w:font="Symbol" w:char="F063"/>
            </w:r>
            <w:r w:rsidRPr="00E36767">
              <w:rPr>
                <w:i/>
                <w:vertAlign w:val="superscript"/>
              </w:rPr>
              <w:t>2</w:t>
            </w:r>
          </w:p>
          <w:p w:rsidR="003E1663" w:rsidRDefault="003E1663" w:rsidP="00EB30DF">
            <w:pPr>
              <w:cnfStyle w:val="100000000000"/>
            </w:pPr>
          </w:p>
        </w:tc>
        <w:tc>
          <w:tcPr>
            <w:tcW w:w="709" w:type="dxa"/>
          </w:tcPr>
          <w:p w:rsidR="003E1663" w:rsidRPr="00E36767" w:rsidRDefault="003E1663" w:rsidP="00EB30DF">
            <w:pPr>
              <w:cnfStyle w:val="100000000000"/>
              <w:rPr>
                <w:i/>
              </w:rPr>
            </w:pPr>
            <w:r>
              <w:rPr>
                <w:i/>
              </w:rPr>
              <w:t>p</w:t>
            </w:r>
          </w:p>
        </w:tc>
        <w:tc>
          <w:tcPr>
            <w:tcW w:w="992" w:type="dxa"/>
          </w:tcPr>
          <w:p w:rsidR="003E1663" w:rsidRDefault="003E1663" w:rsidP="00EB30DF">
            <w:pPr>
              <w:cnfStyle w:val="100000000000"/>
            </w:pPr>
            <w:r>
              <w:t>Odds Ratio</w:t>
            </w:r>
          </w:p>
          <w:p w:rsidR="003E1663" w:rsidRDefault="003E1663" w:rsidP="00EB30DF">
            <w:pPr>
              <w:cnfStyle w:val="100000000000"/>
            </w:pPr>
            <w:r>
              <w:t>Exp(B)</w:t>
            </w:r>
          </w:p>
        </w:tc>
        <w:tc>
          <w:tcPr>
            <w:tcW w:w="1887" w:type="dxa"/>
            <w:gridSpan w:val="2"/>
          </w:tcPr>
          <w:p w:rsidR="003E1663" w:rsidRDefault="003E1663" w:rsidP="00EB30DF">
            <w:pPr>
              <w:cnfStyle w:val="100000000000"/>
            </w:pPr>
            <w:r>
              <w:t>95% C.I. for Odds Ratio</w:t>
            </w:r>
          </w:p>
        </w:tc>
      </w:tr>
      <w:tr w:rsidR="003E1663" w:rsidTr="00EB30DF">
        <w:tc>
          <w:tcPr>
            <w:cnfStyle w:val="001000000000"/>
            <w:tcW w:w="2376" w:type="dxa"/>
          </w:tcPr>
          <w:p w:rsidR="003E1663" w:rsidRDefault="003E1663" w:rsidP="00EB30DF">
            <w:r>
              <w:t>Step 1</w:t>
            </w:r>
          </w:p>
        </w:tc>
        <w:tc>
          <w:tcPr>
            <w:tcW w:w="1560" w:type="dxa"/>
          </w:tcPr>
          <w:p w:rsidR="003E1663" w:rsidRPr="00E36767" w:rsidRDefault="003E1663" w:rsidP="00EB30DF">
            <w:pPr>
              <w:cnfStyle w:val="000000000000"/>
              <w:rPr>
                <w:i/>
              </w:rPr>
            </w:pPr>
          </w:p>
        </w:tc>
        <w:tc>
          <w:tcPr>
            <w:tcW w:w="992" w:type="dxa"/>
          </w:tcPr>
          <w:p w:rsidR="003E1663" w:rsidRDefault="003E1663" w:rsidP="00EB30DF">
            <w:pPr>
              <w:cnfStyle w:val="000000000000"/>
            </w:pPr>
          </w:p>
        </w:tc>
        <w:tc>
          <w:tcPr>
            <w:tcW w:w="709" w:type="dxa"/>
          </w:tcPr>
          <w:p w:rsidR="003E1663" w:rsidRDefault="003E1663" w:rsidP="00EB30DF">
            <w:pPr>
              <w:cnfStyle w:val="000000000000"/>
              <w:rPr>
                <w:i/>
              </w:rPr>
            </w:pPr>
          </w:p>
        </w:tc>
        <w:tc>
          <w:tcPr>
            <w:tcW w:w="992" w:type="dxa"/>
          </w:tcPr>
          <w:p w:rsidR="003E1663" w:rsidRDefault="003E1663" w:rsidP="00EB30DF">
            <w:pPr>
              <w:cnfStyle w:val="000000000000"/>
            </w:pPr>
          </w:p>
        </w:tc>
        <w:tc>
          <w:tcPr>
            <w:tcW w:w="966" w:type="dxa"/>
          </w:tcPr>
          <w:p w:rsidR="003E1663" w:rsidRPr="00364848" w:rsidRDefault="003E1663" w:rsidP="00EB30DF">
            <w:pPr>
              <w:cnfStyle w:val="000000000000"/>
              <w:rPr>
                <w:b/>
              </w:rPr>
            </w:pPr>
            <w:r w:rsidRPr="00364848">
              <w:rPr>
                <w:b/>
              </w:rPr>
              <w:t>Lower</w:t>
            </w:r>
          </w:p>
        </w:tc>
        <w:tc>
          <w:tcPr>
            <w:tcW w:w="921" w:type="dxa"/>
          </w:tcPr>
          <w:p w:rsidR="003E1663" w:rsidRPr="00364848" w:rsidRDefault="003E1663" w:rsidP="00EB30DF">
            <w:pPr>
              <w:cnfStyle w:val="000000000000"/>
              <w:rPr>
                <w:b/>
              </w:rPr>
            </w:pPr>
            <w:r w:rsidRPr="00364848">
              <w:rPr>
                <w:b/>
              </w:rPr>
              <w:t>Upper</w:t>
            </w:r>
          </w:p>
        </w:tc>
      </w:tr>
      <w:tr w:rsidR="003E1663" w:rsidTr="00EB30DF">
        <w:tc>
          <w:tcPr>
            <w:cnfStyle w:val="001000000000"/>
            <w:tcW w:w="2376" w:type="dxa"/>
          </w:tcPr>
          <w:p w:rsidR="003E1663" w:rsidRPr="00E9342D" w:rsidRDefault="003E1663" w:rsidP="00EB30DF">
            <w:r w:rsidRPr="00E9342D">
              <w:t xml:space="preserve">TAS </w:t>
            </w:r>
          </w:p>
          <w:p w:rsidR="003E1663" w:rsidRPr="00E9342D" w:rsidRDefault="003E1663" w:rsidP="00EB30DF">
            <w:r w:rsidRPr="00E9342D">
              <w:t>(Absorption)</w:t>
            </w:r>
          </w:p>
          <w:p w:rsidR="003E1663" w:rsidRDefault="003E1663" w:rsidP="00EB30DF">
            <w:r>
              <w:t xml:space="preserve"> </w:t>
            </w:r>
          </w:p>
        </w:tc>
        <w:tc>
          <w:tcPr>
            <w:tcW w:w="1560" w:type="dxa"/>
          </w:tcPr>
          <w:p w:rsidR="003E1663" w:rsidRDefault="003E1663" w:rsidP="00EB30DF">
            <w:pPr>
              <w:cnfStyle w:val="000000000000"/>
            </w:pPr>
            <w:r>
              <w:t xml:space="preserve"> 0.14 (0.04)</w:t>
            </w:r>
          </w:p>
        </w:tc>
        <w:tc>
          <w:tcPr>
            <w:tcW w:w="992" w:type="dxa"/>
          </w:tcPr>
          <w:p w:rsidR="003E1663" w:rsidRDefault="003E1663" w:rsidP="00EB30DF">
            <w:pPr>
              <w:cnfStyle w:val="000000000000"/>
            </w:pPr>
            <w:r>
              <w:t>10.00</w:t>
            </w:r>
          </w:p>
        </w:tc>
        <w:tc>
          <w:tcPr>
            <w:tcW w:w="709" w:type="dxa"/>
          </w:tcPr>
          <w:p w:rsidR="003E1663" w:rsidRDefault="003E1663" w:rsidP="00EB30DF">
            <w:pPr>
              <w:cnfStyle w:val="000000000000"/>
            </w:pPr>
            <w:r>
              <w:t>.002</w:t>
            </w:r>
          </w:p>
        </w:tc>
        <w:tc>
          <w:tcPr>
            <w:tcW w:w="992" w:type="dxa"/>
          </w:tcPr>
          <w:p w:rsidR="003E1663" w:rsidRDefault="003E1663" w:rsidP="00EB30DF">
            <w:pPr>
              <w:cnfStyle w:val="000000000000"/>
            </w:pPr>
            <w:r>
              <w:t>1.15</w:t>
            </w:r>
          </w:p>
        </w:tc>
        <w:tc>
          <w:tcPr>
            <w:tcW w:w="966" w:type="dxa"/>
          </w:tcPr>
          <w:p w:rsidR="003E1663" w:rsidRDefault="003E1663" w:rsidP="00EB30DF">
            <w:pPr>
              <w:cnfStyle w:val="000000000000"/>
            </w:pPr>
            <w:r>
              <w:t>1.05</w:t>
            </w:r>
          </w:p>
        </w:tc>
        <w:tc>
          <w:tcPr>
            <w:tcW w:w="921" w:type="dxa"/>
          </w:tcPr>
          <w:p w:rsidR="003E1663" w:rsidRDefault="003E1663" w:rsidP="00EB30DF">
            <w:pPr>
              <w:cnfStyle w:val="000000000000"/>
            </w:pPr>
            <w:r>
              <w:t>1.23</w:t>
            </w:r>
          </w:p>
          <w:p w:rsidR="003E1663" w:rsidRDefault="003E1663" w:rsidP="00EB30DF">
            <w:pPr>
              <w:cnfStyle w:val="000000000000"/>
            </w:pPr>
          </w:p>
        </w:tc>
      </w:tr>
      <w:tr w:rsidR="003E1663" w:rsidTr="00EB30DF">
        <w:tc>
          <w:tcPr>
            <w:cnfStyle w:val="001000000000"/>
            <w:tcW w:w="2376" w:type="dxa"/>
          </w:tcPr>
          <w:p w:rsidR="003E1663" w:rsidRDefault="003E1663" w:rsidP="00EB30DF">
            <w:r>
              <w:t>Step 2</w:t>
            </w:r>
          </w:p>
        </w:tc>
        <w:tc>
          <w:tcPr>
            <w:tcW w:w="1560" w:type="dxa"/>
          </w:tcPr>
          <w:p w:rsidR="003E1663" w:rsidRDefault="003E1663" w:rsidP="00EB30DF">
            <w:pPr>
              <w:cnfStyle w:val="000000000000"/>
            </w:pPr>
          </w:p>
        </w:tc>
        <w:tc>
          <w:tcPr>
            <w:tcW w:w="992" w:type="dxa"/>
          </w:tcPr>
          <w:p w:rsidR="003E1663" w:rsidRDefault="003E1663" w:rsidP="00EB30DF">
            <w:pPr>
              <w:cnfStyle w:val="000000000000"/>
            </w:pPr>
          </w:p>
        </w:tc>
        <w:tc>
          <w:tcPr>
            <w:tcW w:w="709" w:type="dxa"/>
          </w:tcPr>
          <w:p w:rsidR="003E1663" w:rsidRDefault="003E1663" w:rsidP="00EB30DF">
            <w:pPr>
              <w:cnfStyle w:val="000000000000"/>
            </w:pPr>
          </w:p>
        </w:tc>
        <w:tc>
          <w:tcPr>
            <w:tcW w:w="992" w:type="dxa"/>
          </w:tcPr>
          <w:p w:rsidR="003E1663" w:rsidRDefault="003E1663" w:rsidP="00EB30DF">
            <w:pPr>
              <w:cnfStyle w:val="000000000000"/>
            </w:pPr>
          </w:p>
        </w:tc>
        <w:tc>
          <w:tcPr>
            <w:tcW w:w="966" w:type="dxa"/>
          </w:tcPr>
          <w:p w:rsidR="003E1663" w:rsidRDefault="003E1663" w:rsidP="00EB30DF">
            <w:pPr>
              <w:cnfStyle w:val="000000000000"/>
            </w:pPr>
          </w:p>
        </w:tc>
        <w:tc>
          <w:tcPr>
            <w:tcW w:w="921" w:type="dxa"/>
          </w:tcPr>
          <w:p w:rsidR="003E1663" w:rsidRDefault="003E1663" w:rsidP="00EB30DF">
            <w:pPr>
              <w:cnfStyle w:val="000000000000"/>
            </w:pPr>
          </w:p>
        </w:tc>
      </w:tr>
      <w:tr w:rsidR="003E1663" w:rsidTr="00EB30DF">
        <w:tc>
          <w:tcPr>
            <w:cnfStyle w:val="001000000000"/>
            <w:tcW w:w="2376" w:type="dxa"/>
          </w:tcPr>
          <w:p w:rsidR="003E1663" w:rsidRPr="00E9342D" w:rsidRDefault="003E1663" w:rsidP="00EB30DF">
            <w:r w:rsidRPr="00E9342D">
              <w:t xml:space="preserve">TAS </w:t>
            </w:r>
          </w:p>
          <w:p w:rsidR="003E1663" w:rsidRPr="00E9342D" w:rsidRDefault="003E1663" w:rsidP="00EB30DF">
            <w:r w:rsidRPr="00E9342D">
              <w:t>(Absorption)</w:t>
            </w:r>
          </w:p>
          <w:p w:rsidR="003E1663" w:rsidRDefault="003E1663" w:rsidP="00EB30DF"/>
        </w:tc>
        <w:tc>
          <w:tcPr>
            <w:tcW w:w="1560" w:type="dxa"/>
          </w:tcPr>
          <w:p w:rsidR="003E1663" w:rsidRDefault="003E1663" w:rsidP="00EB30DF">
            <w:pPr>
              <w:cnfStyle w:val="000000000000"/>
            </w:pPr>
            <w:r>
              <w:t xml:space="preserve"> 0.01 (0.07)</w:t>
            </w:r>
          </w:p>
        </w:tc>
        <w:tc>
          <w:tcPr>
            <w:tcW w:w="992" w:type="dxa"/>
          </w:tcPr>
          <w:p w:rsidR="003E1663" w:rsidRDefault="003E1663" w:rsidP="00EB30DF">
            <w:pPr>
              <w:cnfStyle w:val="000000000000"/>
            </w:pPr>
            <w:r>
              <w:t xml:space="preserve">  0.43</w:t>
            </w:r>
          </w:p>
        </w:tc>
        <w:tc>
          <w:tcPr>
            <w:tcW w:w="709" w:type="dxa"/>
          </w:tcPr>
          <w:p w:rsidR="003E1663" w:rsidRDefault="003E1663" w:rsidP="00EB30DF">
            <w:pPr>
              <w:cnfStyle w:val="000000000000"/>
            </w:pPr>
            <w:r>
              <w:t xml:space="preserve">  ns</w:t>
            </w:r>
          </w:p>
        </w:tc>
        <w:tc>
          <w:tcPr>
            <w:tcW w:w="992" w:type="dxa"/>
          </w:tcPr>
          <w:p w:rsidR="003E1663" w:rsidRDefault="003E1663" w:rsidP="00EB30DF">
            <w:pPr>
              <w:cnfStyle w:val="000000000000"/>
            </w:pPr>
            <w:r>
              <w:t>1.10</w:t>
            </w:r>
          </w:p>
        </w:tc>
        <w:tc>
          <w:tcPr>
            <w:tcW w:w="966" w:type="dxa"/>
          </w:tcPr>
          <w:p w:rsidR="003E1663" w:rsidRDefault="003E1663" w:rsidP="00EB30DF">
            <w:pPr>
              <w:cnfStyle w:val="000000000000"/>
            </w:pPr>
            <w:r>
              <w:t>0.89</w:t>
            </w:r>
          </w:p>
        </w:tc>
        <w:tc>
          <w:tcPr>
            <w:tcW w:w="921" w:type="dxa"/>
          </w:tcPr>
          <w:p w:rsidR="003E1663" w:rsidRDefault="003E1663" w:rsidP="00EB30DF">
            <w:pPr>
              <w:cnfStyle w:val="000000000000"/>
            </w:pPr>
            <w:r>
              <w:t>1.15</w:t>
            </w:r>
          </w:p>
        </w:tc>
      </w:tr>
      <w:tr w:rsidR="003E1663" w:rsidTr="00EB30DF">
        <w:tc>
          <w:tcPr>
            <w:cnfStyle w:val="001000000000"/>
            <w:tcW w:w="2376" w:type="dxa"/>
          </w:tcPr>
          <w:p w:rsidR="003E1663" w:rsidRPr="00E9342D" w:rsidRDefault="003E1663" w:rsidP="00EB30DF">
            <w:r w:rsidRPr="00E9342D">
              <w:t>ASGS</w:t>
            </w:r>
          </w:p>
          <w:p w:rsidR="003E1663" w:rsidRPr="00E9342D" w:rsidRDefault="003E1663" w:rsidP="00EB30DF">
            <w:r w:rsidRPr="00E9342D">
              <w:t>(Paranormal Belief)</w:t>
            </w:r>
          </w:p>
          <w:p w:rsidR="003E1663" w:rsidRDefault="003E1663" w:rsidP="00EB30DF"/>
        </w:tc>
        <w:tc>
          <w:tcPr>
            <w:tcW w:w="1560" w:type="dxa"/>
          </w:tcPr>
          <w:p w:rsidR="003E1663" w:rsidRDefault="003E1663" w:rsidP="00EB30DF">
            <w:pPr>
              <w:cnfStyle w:val="000000000000"/>
            </w:pPr>
            <w:r>
              <w:t xml:space="preserve"> 0.10 (0.07)</w:t>
            </w:r>
          </w:p>
        </w:tc>
        <w:tc>
          <w:tcPr>
            <w:tcW w:w="992" w:type="dxa"/>
          </w:tcPr>
          <w:p w:rsidR="003E1663" w:rsidRDefault="003E1663" w:rsidP="00EB30DF">
            <w:pPr>
              <w:cnfStyle w:val="000000000000"/>
            </w:pPr>
            <w:r>
              <w:t xml:space="preserve">  1.89</w:t>
            </w:r>
          </w:p>
        </w:tc>
        <w:tc>
          <w:tcPr>
            <w:tcW w:w="709" w:type="dxa"/>
          </w:tcPr>
          <w:p w:rsidR="003E1663" w:rsidRDefault="003E1663" w:rsidP="00EB30DF">
            <w:pPr>
              <w:cnfStyle w:val="000000000000"/>
            </w:pPr>
            <w:r>
              <w:t xml:space="preserve">  ns</w:t>
            </w:r>
          </w:p>
        </w:tc>
        <w:tc>
          <w:tcPr>
            <w:tcW w:w="992" w:type="dxa"/>
          </w:tcPr>
          <w:p w:rsidR="003E1663" w:rsidRDefault="003E1663" w:rsidP="00EB30DF">
            <w:pPr>
              <w:cnfStyle w:val="000000000000"/>
            </w:pPr>
            <w:r>
              <w:t>1.11</w:t>
            </w:r>
          </w:p>
        </w:tc>
        <w:tc>
          <w:tcPr>
            <w:tcW w:w="966" w:type="dxa"/>
          </w:tcPr>
          <w:p w:rsidR="003E1663" w:rsidRDefault="003E1663" w:rsidP="00EB30DF">
            <w:pPr>
              <w:cnfStyle w:val="000000000000"/>
            </w:pPr>
            <w:r>
              <w:t>0.96</w:t>
            </w:r>
          </w:p>
        </w:tc>
        <w:tc>
          <w:tcPr>
            <w:tcW w:w="921" w:type="dxa"/>
          </w:tcPr>
          <w:p w:rsidR="003E1663" w:rsidRDefault="003E1663" w:rsidP="00EB30DF">
            <w:pPr>
              <w:cnfStyle w:val="000000000000"/>
            </w:pPr>
            <w:r>
              <w:t>1.28</w:t>
            </w:r>
          </w:p>
        </w:tc>
      </w:tr>
      <w:tr w:rsidR="003E1663" w:rsidTr="00EB30DF">
        <w:tc>
          <w:tcPr>
            <w:cnfStyle w:val="001000000000"/>
            <w:tcW w:w="2376" w:type="dxa"/>
          </w:tcPr>
          <w:p w:rsidR="003E1663" w:rsidRPr="00E9342D" w:rsidRDefault="003E1663" w:rsidP="00EB30DF">
            <w:r w:rsidRPr="00E9342D">
              <w:t>AOSPAN</w:t>
            </w:r>
          </w:p>
          <w:p w:rsidR="003E1663" w:rsidRPr="00E9342D" w:rsidRDefault="003E1663" w:rsidP="00EB30DF">
            <w:r w:rsidRPr="00E9342D">
              <w:t>(Working Memory)</w:t>
            </w:r>
          </w:p>
          <w:p w:rsidR="003E1663" w:rsidRDefault="003E1663" w:rsidP="00EB30DF"/>
        </w:tc>
        <w:tc>
          <w:tcPr>
            <w:tcW w:w="1560" w:type="dxa"/>
          </w:tcPr>
          <w:p w:rsidR="003E1663" w:rsidRDefault="003E1663" w:rsidP="00EB30DF">
            <w:pPr>
              <w:cnfStyle w:val="000000000000"/>
            </w:pPr>
            <w:r>
              <w:t xml:space="preserve"> -0.09 (0.03)</w:t>
            </w:r>
          </w:p>
        </w:tc>
        <w:tc>
          <w:tcPr>
            <w:tcW w:w="992" w:type="dxa"/>
          </w:tcPr>
          <w:p w:rsidR="003E1663" w:rsidRDefault="003E1663" w:rsidP="00EB30DF">
            <w:pPr>
              <w:cnfStyle w:val="000000000000"/>
            </w:pPr>
            <w:r>
              <w:t xml:space="preserve">  7.86</w:t>
            </w:r>
          </w:p>
        </w:tc>
        <w:tc>
          <w:tcPr>
            <w:tcW w:w="709" w:type="dxa"/>
          </w:tcPr>
          <w:p w:rsidR="003E1663" w:rsidRDefault="003E1663" w:rsidP="00EB30DF">
            <w:pPr>
              <w:cnfStyle w:val="000000000000"/>
            </w:pPr>
            <w:r>
              <w:t>.005</w:t>
            </w:r>
          </w:p>
        </w:tc>
        <w:tc>
          <w:tcPr>
            <w:tcW w:w="992" w:type="dxa"/>
          </w:tcPr>
          <w:p w:rsidR="003E1663" w:rsidRDefault="003E1663" w:rsidP="00EB30DF">
            <w:pPr>
              <w:cnfStyle w:val="000000000000"/>
            </w:pPr>
            <w:r>
              <w:t>0.91</w:t>
            </w:r>
          </w:p>
        </w:tc>
        <w:tc>
          <w:tcPr>
            <w:tcW w:w="966" w:type="dxa"/>
          </w:tcPr>
          <w:p w:rsidR="003E1663" w:rsidRDefault="003E1663" w:rsidP="00EB30DF">
            <w:pPr>
              <w:cnfStyle w:val="000000000000"/>
            </w:pPr>
            <w:r>
              <w:t>0.86</w:t>
            </w:r>
          </w:p>
        </w:tc>
        <w:tc>
          <w:tcPr>
            <w:tcW w:w="921" w:type="dxa"/>
          </w:tcPr>
          <w:p w:rsidR="003E1663" w:rsidRDefault="003E1663" w:rsidP="00EB30DF">
            <w:pPr>
              <w:cnfStyle w:val="000000000000"/>
            </w:pPr>
            <w:r>
              <w:t>0.97</w:t>
            </w:r>
          </w:p>
        </w:tc>
      </w:tr>
    </w:tbl>
    <w:p w:rsidR="003E1663" w:rsidRDefault="003E1663" w:rsidP="003E1663">
      <w:pPr>
        <w:rPr>
          <w:u w:val="single"/>
          <w:vertAlign w:val="superscript"/>
        </w:rPr>
      </w:pPr>
    </w:p>
    <w:p w:rsidR="003E1663" w:rsidRPr="00364848" w:rsidRDefault="003E1663" w:rsidP="003E1663">
      <w:pPr>
        <w:rPr>
          <w:u w:val="single"/>
          <w:vertAlign w:val="superscript"/>
        </w:rPr>
      </w:pPr>
    </w:p>
    <w:p w:rsidR="003E1663" w:rsidRDefault="003E1663" w:rsidP="00E775A6">
      <w:pPr>
        <w:spacing w:line="480" w:lineRule="auto"/>
        <w:rPr>
          <w:u w:val="single"/>
          <w:vertAlign w:val="superscript"/>
        </w:rPr>
      </w:pPr>
      <w:r w:rsidRPr="003E1663">
        <w:rPr>
          <w:i/>
          <w:u w:val="single"/>
        </w:rPr>
        <w:t>Table 4.</w:t>
      </w:r>
      <w:r w:rsidRPr="00364848">
        <w:rPr>
          <w:u w:val="single"/>
        </w:rPr>
        <w:t xml:space="preserve"> </w:t>
      </w:r>
      <w:r>
        <w:rPr>
          <w:u w:val="single"/>
        </w:rPr>
        <w:t xml:space="preserve">Hierarchical </w:t>
      </w:r>
      <w:r w:rsidRPr="00364848">
        <w:rPr>
          <w:u w:val="single"/>
        </w:rPr>
        <w:t>Logistic Regression</w:t>
      </w:r>
      <w:r>
        <w:rPr>
          <w:u w:val="single"/>
        </w:rPr>
        <w:t xml:space="preserve">, with Absorption entered on the first step and </w:t>
      </w:r>
      <w:proofErr w:type="spellStart"/>
      <w:r>
        <w:rPr>
          <w:u w:val="single"/>
        </w:rPr>
        <w:t>Paranromal</w:t>
      </w:r>
      <w:proofErr w:type="spellEnd"/>
      <w:r>
        <w:rPr>
          <w:u w:val="single"/>
        </w:rPr>
        <w:t xml:space="preserve"> Belief and Absorption added on the second </w:t>
      </w:r>
      <w:proofErr w:type="gramStart"/>
      <w:r>
        <w:rPr>
          <w:u w:val="single"/>
        </w:rPr>
        <w:t xml:space="preserve">step </w:t>
      </w:r>
      <w:r w:rsidRPr="00364848">
        <w:rPr>
          <w:u w:val="single"/>
        </w:rPr>
        <w:t>.</w:t>
      </w:r>
      <w:proofErr w:type="gramEnd"/>
    </w:p>
    <w:p w:rsidR="003E1663" w:rsidRPr="003E1663" w:rsidRDefault="003E1663" w:rsidP="00E775A6">
      <w:pPr>
        <w:spacing w:line="480" w:lineRule="auto"/>
        <w:rPr>
          <w:u w:val="single"/>
          <w:vertAlign w:val="superscript"/>
        </w:rPr>
      </w:pPr>
    </w:p>
    <w:p w:rsidR="002613DA" w:rsidRDefault="00741D94" w:rsidP="00E775A6">
      <w:pPr>
        <w:spacing w:line="480" w:lineRule="auto"/>
      </w:pPr>
      <w:r>
        <w:t>When</w:t>
      </w:r>
      <w:r w:rsidR="00EF5515">
        <w:t xml:space="preserve"> TAS was entered on its own, it was a significant predictor of IB</w:t>
      </w:r>
      <w:r w:rsidR="00DD1831">
        <w:t xml:space="preserve"> (</w:t>
      </w:r>
      <w:r w:rsidR="00DD1831" w:rsidRPr="00B30F63">
        <w:t xml:space="preserve">Model = </w:t>
      </w:r>
      <w:r w:rsidR="00DD1831" w:rsidRPr="00B30F63">
        <w:rPr>
          <w:szCs w:val="18"/>
        </w:rPr>
        <w:sym w:font="Symbol" w:char="F063"/>
      </w:r>
      <w:r w:rsidR="00DD1831" w:rsidRPr="00B30F63">
        <w:rPr>
          <w:vertAlign w:val="superscript"/>
        </w:rPr>
        <w:t>2</w:t>
      </w:r>
      <w:r w:rsidR="00DD1831" w:rsidRPr="00B30F63">
        <w:t>(</w:t>
      </w:r>
      <w:r w:rsidR="00DD1831">
        <w:t>2</w:t>
      </w:r>
      <w:r w:rsidR="00DD1831" w:rsidRPr="00B30F63">
        <w:t xml:space="preserve">) </w:t>
      </w:r>
      <w:r w:rsidR="00DD1831">
        <w:t xml:space="preserve">= 12.50, </w:t>
      </w:r>
      <w:r w:rsidR="00DD1831">
        <w:rPr>
          <w:i/>
        </w:rPr>
        <w:t>p</w:t>
      </w:r>
      <w:r w:rsidR="00DD1831">
        <w:t>&lt;.001</w:t>
      </w:r>
      <w:r w:rsidR="00A5076C">
        <w:t xml:space="preserve">; Wald </w:t>
      </w:r>
      <w:r w:rsidR="00716E58">
        <w:t xml:space="preserve">statistic </w:t>
      </w:r>
      <w:r w:rsidR="00A5076C">
        <w:t xml:space="preserve">= 10.00, </w:t>
      </w:r>
      <w:r w:rsidR="00A5076C">
        <w:rPr>
          <w:i/>
        </w:rPr>
        <w:t>p</w:t>
      </w:r>
      <w:r w:rsidR="00A5076C">
        <w:t>=.004,</w:t>
      </w:r>
      <w:r w:rsidR="004C25C0">
        <w:t xml:space="preserve"> </w:t>
      </w:r>
      <w:r w:rsidR="004C25C0">
        <w:rPr>
          <w:i/>
        </w:rPr>
        <w:t>B</w:t>
      </w:r>
      <w:r w:rsidR="004C25C0">
        <w:t xml:space="preserve"> = -.14,</w:t>
      </w:r>
      <w:r w:rsidR="00A5076C" w:rsidRPr="00A5076C">
        <w:t xml:space="preserve"> </w:t>
      </w:r>
      <w:proofErr w:type="gramStart"/>
      <w:r w:rsidR="00E739A5">
        <w:t>Exp</w:t>
      </w:r>
      <w:r w:rsidR="00A5076C">
        <w:t>(</w:t>
      </w:r>
      <w:proofErr w:type="gramEnd"/>
      <w:r w:rsidR="00A5076C">
        <w:t>B) = 0.87,</w:t>
      </w:r>
      <w:r w:rsidR="00A5076C" w:rsidRPr="00927CB7">
        <w:t xml:space="preserve"> </w:t>
      </w:r>
      <w:r w:rsidR="00A5076C">
        <w:t>CI</w:t>
      </w:r>
      <w:r w:rsidR="00A5076C" w:rsidRPr="00083C3D">
        <w:rPr>
          <w:vertAlign w:val="subscript"/>
        </w:rPr>
        <w:t>95</w:t>
      </w:r>
      <w:r w:rsidR="004C25C0">
        <w:t xml:space="preserve"> = 0.80, 0.95). </w:t>
      </w:r>
      <w:r w:rsidR="00EF5515">
        <w:t xml:space="preserve">However, when </w:t>
      </w:r>
      <w:r w:rsidR="002613DA" w:rsidRPr="00E775A6">
        <w:t>AOSPAN</w:t>
      </w:r>
      <w:r w:rsidR="00EF5515">
        <w:t xml:space="preserve"> and ASGS</w:t>
      </w:r>
      <w:r w:rsidR="004C25C0">
        <w:t xml:space="preserve"> were </w:t>
      </w:r>
      <w:r w:rsidR="00826D08">
        <w:t xml:space="preserve">then </w:t>
      </w:r>
      <w:r w:rsidR="004C25C0">
        <w:t xml:space="preserve">added the overall model was </w:t>
      </w:r>
      <w:r w:rsidR="00054CAA">
        <w:t xml:space="preserve">again </w:t>
      </w:r>
      <w:r w:rsidR="004C25C0">
        <w:t>significant (</w:t>
      </w:r>
      <w:r w:rsidR="004C25C0" w:rsidRPr="00B30F63">
        <w:t xml:space="preserve">Model = </w:t>
      </w:r>
      <w:r w:rsidR="004C25C0" w:rsidRPr="00B30F63">
        <w:rPr>
          <w:szCs w:val="18"/>
        </w:rPr>
        <w:sym w:font="Symbol" w:char="F063"/>
      </w:r>
      <w:r w:rsidR="004C25C0" w:rsidRPr="00B30F63">
        <w:rPr>
          <w:vertAlign w:val="superscript"/>
        </w:rPr>
        <w:t>2</w:t>
      </w:r>
      <w:r w:rsidR="004C25C0" w:rsidRPr="00B30F63">
        <w:t>(</w:t>
      </w:r>
      <w:r w:rsidR="004C25C0">
        <w:t>3</w:t>
      </w:r>
      <w:r w:rsidR="004C25C0" w:rsidRPr="00B30F63">
        <w:t xml:space="preserve">) </w:t>
      </w:r>
      <w:r w:rsidR="004C25C0">
        <w:t xml:space="preserve">= 23.67, </w:t>
      </w:r>
      <w:r w:rsidR="004C25C0">
        <w:rPr>
          <w:i/>
        </w:rPr>
        <w:t>p</w:t>
      </w:r>
      <w:r w:rsidR="004C25C0">
        <w:t>&lt;.001) but</w:t>
      </w:r>
      <w:r w:rsidR="00EF5515">
        <w:t xml:space="preserve"> only AOSPAN</w:t>
      </w:r>
      <w:r w:rsidR="002613DA" w:rsidRPr="00E775A6">
        <w:t xml:space="preserve"> </w:t>
      </w:r>
      <w:r w:rsidR="004816B4" w:rsidRPr="00E775A6">
        <w:t>predicted IB status</w:t>
      </w:r>
      <w:r w:rsidR="004C25C0" w:rsidRPr="004C25C0">
        <w:t xml:space="preserve"> </w:t>
      </w:r>
      <w:r w:rsidR="004C25C0">
        <w:t xml:space="preserve">(Wald </w:t>
      </w:r>
      <w:r w:rsidR="00054CAA">
        <w:t xml:space="preserve">statistic </w:t>
      </w:r>
      <w:r w:rsidR="004C25C0">
        <w:t xml:space="preserve">= 7.86, </w:t>
      </w:r>
      <w:r w:rsidR="004C25C0">
        <w:rPr>
          <w:i/>
        </w:rPr>
        <w:t>p</w:t>
      </w:r>
      <w:r w:rsidR="004C25C0">
        <w:t xml:space="preserve"> = .005, </w:t>
      </w:r>
      <w:r w:rsidR="004C25C0">
        <w:rPr>
          <w:i/>
        </w:rPr>
        <w:t>B</w:t>
      </w:r>
      <w:r w:rsidR="004C25C0">
        <w:t xml:space="preserve"> = -.09,</w:t>
      </w:r>
      <w:r w:rsidR="004C25C0" w:rsidRPr="00A5076C">
        <w:t xml:space="preserve"> </w:t>
      </w:r>
      <w:proofErr w:type="gramStart"/>
      <w:r w:rsidR="004C25C0">
        <w:t>E</w:t>
      </w:r>
      <w:r w:rsidR="00E739A5">
        <w:t>xp</w:t>
      </w:r>
      <w:r w:rsidR="004C25C0">
        <w:t>(</w:t>
      </w:r>
      <w:proofErr w:type="gramEnd"/>
      <w:r w:rsidR="004C25C0">
        <w:t>B) = 1.09,</w:t>
      </w:r>
      <w:r w:rsidR="004C25C0" w:rsidRPr="00927CB7">
        <w:t xml:space="preserve"> </w:t>
      </w:r>
      <w:r w:rsidR="004C25C0">
        <w:t>CI</w:t>
      </w:r>
      <w:r w:rsidR="004C25C0" w:rsidRPr="00083C3D">
        <w:rPr>
          <w:vertAlign w:val="subscript"/>
        </w:rPr>
        <w:t>95</w:t>
      </w:r>
      <w:r w:rsidR="004C25C0">
        <w:t xml:space="preserve"> = 1.03, 1.17)</w:t>
      </w:r>
      <w:r w:rsidR="002613DA" w:rsidRPr="00E775A6">
        <w:t xml:space="preserve"> and </w:t>
      </w:r>
      <w:r w:rsidR="00826D08">
        <w:t>both</w:t>
      </w:r>
      <w:r w:rsidR="00826D08" w:rsidRPr="00E775A6">
        <w:t xml:space="preserve"> </w:t>
      </w:r>
      <w:r w:rsidR="002613DA" w:rsidRPr="00E775A6">
        <w:t xml:space="preserve">TAS </w:t>
      </w:r>
      <w:r w:rsidR="00826D08">
        <w:t>and</w:t>
      </w:r>
      <w:r w:rsidR="002613DA" w:rsidRPr="00E775A6">
        <w:t xml:space="preserve"> ASGS </w:t>
      </w:r>
      <w:r w:rsidR="004816B4" w:rsidRPr="00E775A6">
        <w:t xml:space="preserve">were </w:t>
      </w:r>
      <w:r w:rsidR="00826D08">
        <w:t>non-sign</w:t>
      </w:r>
      <w:r w:rsidR="00817C8C">
        <w:t>i</w:t>
      </w:r>
      <w:r w:rsidR="00826D08">
        <w:t>ficant</w:t>
      </w:r>
      <w:r w:rsidR="004C25C0">
        <w:t xml:space="preserve"> (Wald</w:t>
      </w:r>
      <w:r w:rsidR="00054CAA">
        <w:t xml:space="preserve"> </w:t>
      </w:r>
      <w:r w:rsidR="004C25C0">
        <w:t>s</w:t>
      </w:r>
      <w:r w:rsidR="00054CAA">
        <w:t>tatistics</w:t>
      </w:r>
      <w:r w:rsidR="004C25C0">
        <w:t xml:space="preserve"> of 0.04 and 1.89, respectively, </w:t>
      </w:r>
      <w:proofErr w:type="spellStart"/>
      <w:r w:rsidR="004C25C0">
        <w:rPr>
          <w:i/>
        </w:rPr>
        <w:t>p</w:t>
      </w:r>
      <w:r w:rsidR="004C25C0" w:rsidRPr="00B31CCB">
        <w:t>s</w:t>
      </w:r>
      <w:proofErr w:type="spellEnd"/>
      <w:r w:rsidR="004C25C0">
        <w:t xml:space="preserve">&gt;.16). </w:t>
      </w:r>
    </w:p>
    <w:p w:rsidR="00652297" w:rsidRDefault="006D0CE0">
      <w:pPr>
        <w:spacing w:line="480" w:lineRule="auto"/>
        <w:ind w:firstLine="720"/>
      </w:pPr>
      <w:r>
        <w:t xml:space="preserve">A mediation analysis was performed in which the association between paranormal belief and </w:t>
      </w:r>
      <w:proofErr w:type="spellStart"/>
      <w:r>
        <w:t>inattentional</w:t>
      </w:r>
      <w:proofErr w:type="spellEnd"/>
      <w:r>
        <w:t xml:space="preserve"> blindness status was significantly mediated by working memory capacity (</w:t>
      </w:r>
      <w:proofErr w:type="spellStart"/>
      <w:r>
        <w:t>Sobel</w:t>
      </w:r>
      <w:proofErr w:type="spellEnd"/>
      <w:r>
        <w:t xml:space="preserve"> test = 2.04, SE = 0.03, </w:t>
      </w:r>
      <w:r>
        <w:rPr>
          <w:i/>
        </w:rPr>
        <w:t xml:space="preserve">p </w:t>
      </w:r>
      <w:r w:rsidR="00096E95" w:rsidRPr="00096E95">
        <w:t>=.042</w:t>
      </w:r>
      <w:r>
        <w:t>)</w:t>
      </w:r>
      <w:r w:rsidR="005D3CC4">
        <w:t>. In addition, there was no mediating effect</w:t>
      </w:r>
      <w:r w:rsidR="00781C79">
        <w:t xml:space="preserve"> of paranormal belief</w:t>
      </w:r>
      <w:r w:rsidR="005D3CC4">
        <w:t xml:space="preserve"> on the direct predicting effect of working memory capacity on </w:t>
      </w:r>
      <w:proofErr w:type="spellStart"/>
      <w:r w:rsidR="005D3CC4">
        <w:t>inattentional</w:t>
      </w:r>
      <w:proofErr w:type="spellEnd"/>
      <w:r w:rsidR="005D3CC4">
        <w:t xml:space="preserve"> blindness status (</w:t>
      </w:r>
      <w:proofErr w:type="spellStart"/>
      <w:r w:rsidR="005D3CC4">
        <w:t>Sobel</w:t>
      </w:r>
      <w:proofErr w:type="spellEnd"/>
      <w:r w:rsidR="005D3CC4">
        <w:t xml:space="preserve"> test = -1.66</w:t>
      </w:r>
      <w:r w:rsidR="00D5361B">
        <w:t xml:space="preserve">, SE = 0.01, </w:t>
      </w:r>
      <w:r w:rsidR="00351B52" w:rsidRPr="00351B52">
        <w:rPr>
          <w:i/>
        </w:rPr>
        <w:t>p</w:t>
      </w:r>
      <w:r w:rsidR="00D5361B">
        <w:t>=.10</w:t>
      </w:r>
      <w:r w:rsidR="005D3CC4">
        <w:t xml:space="preserve">). Likewise, working memory capacity mediated the relationship between absorption and </w:t>
      </w:r>
      <w:proofErr w:type="spellStart"/>
      <w:r w:rsidR="005D3CC4">
        <w:t>inattentional</w:t>
      </w:r>
      <w:proofErr w:type="spellEnd"/>
      <w:r w:rsidR="005D3CC4">
        <w:t xml:space="preserve"> blindness (</w:t>
      </w:r>
      <w:proofErr w:type="spellStart"/>
      <w:r w:rsidR="005D3CC4">
        <w:t>Sobel</w:t>
      </w:r>
      <w:proofErr w:type="spellEnd"/>
      <w:r w:rsidR="005D3CC4">
        <w:t xml:space="preserve"> test = 2.33, SE = .03, </w:t>
      </w:r>
      <w:r w:rsidR="005D3CC4">
        <w:rPr>
          <w:i/>
        </w:rPr>
        <w:t xml:space="preserve">p </w:t>
      </w:r>
      <w:r w:rsidR="005D3CC4">
        <w:t xml:space="preserve">=.019) but there was no converse mediation by absorption on the direct effect of working memory capacity on </w:t>
      </w:r>
      <w:proofErr w:type="spellStart"/>
      <w:r w:rsidR="005D3CC4">
        <w:t>inattentional</w:t>
      </w:r>
      <w:proofErr w:type="spellEnd"/>
      <w:r w:rsidR="005D3CC4">
        <w:t xml:space="preserve"> blindness status (</w:t>
      </w:r>
      <w:proofErr w:type="spellStart"/>
      <w:r w:rsidR="005D3CC4">
        <w:t>Sobel</w:t>
      </w:r>
      <w:proofErr w:type="spellEnd"/>
      <w:r w:rsidR="005D3CC4">
        <w:t xml:space="preserve"> test = -1.55</w:t>
      </w:r>
      <w:r w:rsidR="00D5361B">
        <w:t xml:space="preserve">, SE = 0.01, </w:t>
      </w:r>
      <w:r w:rsidR="00D5361B">
        <w:rPr>
          <w:i/>
        </w:rPr>
        <w:t>p</w:t>
      </w:r>
      <w:r w:rsidR="00D5361B">
        <w:t>=.12</w:t>
      </w:r>
      <w:r w:rsidR="005D3CC4">
        <w:t>).</w:t>
      </w:r>
    </w:p>
    <w:p w:rsidR="002613DA" w:rsidRPr="00E775A6" w:rsidRDefault="005D3CC4" w:rsidP="00E775A6">
      <w:pPr>
        <w:spacing w:line="480" w:lineRule="auto"/>
        <w:rPr>
          <w:rFonts w:cs="Times New Roman"/>
        </w:rPr>
      </w:pPr>
      <w:r>
        <w:t xml:space="preserve"> </w:t>
      </w:r>
      <w:r w:rsidR="000707D2">
        <w:tab/>
      </w:r>
      <w:r w:rsidR="002613DA" w:rsidRPr="00E775A6">
        <w:t xml:space="preserve">Finally, </w:t>
      </w:r>
      <w:r w:rsidR="002613DA" w:rsidRPr="00E775A6">
        <w:rPr>
          <w:rFonts w:cs="Times New Roman"/>
        </w:rPr>
        <w:t>significant correlations were found between paranormal belief and absorption (</w:t>
      </w:r>
      <w:r w:rsidR="002613DA" w:rsidRPr="00D409CD">
        <w:rPr>
          <w:rFonts w:cs="Times New Roman"/>
          <w:i/>
        </w:rPr>
        <w:t>r</w:t>
      </w:r>
      <w:r w:rsidR="002613DA" w:rsidRPr="00E775A6">
        <w:rPr>
          <w:rFonts w:cs="Times New Roman"/>
        </w:rPr>
        <w:t xml:space="preserve"> = .74, </w:t>
      </w:r>
      <w:r w:rsidR="002613DA" w:rsidRPr="00D409CD">
        <w:rPr>
          <w:rFonts w:cs="Times New Roman"/>
          <w:i/>
        </w:rPr>
        <w:t>p</w:t>
      </w:r>
      <w:r w:rsidR="002613DA" w:rsidRPr="00E775A6">
        <w:rPr>
          <w:rFonts w:cs="Times New Roman"/>
        </w:rPr>
        <w:t>&lt;.001), between absorption and AOSPAN (</w:t>
      </w:r>
      <w:r w:rsidR="002613DA" w:rsidRPr="00D409CD">
        <w:rPr>
          <w:rFonts w:cs="Times New Roman"/>
          <w:i/>
        </w:rPr>
        <w:t>r</w:t>
      </w:r>
      <w:r w:rsidR="002613DA" w:rsidRPr="00E775A6">
        <w:rPr>
          <w:rFonts w:cs="Times New Roman"/>
        </w:rPr>
        <w:t xml:space="preserve"> = -.41, </w:t>
      </w:r>
      <w:r w:rsidR="002613DA" w:rsidRPr="00D409CD">
        <w:rPr>
          <w:rFonts w:cs="Times New Roman"/>
          <w:i/>
        </w:rPr>
        <w:t>p</w:t>
      </w:r>
      <w:r w:rsidR="002613DA" w:rsidRPr="00E775A6">
        <w:rPr>
          <w:rFonts w:cs="Times New Roman"/>
        </w:rPr>
        <w:t>&lt;.001), and between paranormal belief and AOSPAN (r = -.</w:t>
      </w:r>
      <w:r w:rsidR="00D409CD">
        <w:rPr>
          <w:rFonts w:cs="Times New Roman"/>
        </w:rPr>
        <w:t>32</w:t>
      </w:r>
      <w:r w:rsidR="002613DA" w:rsidRPr="00E775A6">
        <w:rPr>
          <w:rFonts w:cs="Times New Roman"/>
        </w:rPr>
        <w:t>, p=.0</w:t>
      </w:r>
      <w:r w:rsidR="00D409CD">
        <w:rPr>
          <w:rFonts w:cs="Times New Roman"/>
        </w:rPr>
        <w:t>08</w:t>
      </w:r>
      <w:r w:rsidR="002613DA" w:rsidRPr="00E775A6">
        <w:rPr>
          <w:rFonts w:cs="Times New Roman"/>
        </w:rPr>
        <w:t xml:space="preserve">). </w:t>
      </w:r>
    </w:p>
    <w:p w:rsidR="002613DA" w:rsidRPr="00751B95" w:rsidRDefault="006176BF" w:rsidP="00751B95">
      <w:pPr>
        <w:spacing w:line="480" w:lineRule="auto"/>
        <w:jc w:val="center"/>
        <w:rPr>
          <w:rFonts w:cs="Times New Roman"/>
        </w:rPr>
      </w:pPr>
      <w:r w:rsidRPr="00751B95">
        <w:rPr>
          <w:rFonts w:cs="Times New Roman"/>
        </w:rPr>
        <w:t>Discussion</w:t>
      </w:r>
    </w:p>
    <w:p w:rsidR="00817C8C" w:rsidRDefault="004B77C5">
      <w:pPr>
        <w:widowControl w:val="0"/>
        <w:autoSpaceDE w:val="0"/>
        <w:autoSpaceDN w:val="0"/>
        <w:adjustRightInd w:val="0"/>
        <w:spacing w:after="240" w:line="480" w:lineRule="auto"/>
        <w:ind w:firstLine="709"/>
        <w:rPr>
          <w:rFonts w:cs="Times New Roman"/>
        </w:rPr>
      </w:pPr>
      <w:r>
        <w:rPr>
          <w:rFonts w:cs="Times New Roman"/>
        </w:rPr>
        <w:t xml:space="preserve">The </w:t>
      </w:r>
      <w:r w:rsidR="001F7DD6">
        <w:rPr>
          <w:rFonts w:cs="Times New Roman"/>
        </w:rPr>
        <w:t>incidence</w:t>
      </w:r>
      <w:r w:rsidR="00741D94">
        <w:rPr>
          <w:rFonts w:cs="Times New Roman"/>
        </w:rPr>
        <w:t xml:space="preserve"> of</w:t>
      </w:r>
      <w:r w:rsidR="006176BF">
        <w:rPr>
          <w:rFonts w:cs="Times New Roman"/>
        </w:rPr>
        <w:t xml:space="preserve"> IB</w:t>
      </w:r>
      <w:r w:rsidR="00741D94">
        <w:rPr>
          <w:rFonts w:cs="Times New Roman"/>
        </w:rPr>
        <w:t xml:space="preserve"> was</w:t>
      </w:r>
      <w:r w:rsidR="006176BF">
        <w:rPr>
          <w:rFonts w:cs="Times New Roman"/>
        </w:rPr>
        <w:t xml:space="preserve"> comp</w:t>
      </w:r>
      <w:r w:rsidR="004C25C0">
        <w:rPr>
          <w:rFonts w:cs="Times New Roman"/>
        </w:rPr>
        <w:t xml:space="preserve">arable to that of </w:t>
      </w:r>
      <w:r w:rsidR="003D1DCC">
        <w:rPr>
          <w:rFonts w:cs="Times New Roman"/>
        </w:rPr>
        <w:t xml:space="preserve">Study </w:t>
      </w:r>
      <w:r w:rsidR="004C25C0">
        <w:rPr>
          <w:rFonts w:cs="Times New Roman"/>
        </w:rPr>
        <w:t>1.</w:t>
      </w:r>
      <w:r w:rsidR="007B3570">
        <w:rPr>
          <w:rFonts w:cs="Times New Roman"/>
        </w:rPr>
        <w:t xml:space="preserve"> Consistent with </w:t>
      </w:r>
      <w:r w:rsidR="003D1DCC">
        <w:rPr>
          <w:rFonts w:cs="Times New Roman"/>
        </w:rPr>
        <w:t xml:space="preserve">Study </w:t>
      </w:r>
      <w:r w:rsidR="007B3570">
        <w:rPr>
          <w:rFonts w:cs="Times New Roman"/>
        </w:rPr>
        <w:t xml:space="preserve">1, </w:t>
      </w:r>
      <w:r w:rsidR="00826D08">
        <w:rPr>
          <w:rFonts w:cs="Times New Roman"/>
        </w:rPr>
        <w:t xml:space="preserve">IBs </w:t>
      </w:r>
      <w:r w:rsidR="00741D94">
        <w:rPr>
          <w:rFonts w:cs="Times New Roman"/>
        </w:rPr>
        <w:t>had</w:t>
      </w:r>
      <w:r w:rsidR="007B3570">
        <w:rPr>
          <w:rFonts w:cs="Times New Roman"/>
        </w:rPr>
        <w:t xml:space="preserve"> stronger par</w:t>
      </w:r>
      <w:r w:rsidR="007B3570" w:rsidRPr="00817C8C">
        <w:rPr>
          <w:rFonts w:cs="Times New Roman"/>
        </w:rPr>
        <w:t xml:space="preserve">anormal </w:t>
      </w:r>
      <w:r w:rsidR="00741D94" w:rsidRPr="00817C8C">
        <w:rPr>
          <w:rFonts w:cs="Times New Roman"/>
        </w:rPr>
        <w:t xml:space="preserve">belief </w:t>
      </w:r>
      <w:r w:rsidR="007B3570" w:rsidRPr="00817C8C">
        <w:rPr>
          <w:rFonts w:cs="Times New Roman"/>
        </w:rPr>
        <w:t>and higher absorption scores</w:t>
      </w:r>
      <w:r w:rsidR="00741D94" w:rsidRPr="00817C8C">
        <w:rPr>
          <w:rFonts w:cs="Times New Roman"/>
        </w:rPr>
        <w:t xml:space="preserve"> than NIBs</w:t>
      </w:r>
      <w:r w:rsidR="00534FFC" w:rsidRPr="00817C8C">
        <w:rPr>
          <w:rFonts w:cs="Times New Roman"/>
        </w:rPr>
        <w:t>.</w:t>
      </w:r>
      <w:r w:rsidR="007B3570" w:rsidRPr="00817C8C">
        <w:rPr>
          <w:rFonts w:cs="Times New Roman"/>
        </w:rPr>
        <w:t xml:space="preserve"> </w:t>
      </w:r>
      <w:r w:rsidR="00490242" w:rsidRPr="00817C8C">
        <w:rPr>
          <w:rFonts w:cs="Times New Roman"/>
        </w:rPr>
        <w:t xml:space="preserve">There </w:t>
      </w:r>
      <w:r w:rsidR="001F7DD6" w:rsidRPr="00817C8C">
        <w:rPr>
          <w:rFonts w:cs="Times New Roman"/>
        </w:rPr>
        <w:t xml:space="preserve">was </w:t>
      </w:r>
      <w:r w:rsidR="00490242" w:rsidRPr="00817C8C">
        <w:rPr>
          <w:rFonts w:cs="Times New Roman"/>
        </w:rPr>
        <w:t>also an inverse relationship between paranormal belief and WMC, suggesting that paranormal</w:t>
      </w:r>
      <w:r w:rsidR="00826D08" w:rsidRPr="00817C8C">
        <w:rPr>
          <w:rFonts w:cs="Times New Roman"/>
        </w:rPr>
        <w:t xml:space="preserve"> belief</w:t>
      </w:r>
      <w:r w:rsidR="00490242" w:rsidRPr="00817C8C">
        <w:rPr>
          <w:rFonts w:cs="Times New Roman"/>
        </w:rPr>
        <w:t xml:space="preserve"> is associated with </w:t>
      </w:r>
      <w:r w:rsidR="00826D08" w:rsidRPr="00817C8C">
        <w:rPr>
          <w:rFonts w:cs="Times New Roman"/>
        </w:rPr>
        <w:t xml:space="preserve">a </w:t>
      </w:r>
      <w:r w:rsidR="00973C2D" w:rsidRPr="00817C8C">
        <w:rPr>
          <w:rFonts w:cs="Times New Roman"/>
        </w:rPr>
        <w:t>reduction</w:t>
      </w:r>
      <w:r w:rsidR="00490242" w:rsidRPr="00817C8C">
        <w:rPr>
          <w:rFonts w:cs="Times New Roman"/>
        </w:rPr>
        <w:t xml:space="preserve"> in </w:t>
      </w:r>
      <w:r w:rsidR="00973C2D" w:rsidRPr="00817C8C">
        <w:rPr>
          <w:rFonts w:cs="Times New Roman"/>
        </w:rPr>
        <w:t>working memory resources relative to the participant with higher working memory resources in the sample</w:t>
      </w:r>
      <w:r w:rsidR="00490242" w:rsidRPr="00817C8C">
        <w:rPr>
          <w:rFonts w:cs="Times New Roman"/>
        </w:rPr>
        <w:t>. Although absorption predicted IB</w:t>
      </w:r>
      <w:r w:rsidR="00AD58A9" w:rsidRPr="00817C8C">
        <w:rPr>
          <w:rFonts w:cs="Times New Roman"/>
        </w:rPr>
        <w:t xml:space="preserve"> when entered into the logistic regression alone</w:t>
      </w:r>
      <w:r w:rsidR="00490242" w:rsidRPr="00817C8C">
        <w:rPr>
          <w:rFonts w:cs="Times New Roman"/>
        </w:rPr>
        <w:t xml:space="preserve">, WMC underlies this relationship with absorption failing to </w:t>
      </w:r>
      <w:r w:rsidR="00B364E4">
        <w:rPr>
          <w:rFonts w:cs="Times New Roman"/>
        </w:rPr>
        <w:t>contribute</w:t>
      </w:r>
      <w:r w:rsidR="00490242" w:rsidRPr="00817C8C">
        <w:rPr>
          <w:rFonts w:cs="Times New Roman"/>
        </w:rPr>
        <w:t xml:space="preserve"> significantly to the prediction when WMC i</w:t>
      </w:r>
      <w:r w:rsidR="00B364E4">
        <w:rPr>
          <w:rFonts w:cs="Times New Roman"/>
        </w:rPr>
        <w:t>s included</w:t>
      </w:r>
      <w:r w:rsidR="00490242" w:rsidRPr="00817C8C">
        <w:rPr>
          <w:rFonts w:cs="Times New Roman"/>
        </w:rPr>
        <w:t>.</w:t>
      </w:r>
    </w:p>
    <w:p w:rsidR="00DF36BD" w:rsidRDefault="006B0E12">
      <w:pPr>
        <w:widowControl w:val="0"/>
        <w:autoSpaceDE w:val="0"/>
        <w:autoSpaceDN w:val="0"/>
        <w:adjustRightInd w:val="0"/>
        <w:spacing w:after="240" w:line="480" w:lineRule="auto"/>
        <w:ind w:firstLine="709"/>
      </w:pPr>
      <w:r w:rsidRPr="00817C8C">
        <w:rPr>
          <w:rFonts w:cs="Times New Roman"/>
        </w:rPr>
        <w:t xml:space="preserve">The working memory capacity scores for the IBs and NIBs are similar to those produced in similar studies (e.g., Richards, Hannon, &amp; </w:t>
      </w:r>
      <w:proofErr w:type="spellStart"/>
      <w:r w:rsidRPr="00817C8C">
        <w:rPr>
          <w:rFonts w:cs="Times New Roman"/>
        </w:rPr>
        <w:t>Derakshan</w:t>
      </w:r>
      <w:proofErr w:type="spellEnd"/>
      <w:r w:rsidRPr="00817C8C">
        <w:rPr>
          <w:rFonts w:cs="Times New Roman"/>
        </w:rPr>
        <w:t xml:space="preserve">, 2010, with AOSPAN scores of 44.68 and 55.41 for IBs and NIBs respectively (N=82)). In addition, the mean AOSPAN score for the IB group is smaller than </w:t>
      </w:r>
      <w:r w:rsidR="00E932C9" w:rsidRPr="00817C8C">
        <w:rPr>
          <w:rFonts w:cs="Times New Roman"/>
        </w:rPr>
        <w:t xml:space="preserve">the mean AOSPAN score in many published studies. For example, Shelton, Elliott, Hill, </w:t>
      </w:r>
      <w:proofErr w:type="spellStart"/>
      <w:r w:rsidR="00E932C9" w:rsidRPr="00817C8C">
        <w:rPr>
          <w:rFonts w:cs="Times New Roman"/>
        </w:rPr>
        <w:t>Calamia</w:t>
      </w:r>
      <w:proofErr w:type="spellEnd"/>
      <w:r w:rsidR="00E932C9" w:rsidRPr="00817C8C">
        <w:rPr>
          <w:rFonts w:cs="Times New Roman"/>
        </w:rPr>
        <w:t xml:space="preserve">, </w:t>
      </w:r>
      <w:r w:rsidR="00781C79" w:rsidRPr="00817C8C">
        <w:rPr>
          <w:rFonts w:cs="Times New Roman"/>
        </w:rPr>
        <w:t>and</w:t>
      </w:r>
      <w:r w:rsidR="00E932C9" w:rsidRPr="00817C8C">
        <w:rPr>
          <w:rFonts w:cs="Times New Roman"/>
        </w:rPr>
        <w:t xml:space="preserve"> </w:t>
      </w:r>
      <w:proofErr w:type="spellStart"/>
      <w:r w:rsidR="00E932C9" w:rsidRPr="00817C8C">
        <w:rPr>
          <w:rFonts w:cs="Times New Roman"/>
        </w:rPr>
        <w:t>Gouvier</w:t>
      </w:r>
      <w:proofErr w:type="spellEnd"/>
      <w:r w:rsidR="00E932C9" w:rsidRPr="00817C8C">
        <w:rPr>
          <w:rFonts w:cs="Times New Roman"/>
        </w:rPr>
        <w:t xml:space="preserve"> (2009) reported an average AOSPAN score of 44.15 (</w:t>
      </w:r>
      <w:r w:rsidR="001808FF" w:rsidRPr="00817C8C">
        <w:rPr>
          <w:rFonts w:cs="Times New Roman"/>
        </w:rPr>
        <w:t xml:space="preserve">N = 174, </w:t>
      </w:r>
      <w:r w:rsidR="00E932C9" w:rsidRPr="00817C8C">
        <w:rPr>
          <w:rFonts w:cs="Times New Roman"/>
        </w:rPr>
        <w:t xml:space="preserve">SD = 15.54) </w:t>
      </w:r>
      <w:r w:rsidR="00351B52" w:rsidRPr="00351B52">
        <w:rPr>
          <w:rFonts w:cs="Times"/>
        </w:rPr>
        <w:t xml:space="preserve">and </w:t>
      </w:r>
      <w:proofErr w:type="spellStart"/>
      <w:r w:rsidR="00351B52" w:rsidRPr="00351B52">
        <w:rPr>
          <w:rFonts w:cs="Times"/>
        </w:rPr>
        <w:t>Sanbonmatsu</w:t>
      </w:r>
      <w:proofErr w:type="spellEnd"/>
      <w:r w:rsidR="00351B52" w:rsidRPr="00351B52">
        <w:rPr>
          <w:rFonts w:cs="Times"/>
        </w:rPr>
        <w:t xml:space="preserve">, </w:t>
      </w:r>
      <w:proofErr w:type="spellStart"/>
      <w:r w:rsidR="00351B52" w:rsidRPr="00351B52">
        <w:rPr>
          <w:rFonts w:cs="Times"/>
        </w:rPr>
        <w:t>Strayer</w:t>
      </w:r>
      <w:proofErr w:type="spellEnd"/>
      <w:r w:rsidR="00351B52" w:rsidRPr="00351B52">
        <w:rPr>
          <w:rFonts w:cs="Times"/>
        </w:rPr>
        <w:t>, Medeiros-Ward, and Watson (2013) reported a mean of 44 (N=277, SD = 16). Our IB participants had significantly lower AOSPAN scores than Shelton et al. (</w:t>
      </w:r>
      <w:r w:rsidR="00351B52" w:rsidRPr="00351B52">
        <w:rPr>
          <w:rFonts w:cs="Times"/>
          <w:i/>
        </w:rPr>
        <w:t xml:space="preserve">t-difference </w:t>
      </w:r>
      <w:r w:rsidR="00351B52" w:rsidRPr="00351B52">
        <w:rPr>
          <w:rFonts w:cs="Times"/>
        </w:rPr>
        <w:t>= -2.13</w:t>
      </w:r>
      <w:r w:rsidR="00351B52" w:rsidRPr="00351B52">
        <w:rPr>
          <w:rFonts w:cs="Times"/>
          <w:i/>
        </w:rPr>
        <w:t xml:space="preserve">, </w:t>
      </w:r>
      <w:r w:rsidR="00351B52" w:rsidRPr="00351B52">
        <w:rPr>
          <w:rFonts w:cs="Times"/>
        </w:rPr>
        <w:t>mean difference = -4.65</w:t>
      </w:r>
      <w:r w:rsidR="00351B52" w:rsidRPr="00351B52">
        <w:rPr>
          <w:rFonts w:cs="Times"/>
          <w:i/>
        </w:rPr>
        <w:t xml:space="preserve">, </w:t>
      </w:r>
      <w:r w:rsidR="00E44CA1" w:rsidRPr="00817C8C">
        <w:t>CI</w:t>
      </w:r>
      <w:r w:rsidR="00E44CA1" w:rsidRPr="00817C8C">
        <w:rPr>
          <w:vertAlign w:val="subscript"/>
        </w:rPr>
        <w:t>95</w:t>
      </w:r>
      <w:r w:rsidR="00E44CA1" w:rsidRPr="00817C8C">
        <w:t xml:space="preserve"> = -9.</w:t>
      </w:r>
      <w:r w:rsidR="004E5935" w:rsidRPr="00817C8C">
        <w:t>30</w:t>
      </w:r>
      <w:r w:rsidR="00E44CA1" w:rsidRPr="00817C8C">
        <w:t xml:space="preserve">, </w:t>
      </w:r>
      <w:r w:rsidR="00B364E4">
        <w:t>0.01</w:t>
      </w:r>
      <w:r w:rsidR="00E44CA1" w:rsidRPr="00817C8C">
        <w:t xml:space="preserve">) and </w:t>
      </w:r>
      <w:proofErr w:type="spellStart"/>
      <w:r w:rsidR="00E44CA1" w:rsidRPr="00817C8C">
        <w:t>Sanbonmatsu</w:t>
      </w:r>
      <w:proofErr w:type="spellEnd"/>
      <w:r w:rsidR="00E44CA1" w:rsidRPr="00817C8C">
        <w:t xml:space="preserve"> et al. (</w:t>
      </w:r>
      <w:r w:rsidR="00351B52" w:rsidRPr="00351B52">
        <w:rPr>
          <w:rFonts w:cs="Times"/>
          <w:i/>
        </w:rPr>
        <w:t xml:space="preserve">t-difference = </w:t>
      </w:r>
      <w:r w:rsidR="00351B52" w:rsidRPr="00351B52">
        <w:rPr>
          <w:rFonts w:cs="Times"/>
        </w:rPr>
        <w:t>-2.17</w:t>
      </w:r>
      <w:r w:rsidR="00351B52" w:rsidRPr="00351B52">
        <w:rPr>
          <w:rFonts w:cs="Times"/>
          <w:i/>
        </w:rPr>
        <w:t xml:space="preserve">, </w:t>
      </w:r>
      <w:r w:rsidR="00351B52" w:rsidRPr="00351B52">
        <w:rPr>
          <w:rFonts w:cs="Times"/>
        </w:rPr>
        <w:t>mean difference = -4.5</w:t>
      </w:r>
      <w:r w:rsidR="00DF36BD" w:rsidRPr="00B364E4">
        <w:rPr>
          <w:rFonts w:cs="Times"/>
        </w:rPr>
        <w:t>0</w:t>
      </w:r>
      <w:r w:rsidR="00351B52" w:rsidRPr="00351B52">
        <w:rPr>
          <w:rFonts w:cs="Times"/>
          <w:i/>
        </w:rPr>
        <w:t xml:space="preserve">, </w:t>
      </w:r>
      <w:r w:rsidR="00E44CA1" w:rsidRPr="00817C8C">
        <w:t>CI</w:t>
      </w:r>
      <w:r w:rsidR="00E44CA1" w:rsidRPr="00817C8C">
        <w:rPr>
          <w:vertAlign w:val="subscript"/>
        </w:rPr>
        <w:t>95</w:t>
      </w:r>
      <w:r w:rsidR="00E44CA1" w:rsidRPr="00817C8C">
        <w:t xml:space="preserve"> = -</w:t>
      </w:r>
      <w:r w:rsidR="004E5935" w:rsidRPr="00817C8C">
        <w:t>8.93</w:t>
      </w:r>
      <w:r w:rsidR="00E44CA1" w:rsidRPr="00817C8C">
        <w:t>, -0.</w:t>
      </w:r>
      <w:r w:rsidR="004E5935" w:rsidRPr="00817C8C">
        <w:t>37</w:t>
      </w:r>
      <w:r w:rsidR="00E44CA1" w:rsidRPr="00817C8C">
        <w:t xml:space="preserve">). Conversely, the average AOSPAN score for our NIB group (52.03) was significantly higher than the mean reported by both Shelton et al. </w:t>
      </w:r>
      <w:r w:rsidR="00351B52" w:rsidRPr="00351B52">
        <w:rPr>
          <w:rFonts w:cs="Times"/>
        </w:rPr>
        <w:t>(</w:t>
      </w:r>
      <w:r w:rsidR="00351B52" w:rsidRPr="00351B52">
        <w:rPr>
          <w:rFonts w:cs="Times"/>
          <w:i/>
        </w:rPr>
        <w:t xml:space="preserve">t-difference </w:t>
      </w:r>
      <w:r w:rsidR="00351B52" w:rsidRPr="00351B52">
        <w:rPr>
          <w:rFonts w:cs="Times"/>
        </w:rPr>
        <w:t>= 3.39</w:t>
      </w:r>
      <w:r w:rsidR="00351B52" w:rsidRPr="00351B52">
        <w:rPr>
          <w:rFonts w:cs="Times"/>
          <w:i/>
        </w:rPr>
        <w:t xml:space="preserve">, </w:t>
      </w:r>
      <w:r w:rsidR="00351B52" w:rsidRPr="00351B52">
        <w:rPr>
          <w:rFonts w:cs="Times"/>
        </w:rPr>
        <w:t>mean difference = 7.88</w:t>
      </w:r>
      <w:r w:rsidR="00351B52" w:rsidRPr="00351B52">
        <w:rPr>
          <w:rFonts w:cs="Times"/>
          <w:i/>
        </w:rPr>
        <w:t xml:space="preserve">, </w:t>
      </w:r>
      <w:r w:rsidR="00E44CA1" w:rsidRPr="00817C8C">
        <w:t>CI</w:t>
      </w:r>
      <w:r w:rsidR="00E44CA1" w:rsidRPr="00817C8C">
        <w:rPr>
          <w:vertAlign w:val="subscript"/>
        </w:rPr>
        <w:t>95</w:t>
      </w:r>
      <w:r w:rsidR="00E44CA1" w:rsidRPr="00817C8C">
        <w:t xml:space="preserve"> = 3.33, 12.43) and </w:t>
      </w:r>
      <w:proofErr w:type="spellStart"/>
      <w:r w:rsidR="00E44CA1" w:rsidRPr="00817C8C">
        <w:t>Sanbonmatsu</w:t>
      </w:r>
      <w:proofErr w:type="spellEnd"/>
      <w:r w:rsidR="00E44CA1" w:rsidRPr="00817C8C">
        <w:t xml:space="preserve"> et al. (</w:t>
      </w:r>
      <w:r w:rsidR="00351B52" w:rsidRPr="00351B52">
        <w:rPr>
          <w:rFonts w:cs="Times"/>
          <w:i/>
        </w:rPr>
        <w:t xml:space="preserve">t-difference = </w:t>
      </w:r>
      <w:r w:rsidR="00351B52" w:rsidRPr="00351B52">
        <w:rPr>
          <w:rFonts w:cs="Times"/>
        </w:rPr>
        <w:t>3.62</w:t>
      </w:r>
      <w:r w:rsidR="00351B52" w:rsidRPr="00351B52">
        <w:rPr>
          <w:rFonts w:cs="Times"/>
          <w:i/>
        </w:rPr>
        <w:t xml:space="preserve">, </w:t>
      </w:r>
      <w:r w:rsidR="00351B52" w:rsidRPr="00351B52">
        <w:rPr>
          <w:rFonts w:cs="Times"/>
        </w:rPr>
        <w:t>mean difference</w:t>
      </w:r>
      <w:r w:rsidR="00351B52" w:rsidRPr="00351B52">
        <w:rPr>
          <w:rFonts w:cs="Times"/>
          <w:i/>
        </w:rPr>
        <w:t xml:space="preserve"> </w:t>
      </w:r>
      <w:r w:rsidR="00351B52" w:rsidRPr="00351B52">
        <w:rPr>
          <w:rFonts w:cs="Times"/>
        </w:rPr>
        <w:t xml:space="preserve">= 8.03, </w:t>
      </w:r>
      <w:r w:rsidR="00E44CA1" w:rsidRPr="00817C8C">
        <w:t>CI</w:t>
      </w:r>
      <w:r w:rsidR="00E44CA1" w:rsidRPr="00817C8C">
        <w:rPr>
          <w:vertAlign w:val="subscript"/>
        </w:rPr>
        <w:t>95</w:t>
      </w:r>
      <w:r w:rsidR="00B364E4">
        <w:t xml:space="preserve"> = 3.68, 12.38</w:t>
      </w:r>
      <w:r w:rsidR="00E44CA1" w:rsidRPr="00817C8C">
        <w:t xml:space="preserve">). </w:t>
      </w:r>
      <w:r w:rsidR="004E5935" w:rsidRPr="00817C8C">
        <w:t xml:space="preserve">These comparisons suggest that performance on the AOSPAN </w:t>
      </w:r>
      <w:r w:rsidR="00781C79" w:rsidRPr="00817C8C">
        <w:t xml:space="preserve">for the IB group </w:t>
      </w:r>
      <w:r w:rsidR="004E5935" w:rsidRPr="00817C8C">
        <w:t xml:space="preserve">was significantly lower than average and is indicative of a cognitive deficit explanation of </w:t>
      </w:r>
      <w:proofErr w:type="spellStart"/>
      <w:r w:rsidR="004E5935" w:rsidRPr="00817C8C">
        <w:t>inattentional</w:t>
      </w:r>
      <w:proofErr w:type="spellEnd"/>
      <w:r w:rsidR="004E5935" w:rsidRPr="00817C8C">
        <w:t xml:space="preserve"> blindness</w:t>
      </w:r>
      <w:r w:rsidR="009A67F1">
        <w:t xml:space="preserve"> and, indirectly, of paranormal belief</w:t>
      </w:r>
      <w:r w:rsidR="004E5935" w:rsidRPr="00817C8C">
        <w:t>.</w:t>
      </w:r>
      <w:r w:rsidR="006B6845" w:rsidRPr="00817C8C">
        <w:t xml:space="preserve"> However, </w:t>
      </w:r>
      <w:r w:rsidR="00781C79" w:rsidRPr="00817C8C">
        <w:t xml:space="preserve">it should be noted that </w:t>
      </w:r>
      <w:r w:rsidR="006B6845" w:rsidRPr="00817C8C">
        <w:t>the mean AOSPAN scores for the IB group was</w:t>
      </w:r>
      <w:r w:rsidR="00B364E4">
        <w:t xml:space="preserve"> not lower than the mean of 39.</w:t>
      </w:r>
      <w:r w:rsidR="006B6845" w:rsidRPr="00817C8C">
        <w:t xml:space="preserve">16 (N = 252) as reported by </w:t>
      </w:r>
      <w:proofErr w:type="spellStart"/>
      <w:r w:rsidR="006B6845" w:rsidRPr="00817C8C">
        <w:t>Unsworth</w:t>
      </w:r>
      <w:proofErr w:type="spellEnd"/>
      <w:r w:rsidR="006B6845" w:rsidRPr="00817C8C">
        <w:t xml:space="preserve">, </w:t>
      </w:r>
      <w:proofErr w:type="spellStart"/>
      <w:r w:rsidR="006B6845" w:rsidRPr="00817C8C">
        <w:t>Heitz</w:t>
      </w:r>
      <w:proofErr w:type="spellEnd"/>
      <w:r w:rsidR="006B6845" w:rsidRPr="00817C8C">
        <w:t>, Schrock</w:t>
      </w:r>
      <w:r w:rsidR="00346371">
        <w:t xml:space="preserve"> </w:t>
      </w:r>
      <w:r w:rsidR="00C9244F">
        <w:t xml:space="preserve">and </w:t>
      </w:r>
      <w:r w:rsidR="006B6845" w:rsidRPr="00817C8C">
        <w:t>Engle</w:t>
      </w:r>
      <w:r w:rsidR="00E74B94" w:rsidRPr="00817C8C">
        <w:t xml:space="preserve"> (</w:t>
      </w:r>
      <w:r w:rsidR="006B6845" w:rsidRPr="00817C8C">
        <w:t>2005</w:t>
      </w:r>
      <w:r w:rsidR="00E74B94" w:rsidRPr="00817C8C">
        <w:t>)</w:t>
      </w:r>
      <w:r w:rsidR="006B6845" w:rsidRPr="00817C8C">
        <w:t xml:space="preserve">. </w:t>
      </w:r>
    </w:p>
    <w:p w:rsidR="00652297" w:rsidRDefault="00AC5F24">
      <w:pPr>
        <w:widowControl w:val="0"/>
        <w:autoSpaceDE w:val="0"/>
        <w:autoSpaceDN w:val="0"/>
        <w:adjustRightInd w:val="0"/>
        <w:spacing w:after="240" w:line="480" w:lineRule="auto"/>
        <w:ind w:firstLine="709"/>
      </w:pPr>
      <w:r w:rsidRPr="00817C8C">
        <w:t xml:space="preserve">Working memory capacity appears to be associated with </w:t>
      </w:r>
      <w:proofErr w:type="spellStart"/>
      <w:r w:rsidRPr="00817C8C">
        <w:t>inattentional</w:t>
      </w:r>
      <w:proofErr w:type="spellEnd"/>
      <w:r w:rsidRPr="00817C8C">
        <w:t xml:space="preserve"> blindness but it is clear</w:t>
      </w:r>
      <w:r w:rsidR="009A67F1">
        <w:t xml:space="preserve"> from other studies</w:t>
      </w:r>
      <w:r w:rsidRPr="00817C8C">
        <w:t xml:space="preserve"> that there are additional factors at work. For example, people with high working memory capacity may be </w:t>
      </w:r>
      <w:proofErr w:type="spellStart"/>
      <w:r w:rsidRPr="00817C8C">
        <w:t>inattentionally</w:t>
      </w:r>
      <w:proofErr w:type="spellEnd"/>
      <w:r w:rsidRPr="00817C8C">
        <w:t xml:space="preserve"> blind and this cannot be explained by a reduction in working memory resources. One possibility is that the status of the unexpected stimulus in the standard </w:t>
      </w:r>
      <w:proofErr w:type="spellStart"/>
      <w:r w:rsidRPr="00817C8C">
        <w:t>inattentional</w:t>
      </w:r>
      <w:proofErr w:type="spellEnd"/>
      <w:r w:rsidRPr="00817C8C">
        <w:t xml:space="preserve"> blindness task is ambiguous and it is not clear whether the more efficient </w:t>
      </w:r>
      <w:r w:rsidR="00E540C0" w:rsidRPr="00817C8C">
        <w:t xml:space="preserve">performer should process it and remember it or process it and forget it. Some of our recent work has manipulated the relevancy of the unexpected change and shown that when the unexpected change is relevant to the task then people with high working memory capacity are more likely to report having seen it whereas when the unexpected change is irrelevant to the goal of the task, individuals with high working memory are actually </w:t>
      </w:r>
      <w:r w:rsidR="00E540C0" w:rsidRPr="00817C8C">
        <w:rPr>
          <w:i/>
        </w:rPr>
        <w:t>less likely</w:t>
      </w:r>
      <w:r w:rsidR="00E540C0" w:rsidRPr="00817C8C">
        <w:t xml:space="preserve"> to report having noticed it (Richards, Hannon, </w:t>
      </w:r>
      <w:proofErr w:type="spellStart"/>
      <w:r w:rsidR="00351B52" w:rsidRPr="00351B52">
        <w:rPr>
          <w:rFonts w:cs="Times New Roman"/>
        </w:rPr>
        <w:t>Iqbal</w:t>
      </w:r>
      <w:proofErr w:type="spellEnd"/>
      <w:r w:rsidR="00351B52" w:rsidRPr="00351B52">
        <w:rPr>
          <w:rFonts w:cs="Times New Roman"/>
        </w:rPr>
        <w:t xml:space="preserve"> </w:t>
      </w:r>
      <w:proofErr w:type="spellStart"/>
      <w:r w:rsidR="00351B52" w:rsidRPr="00351B52">
        <w:rPr>
          <w:rFonts w:cs="Times New Roman"/>
        </w:rPr>
        <w:t>Vohra</w:t>
      </w:r>
      <w:proofErr w:type="spellEnd"/>
      <w:r w:rsidR="00351B52" w:rsidRPr="00351B52">
        <w:rPr>
          <w:rFonts w:cs="Times New Roman"/>
        </w:rPr>
        <w:t>, &amp; Golan, 2013)</w:t>
      </w:r>
      <w:r w:rsidR="00E540C0" w:rsidRPr="00817C8C">
        <w:t xml:space="preserve">. </w:t>
      </w:r>
    </w:p>
    <w:p w:rsidR="009A67F1" w:rsidRPr="00817C8C" w:rsidRDefault="009A67F1">
      <w:pPr>
        <w:widowControl w:val="0"/>
        <w:autoSpaceDE w:val="0"/>
        <w:autoSpaceDN w:val="0"/>
        <w:adjustRightInd w:val="0"/>
        <w:spacing w:after="240" w:line="480" w:lineRule="auto"/>
        <w:ind w:firstLine="709"/>
        <w:rPr>
          <w:sz w:val="22"/>
          <w:szCs w:val="22"/>
        </w:rPr>
      </w:pPr>
      <w:r>
        <w:t>Given the fact</w:t>
      </w:r>
      <w:r w:rsidR="006C4B0F">
        <w:t>s</w:t>
      </w:r>
      <w:r>
        <w:t xml:space="preserve"> that susceptibility to IB has been shown to be related to WMC in this and several previous studies (e.g., Hannon &amp;</w:t>
      </w:r>
      <w:r w:rsidRPr="00E775A6">
        <w:t xml:space="preserve"> Richards</w:t>
      </w:r>
      <w:r>
        <w:t>,</w:t>
      </w:r>
      <w:r w:rsidRPr="00E775A6">
        <w:t xml:space="preserve"> 2010; </w:t>
      </w:r>
      <w:r>
        <w:t>Richards et al.</w:t>
      </w:r>
      <w:r w:rsidRPr="00AD27D2">
        <w:t xml:space="preserve">, </w:t>
      </w:r>
      <w:r>
        <w:t xml:space="preserve">2010, </w:t>
      </w:r>
      <w:r w:rsidRPr="00AD27D2">
        <w:t>2012</w:t>
      </w:r>
      <w:r>
        <w:t xml:space="preserve">; </w:t>
      </w:r>
      <w:proofErr w:type="spellStart"/>
      <w:r>
        <w:t>Seegmiller</w:t>
      </w:r>
      <w:proofErr w:type="spellEnd"/>
      <w:r>
        <w:t xml:space="preserve"> et al., 2011</w:t>
      </w:r>
      <w:r w:rsidRPr="00E775A6">
        <w:t>)</w:t>
      </w:r>
      <w:r>
        <w:t xml:space="preserve"> and that WMC is highly correlated with fluid intelligence (e.g., Conway et al., 2005; </w:t>
      </w:r>
      <w:proofErr w:type="spellStart"/>
      <w:r>
        <w:t>Salthouse</w:t>
      </w:r>
      <w:proofErr w:type="spellEnd"/>
      <w:r>
        <w:t xml:space="preserve"> &amp; Pink, 2008; </w:t>
      </w:r>
      <w:proofErr w:type="spellStart"/>
      <w:r w:rsidRPr="00E775A6">
        <w:t>U</w:t>
      </w:r>
      <w:r>
        <w:t>nsworth</w:t>
      </w:r>
      <w:proofErr w:type="spellEnd"/>
      <w:r>
        <w:t xml:space="preserve"> et al.</w:t>
      </w:r>
      <w:r w:rsidRPr="00E775A6">
        <w:t>, 2005</w:t>
      </w:r>
      <w:r>
        <w:t xml:space="preserve">), it would be interesting in future IB studies to include direct measures of fluid intelligence. </w:t>
      </w:r>
      <w:r w:rsidR="006C4B0F">
        <w:t xml:space="preserve">Furthermore, this pattern of findings might suggest that paranormal belief/experience is strongly related to fluid intelligence. Although a few studies (e.g., </w:t>
      </w:r>
      <w:proofErr w:type="spellStart"/>
      <w:r w:rsidR="006C4B0F">
        <w:t>Musch</w:t>
      </w:r>
      <w:proofErr w:type="spellEnd"/>
      <w:r w:rsidR="006C4B0F">
        <w:t xml:space="preserve"> &amp; Ehrenberg, 2002; Smith, Foster, &amp; </w:t>
      </w:r>
      <w:proofErr w:type="spellStart"/>
      <w:r w:rsidR="006C4B0F">
        <w:t>Stovin</w:t>
      </w:r>
      <w:proofErr w:type="spellEnd"/>
      <w:r w:rsidR="006C4B0F">
        <w:t xml:space="preserve">, 1998) have reported results consistent with this possibility, other studies have failed to do so (e.g., Jones, Russell, &amp; Nickel, 1977; Stuart-Hamilton, </w:t>
      </w:r>
      <w:proofErr w:type="spellStart"/>
      <w:r w:rsidR="006C4B0F">
        <w:t>Nayak</w:t>
      </w:r>
      <w:proofErr w:type="spellEnd"/>
      <w:r w:rsidR="006C4B0F">
        <w:t xml:space="preserve">, &amp; Priest, 2006). In general, it appears that there is </w:t>
      </w:r>
      <w:r w:rsidR="00C9244F">
        <w:t>at present little strong support for such a direct link between intelligence and paranormal belief (French &amp; Stone, 2014; Irwin, 2009) although there is a paucity of research into this basic issue.</w:t>
      </w:r>
    </w:p>
    <w:p w:rsidR="00652297" w:rsidRDefault="00F40E6C">
      <w:pPr>
        <w:widowControl w:val="0"/>
        <w:autoSpaceDE w:val="0"/>
        <w:autoSpaceDN w:val="0"/>
        <w:adjustRightInd w:val="0"/>
        <w:spacing w:after="240" w:line="480" w:lineRule="auto"/>
        <w:ind w:firstLine="709"/>
      </w:pPr>
      <w:r>
        <w:t>There are</w:t>
      </w:r>
      <w:r w:rsidR="00C9244F">
        <w:t>, of course,</w:t>
      </w:r>
      <w:r>
        <w:t xml:space="preserve"> inherent limitations in correlational research, as it is not possible to determine causality. In the current research, we have measured personality traits and cognitive performance without any attempt at manipulation. This restricts the conclusions that can be drawn and it is </w:t>
      </w:r>
      <w:r w:rsidR="00DF36BD">
        <w:t xml:space="preserve">thus </w:t>
      </w:r>
      <w:r>
        <w:t xml:space="preserve">not possible to </w:t>
      </w:r>
      <w:r w:rsidR="00DF36BD">
        <w:t xml:space="preserve">definitively </w:t>
      </w:r>
      <w:r>
        <w:t xml:space="preserve">conclude that having a low working memory score leads to either </w:t>
      </w:r>
      <w:proofErr w:type="spellStart"/>
      <w:r>
        <w:t>inattentional</w:t>
      </w:r>
      <w:proofErr w:type="spellEnd"/>
      <w:r>
        <w:t xml:space="preserve"> blindness or</w:t>
      </w:r>
      <w:r w:rsidR="00DF36BD">
        <w:t>, indirectly,</w:t>
      </w:r>
      <w:r>
        <w:t xml:space="preserve"> to a propensity to believe in paranormal phenomenon.</w:t>
      </w:r>
      <w:r w:rsidR="00DF36BD">
        <w:t xml:space="preserve"> Having said that, such an account is inherently plausible</w:t>
      </w:r>
    </w:p>
    <w:p w:rsidR="00490242" w:rsidRDefault="00490242" w:rsidP="00E775A6">
      <w:pPr>
        <w:spacing w:line="480" w:lineRule="auto"/>
        <w:rPr>
          <w:rFonts w:cs="Times New Roman"/>
        </w:rPr>
      </w:pPr>
    </w:p>
    <w:p w:rsidR="00490242" w:rsidRPr="00751B95" w:rsidRDefault="009A67F1" w:rsidP="00751B95">
      <w:pPr>
        <w:spacing w:line="480" w:lineRule="auto"/>
        <w:jc w:val="center"/>
        <w:rPr>
          <w:rFonts w:cs="Times New Roman"/>
        </w:rPr>
      </w:pPr>
      <w:r>
        <w:rPr>
          <w:rFonts w:cs="Times New Roman"/>
        </w:rPr>
        <w:t>General Discussion</w:t>
      </w:r>
    </w:p>
    <w:p w:rsidR="00C66959" w:rsidRDefault="00490242" w:rsidP="002343E5">
      <w:pPr>
        <w:spacing w:line="480" w:lineRule="auto"/>
        <w:rPr>
          <w:rFonts w:cs="Times New Roman"/>
        </w:rPr>
      </w:pPr>
      <w:r>
        <w:rPr>
          <w:rFonts w:cs="Times New Roman"/>
        </w:rPr>
        <w:t xml:space="preserve">In two </w:t>
      </w:r>
      <w:r w:rsidR="003D1DCC">
        <w:rPr>
          <w:rFonts w:cs="Times New Roman"/>
        </w:rPr>
        <w:t>studies</w:t>
      </w:r>
      <w:r w:rsidR="00DF36BD">
        <w:rPr>
          <w:rFonts w:cs="Times New Roman"/>
        </w:rPr>
        <w:t>,</w:t>
      </w:r>
      <w:r w:rsidR="003D1DCC">
        <w:rPr>
          <w:rFonts w:cs="Times New Roman"/>
        </w:rPr>
        <w:t xml:space="preserve"> </w:t>
      </w:r>
      <w:r w:rsidR="008801BC">
        <w:rPr>
          <w:rFonts w:cs="Times New Roman"/>
        </w:rPr>
        <w:t xml:space="preserve">higher absorption and </w:t>
      </w:r>
      <w:r w:rsidR="00741D94">
        <w:rPr>
          <w:rFonts w:cs="Times New Roman"/>
        </w:rPr>
        <w:t xml:space="preserve">paranormal </w:t>
      </w:r>
      <w:r w:rsidR="008801BC">
        <w:rPr>
          <w:rFonts w:cs="Times New Roman"/>
        </w:rPr>
        <w:t xml:space="preserve">belief </w:t>
      </w:r>
      <w:r w:rsidR="004B77C5">
        <w:rPr>
          <w:rFonts w:cs="Times New Roman"/>
        </w:rPr>
        <w:t>were</w:t>
      </w:r>
      <w:r w:rsidR="008801BC">
        <w:rPr>
          <w:rFonts w:cs="Times New Roman"/>
        </w:rPr>
        <w:t xml:space="preserve"> associated with the failure to notice an unexpected stimulus appearing in the visual field. </w:t>
      </w:r>
      <w:r w:rsidR="00826D08">
        <w:rPr>
          <w:rFonts w:cs="Times New Roman"/>
        </w:rPr>
        <w:t>Both</w:t>
      </w:r>
      <w:r w:rsidR="008801BC">
        <w:rPr>
          <w:rFonts w:cs="Times New Roman"/>
        </w:rPr>
        <w:t xml:space="preserve"> </w:t>
      </w:r>
      <w:r w:rsidR="003D1DCC">
        <w:rPr>
          <w:rFonts w:cs="Times New Roman"/>
        </w:rPr>
        <w:t xml:space="preserve">studies </w:t>
      </w:r>
      <w:r w:rsidR="008801BC">
        <w:rPr>
          <w:rFonts w:cs="Times New Roman"/>
        </w:rPr>
        <w:t>showed that absorption was important in predicting IB</w:t>
      </w:r>
      <w:r w:rsidR="00826D08">
        <w:rPr>
          <w:rFonts w:cs="Times New Roman"/>
        </w:rPr>
        <w:t xml:space="preserve">, </w:t>
      </w:r>
      <w:r w:rsidR="004B77C5">
        <w:rPr>
          <w:rFonts w:cs="Times New Roman"/>
        </w:rPr>
        <w:t xml:space="preserve">suggesting that the effect </w:t>
      </w:r>
      <w:r w:rsidR="00973C2D">
        <w:rPr>
          <w:rFonts w:cs="Times New Roman"/>
        </w:rPr>
        <w:t>is replicable</w:t>
      </w:r>
      <w:r w:rsidR="008801BC">
        <w:rPr>
          <w:rFonts w:cs="Times New Roman"/>
        </w:rPr>
        <w:t>.</w:t>
      </w:r>
      <w:r w:rsidR="002613DA" w:rsidRPr="00E775A6">
        <w:rPr>
          <w:rFonts w:cs="Times New Roman"/>
        </w:rPr>
        <w:t xml:space="preserve"> The IBs score</w:t>
      </w:r>
      <w:r w:rsidR="004B77C5">
        <w:rPr>
          <w:rFonts w:cs="Times New Roman"/>
        </w:rPr>
        <w:t>d</w:t>
      </w:r>
      <w:r w:rsidR="002613DA" w:rsidRPr="00E775A6">
        <w:rPr>
          <w:rFonts w:cs="Times New Roman"/>
        </w:rPr>
        <w:t xml:space="preserve"> more highly than NIBs on paranormal belief/experience, supporting the suggestion that IB may sometimes be a factor in </w:t>
      </w:r>
      <w:r w:rsidR="00DF36BD">
        <w:rPr>
          <w:rFonts w:cs="Times New Roman"/>
        </w:rPr>
        <w:t xml:space="preserve">reports of </w:t>
      </w:r>
      <w:r w:rsidR="002613DA" w:rsidRPr="00E775A6">
        <w:rPr>
          <w:rFonts w:cs="Times New Roman"/>
        </w:rPr>
        <w:t xml:space="preserve">ostensibly paranormal experiences. </w:t>
      </w:r>
      <w:r w:rsidR="00C66959">
        <w:rPr>
          <w:rFonts w:cs="Times New Roman"/>
        </w:rPr>
        <w:t>The reported findings are particularly noteworthy as they are arguably the first to demonstrate a link between susceptibility to IB and a personality variable (i.e., absorption).</w:t>
      </w:r>
    </w:p>
    <w:p w:rsidR="002343E5" w:rsidRDefault="003D1DCC" w:rsidP="0053628B">
      <w:pPr>
        <w:spacing w:line="480" w:lineRule="auto"/>
        <w:ind w:firstLine="567"/>
        <w:rPr>
          <w:rFonts w:cs="Times New Roman"/>
        </w:rPr>
      </w:pPr>
      <w:r>
        <w:rPr>
          <w:rFonts w:cs="Times New Roman"/>
        </w:rPr>
        <w:t>Study</w:t>
      </w:r>
      <w:r w:rsidRPr="00E775A6">
        <w:rPr>
          <w:rFonts w:cs="Times New Roman"/>
        </w:rPr>
        <w:t xml:space="preserve"> </w:t>
      </w:r>
      <w:r w:rsidR="002613DA" w:rsidRPr="00E775A6">
        <w:rPr>
          <w:rFonts w:cs="Times New Roman"/>
        </w:rPr>
        <w:t xml:space="preserve">2 confirmed and extended the findings of </w:t>
      </w:r>
      <w:r>
        <w:rPr>
          <w:rFonts w:cs="Times New Roman"/>
        </w:rPr>
        <w:t>Study</w:t>
      </w:r>
      <w:r w:rsidRPr="00E775A6">
        <w:rPr>
          <w:rFonts w:cs="Times New Roman"/>
        </w:rPr>
        <w:t xml:space="preserve"> </w:t>
      </w:r>
      <w:r w:rsidR="002613DA" w:rsidRPr="00E775A6">
        <w:rPr>
          <w:rFonts w:cs="Times New Roman"/>
        </w:rPr>
        <w:t xml:space="preserve">1 and confirmed previous findings </w:t>
      </w:r>
      <w:r w:rsidR="00D546A6">
        <w:rPr>
          <w:rFonts w:cs="Times New Roman"/>
        </w:rPr>
        <w:t>(</w:t>
      </w:r>
      <w:r w:rsidR="00741D94" w:rsidRPr="00E775A6">
        <w:rPr>
          <w:rFonts w:cs="Times New Roman"/>
        </w:rPr>
        <w:t xml:space="preserve">Hannon </w:t>
      </w:r>
      <w:r w:rsidR="00741D94">
        <w:rPr>
          <w:rFonts w:cs="Times New Roman"/>
        </w:rPr>
        <w:t xml:space="preserve">&amp; </w:t>
      </w:r>
      <w:r w:rsidR="00741D94" w:rsidRPr="00E775A6">
        <w:rPr>
          <w:rFonts w:cs="Times New Roman"/>
        </w:rPr>
        <w:t>Richards</w:t>
      </w:r>
      <w:r w:rsidR="00741D94">
        <w:rPr>
          <w:rFonts w:cs="Times New Roman"/>
        </w:rPr>
        <w:t>,</w:t>
      </w:r>
      <w:r w:rsidR="00741D94" w:rsidRPr="00E775A6">
        <w:rPr>
          <w:rFonts w:cs="Times New Roman"/>
        </w:rPr>
        <w:t xml:space="preserve"> </w:t>
      </w:r>
      <w:r w:rsidR="00D546A6">
        <w:rPr>
          <w:rFonts w:cs="Times New Roman"/>
        </w:rPr>
        <w:t>2010; Richards et al., 2010</w:t>
      </w:r>
      <w:r w:rsidR="00527911">
        <w:rPr>
          <w:rFonts w:cs="Times New Roman"/>
        </w:rPr>
        <w:t>,</w:t>
      </w:r>
      <w:r w:rsidR="00D546A6">
        <w:rPr>
          <w:rFonts w:cs="Times New Roman"/>
        </w:rPr>
        <w:t xml:space="preserve"> 2012) </w:t>
      </w:r>
      <w:r w:rsidR="002613DA" w:rsidRPr="00E775A6">
        <w:rPr>
          <w:rFonts w:cs="Times New Roman"/>
        </w:rPr>
        <w:t xml:space="preserve">indicating that low WMC </w:t>
      </w:r>
      <w:r w:rsidR="001F7DD6">
        <w:rPr>
          <w:rFonts w:cs="Times New Roman"/>
        </w:rPr>
        <w:t>is</w:t>
      </w:r>
      <w:r w:rsidR="002613DA" w:rsidRPr="00E775A6">
        <w:rPr>
          <w:rFonts w:cs="Times New Roman"/>
        </w:rPr>
        <w:t xml:space="preserve"> a determining factor in producing IB. </w:t>
      </w:r>
      <w:r w:rsidR="00280571">
        <w:rPr>
          <w:rFonts w:cs="Times New Roman"/>
        </w:rPr>
        <w:t>We have demonstrated that although belief in the paranormal is associated with high absorption</w:t>
      </w:r>
      <w:r w:rsidR="00DF36BD">
        <w:rPr>
          <w:rFonts w:cs="Times New Roman"/>
        </w:rPr>
        <w:t>,</w:t>
      </w:r>
      <w:r w:rsidR="00280571">
        <w:rPr>
          <w:rFonts w:cs="Times New Roman"/>
        </w:rPr>
        <w:t xml:space="preserve"> there is an underlying cognitive deficit in </w:t>
      </w:r>
      <w:r w:rsidR="001F7DD6">
        <w:rPr>
          <w:rFonts w:cs="Times New Roman"/>
        </w:rPr>
        <w:t>WMC</w:t>
      </w:r>
      <w:r w:rsidR="00280571">
        <w:rPr>
          <w:rFonts w:cs="Times New Roman"/>
        </w:rPr>
        <w:t xml:space="preserve">. </w:t>
      </w:r>
      <w:r w:rsidR="00855668">
        <w:rPr>
          <w:rFonts w:cs="Times New Roman"/>
        </w:rPr>
        <w:t>L</w:t>
      </w:r>
      <w:r w:rsidR="007A4C9F">
        <w:rPr>
          <w:rFonts w:cs="Times New Roman"/>
        </w:rPr>
        <w:t xml:space="preserve">ow </w:t>
      </w:r>
      <w:r w:rsidR="001F7DD6">
        <w:rPr>
          <w:rFonts w:cs="Times New Roman"/>
        </w:rPr>
        <w:t>WMC</w:t>
      </w:r>
      <w:r w:rsidR="007A4C9F">
        <w:rPr>
          <w:rFonts w:cs="Times New Roman"/>
        </w:rPr>
        <w:t xml:space="preserve"> may render the individual</w:t>
      </w:r>
      <w:r w:rsidR="00855668">
        <w:rPr>
          <w:rFonts w:cs="Times New Roman"/>
        </w:rPr>
        <w:t xml:space="preserve"> effectively</w:t>
      </w:r>
      <w:r w:rsidR="007A4C9F">
        <w:rPr>
          <w:rFonts w:cs="Times New Roman"/>
        </w:rPr>
        <w:t xml:space="preserve"> blind to events that are ca</w:t>
      </w:r>
      <w:r w:rsidR="00DF36BD">
        <w:rPr>
          <w:rFonts w:cs="Times New Roman"/>
        </w:rPr>
        <w:t>u</w:t>
      </w:r>
      <w:r w:rsidR="007A4C9F">
        <w:rPr>
          <w:rFonts w:cs="Times New Roman"/>
        </w:rPr>
        <w:t>sally related to a</w:t>
      </w:r>
      <w:r w:rsidR="00527911">
        <w:rPr>
          <w:rFonts w:cs="Times New Roman"/>
        </w:rPr>
        <w:t>n ostensibly</w:t>
      </w:r>
      <w:r w:rsidR="007A4C9F">
        <w:rPr>
          <w:rFonts w:cs="Times New Roman"/>
        </w:rPr>
        <w:t xml:space="preserve"> paranormal encounter</w:t>
      </w:r>
      <w:r w:rsidR="00855668">
        <w:rPr>
          <w:rFonts w:cs="Times New Roman"/>
        </w:rPr>
        <w:t xml:space="preserve"> because only a limited amount of information from the environment is attended to and fully processed</w:t>
      </w:r>
      <w:r w:rsidR="007A4C9F">
        <w:rPr>
          <w:rFonts w:cs="Times New Roman"/>
        </w:rPr>
        <w:t xml:space="preserve">. The failure to </w:t>
      </w:r>
      <w:r w:rsidR="00335E52">
        <w:rPr>
          <w:rFonts w:cs="Times New Roman"/>
        </w:rPr>
        <w:t xml:space="preserve">perceive and remember causally connecting events, such as </w:t>
      </w:r>
      <w:r w:rsidR="00E14D5C">
        <w:rPr>
          <w:rFonts w:cs="Times New Roman"/>
        </w:rPr>
        <w:t xml:space="preserve">someone </w:t>
      </w:r>
      <w:r w:rsidR="00335E52">
        <w:rPr>
          <w:rFonts w:cs="Times New Roman"/>
        </w:rPr>
        <w:t>moving a</w:t>
      </w:r>
      <w:r w:rsidR="00E14D5C">
        <w:rPr>
          <w:rFonts w:cs="Times New Roman"/>
        </w:rPr>
        <w:t>n object</w:t>
      </w:r>
      <w:r w:rsidR="00335E52">
        <w:rPr>
          <w:rFonts w:cs="Times New Roman"/>
        </w:rPr>
        <w:t xml:space="preserve"> from one location to another, may encourage </w:t>
      </w:r>
      <w:r w:rsidR="00826D08">
        <w:rPr>
          <w:rFonts w:cs="Times New Roman"/>
        </w:rPr>
        <w:t>a paranormal interpretation.</w:t>
      </w:r>
      <w:r w:rsidR="00335E52">
        <w:rPr>
          <w:rFonts w:cs="Times New Roman"/>
        </w:rPr>
        <w:t xml:space="preserve"> </w:t>
      </w:r>
      <w:r w:rsidR="00DF36BD">
        <w:rPr>
          <w:rFonts w:cs="Times New Roman"/>
        </w:rPr>
        <w:t xml:space="preserve">Alternatively, absorption may be linked to </w:t>
      </w:r>
      <w:r w:rsidR="00C66959">
        <w:rPr>
          <w:rFonts w:cs="Times New Roman"/>
        </w:rPr>
        <w:t xml:space="preserve">paranormal belief and reports of ostensibly paranormal experiences via other routes, such as the association between absorption and hallucinatory tendencies on the one hand and </w:t>
      </w:r>
      <w:r w:rsidR="004D5238">
        <w:rPr>
          <w:rFonts w:cs="Times New Roman"/>
        </w:rPr>
        <w:t xml:space="preserve">that between absorption and </w:t>
      </w:r>
      <w:r w:rsidR="00C66959">
        <w:rPr>
          <w:rFonts w:cs="Times New Roman"/>
        </w:rPr>
        <w:t>susceptibility to false memories on the other. Future research should attempt to dis</w:t>
      </w:r>
      <w:r w:rsidR="004D5238">
        <w:rPr>
          <w:rFonts w:cs="Times New Roman"/>
        </w:rPr>
        <w:t>tinguish between these various possibilities.</w:t>
      </w:r>
    </w:p>
    <w:p w:rsidR="002343E5" w:rsidRDefault="002343E5">
      <w:pPr>
        <w:rPr>
          <w:rFonts w:cs="Times New Roman"/>
        </w:rPr>
      </w:pPr>
    </w:p>
    <w:p w:rsidR="00F3093F" w:rsidRDefault="00F3093F" w:rsidP="00F3093F">
      <w:pPr>
        <w:spacing w:line="480" w:lineRule="auto"/>
        <w:jc w:val="center"/>
      </w:pPr>
      <w:r>
        <w:t>References</w:t>
      </w:r>
    </w:p>
    <w:p w:rsidR="00F3093F" w:rsidRPr="0014715F" w:rsidRDefault="00F3093F" w:rsidP="00121087">
      <w:pPr>
        <w:widowControl w:val="0"/>
        <w:tabs>
          <w:tab w:val="left" w:pos="284"/>
          <w:tab w:val="left" w:pos="426"/>
        </w:tabs>
        <w:autoSpaceDE w:val="0"/>
        <w:autoSpaceDN w:val="0"/>
        <w:adjustRightInd w:val="0"/>
        <w:spacing w:line="480" w:lineRule="auto"/>
        <w:ind w:left="567" w:hanging="567"/>
        <w:rPr>
          <w:rFonts w:cs="Times-Roman"/>
          <w:szCs w:val="16"/>
        </w:rPr>
      </w:pPr>
      <w:r w:rsidRPr="00D04D7E">
        <w:rPr>
          <w:rFonts w:cs="Times-Roman"/>
          <w:szCs w:val="16"/>
        </w:rPr>
        <w:t>Bleckley, M.</w:t>
      </w:r>
      <w:r>
        <w:rPr>
          <w:rFonts w:cs="Times-Roman"/>
          <w:szCs w:val="16"/>
        </w:rPr>
        <w:t xml:space="preserve"> </w:t>
      </w:r>
      <w:r w:rsidRPr="00D04D7E">
        <w:rPr>
          <w:rFonts w:cs="Times-Roman"/>
          <w:szCs w:val="16"/>
        </w:rPr>
        <w:t xml:space="preserve">K., </w:t>
      </w:r>
      <w:proofErr w:type="spellStart"/>
      <w:r w:rsidRPr="00D04D7E">
        <w:rPr>
          <w:rFonts w:cs="Times-Roman"/>
          <w:szCs w:val="16"/>
        </w:rPr>
        <w:t>Durso</w:t>
      </w:r>
      <w:proofErr w:type="spellEnd"/>
      <w:r w:rsidRPr="00D04D7E">
        <w:rPr>
          <w:rFonts w:cs="Times-Roman"/>
          <w:szCs w:val="16"/>
        </w:rPr>
        <w:t>, F.</w:t>
      </w:r>
      <w:r>
        <w:rPr>
          <w:rFonts w:cs="Times-Roman"/>
          <w:szCs w:val="16"/>
        </w:rPr>
        <w:t xml:space="preserve"> </w:t>
      </w:r>
      <w:r w:rsidRPr="00D04D7E">
        <w:rPr>
          <w:rFonts w:cs="Times-Roman"/>
          <w:szCs w:val="16"/>
        </w:rPr>
        <w:t>T., Crutchfield, J.</w:t>
      </w:r>
      <w:r>
        <w:rPr>
          <w:rFonts w:cs="Times-Roman"/>
          <w:szCs w:val="16"/>
        </w:rPr>
        <w:t xml:space="preserve"> </w:t>
      </w:r>
      <w:r w:rsidRPr="00D04D7E">
        <w:rPr>
          <w:rFonts w:cs="Times-Roman"/>
          <w:szCs w:val="16"/>
        </w:rPr>
        <w:t>M., Engle, R.</w:t>
      </w:r>
      <w:r>
        <w:rPr>
          <w:rFonts w:cs="Times-Roman"/>
          <w:szCs w:val="16"/>
        </w:rPr>
        <w:t xml:space="preserve"> </w:t>
      </w:r>
      <w:r w:rsidRPr="00D04D7E">
        <w:rPr>
          <w:rFonts w:cs="Times-Roman"/>
          <w:szCs w:val="16"/>
        </w:rPr>
        <w:t xml:space="preserve">W., &amp; </w:t>
      </w:r>
      <w:proofErr w:type="spellStart"/>
      <w:r w:rsidRPr="00D04D7E">
        <w:rPr>
          <w:rFonts w:cs="Times-Roman"/>
          <w:szCs w:val="16"/>
        </w:rPr>
        <w:t>Khanna</w:t>
      </w:r>
      <w:proofErr w:type="spellEnd"/>
      <w:r w:rsidRPr="00D04D7E">
        <w:rPr>
          <w:rFonts w:cs="Times-Roman"/>
          <w:szCs w:val="16"/>
        </w:rPr>
        <w:t>, M.</w:t>
      </w:r>
      <w:r>
        <w:rPr>
          <w:rFonts w:cs="Times-Roman"/>
          <w:szCs w:val="16"/>
        </w:rPr>
        <w:t xml:space="preserve"> </w:t>
      </w:r>
      <w:r w:rsidRPr="00D04D7E">
        <w:rPr>
          <w:rFonts w:cs="Times-Roman"/>
          <w:szCs w:val="16"/>
        </w:rPr>
        <w:t xml:space="preserve">M. (2003). </w:t>
      </w:r>
      <w:r w:rsidRPr="0014715F">
        <w:rPr>
          <w:rFonts w:cs="Times-Roman"/>
          <w:szCs w:val="16"/>
        </w:rPr>
        <w:t xml:space="preserve">Individual differences in working memory capacity predict visual </w:t>
      </w:r>
      <w:proofErr w:type="spellStart"/>
      <w:r w:rsidRPr="0014715F">
        <w:rPr>
          <w:rFonts w:cs="Times-Roman"/>
          <w:szCs w:val="16"/>
        </w:rPr>
        <w:t>attentional</w:t>
      </w:r>
      <w:proofErr w:type="spellEnd"/>
      <w:r w:rsidRPr="0014715F">
        <w:rPr>
          <w:rFonts w:cs="Times-Roman"/>
          <w:szCs w:val="16"/>
        </w:rPr>
        <w:t xml:space="preserve"> allocation. </w:t>
      </w:r>
      <w:proofErr w:type="spellStart"/>
      <w:r w:rsidRPr="0014715F">
        <w:rPr>
          <w:rFonts w:cs="Times-Roman"/>
          <w:i/>
          <w:szCs w:val="16"/>
        </w:rPr>
        <w:t>Psychonomic</w:t>
      </w:r>
      <w:proofErr w:type="spellEnd"/>
      <w:r w:rsidRPr="0014715F">
        <w:rPr>
          <w:rFonts w:cs="Times-Roman"/>
          <w:i/>
          <w:szCs w:val="16"/>
        </w:rPr>
        <w:t xml:space="preserve"> Bulletin &amp; Review, 10,</w:t>
      </w:r>
      <w:r w:rsidRPr="0014715F">
        <w:rPr>
          <w:rFonts w:cs="Times-Roman"/>
          <w:szCs w:val="16"/>
        </w:rPr>
        <w:t xml:space="preserve"> 884-889.</w:t>
      </w:r>
    </w:p>
    <w:p w:rsidR="00F3093F" w:rsidRDefault="00F3093F" w:rsidP="00121087">
      <w:pPr>
        <w:spacing w:line="480" w:lineRule="auto"/>
        <w:ind w:left="567" w:hanging="567"/>
      </w:pPr>
      <w:proofErr w:type="spellStart"/>
      <w:r>
        <w:t>Clifasefi</w:t>
      </w:r>
      <w:proofErr w:type="spellEnd"/>
      <w:r>
        <w:t xml:space="preserve">, S. L., </w:t>
      </w:r>
      <w:proofErr w:type="spellStart"/>
      <w:r>
        <w:t>Takarangi</w:t>
      </w:r>
      <w:proofErr w:type="spellEnd"/>
      <w:r>
        <w:t xml:space="preserve">, M. K. T., &amp; Bergman, J. S. (2006). Blind drunk: The effects of alcohol on </w:t>
      </w:r>
      <w:proofErr w:type="spellStart"/>
      <w:r>
        <w:t>inattentional</w:t>
      </w:r>
      <w:proofErr w:type="spellEnd"/>
      <w:r>
        <w:t xml:space="preserve"> blindness. </w:t>
      </w:r>
      <w:r>
        <w:rPr>
          <w:i/>
        </w:rPr>
        <w:t>Applied Cognitive Psychology, 20,</w:t>
      </w:r>
      <w:r>
        <w:t xml:space="preserve"> 697-704.</w:t>
      </w:r>
    </w:p>
    <w:p w:rsidR="003B651D" w:rsidRDefault="00F3093F">
      <w:pPr>
        <w:pStyle w:val="BodyText"/>
        <w:spacing w:after="0" w:line="480" w:lineRule="auto"/>
        <w:ind w:left="567" w:hanging="567"/>
        <w:rPr>
          <w:rFonts w:asciiTheme="minorHAnsi" w:hAnsiTheme="minorHAnsi" w:cs="Georgia"/>
        </w:rPr>
      </w:pPr>
      <w:r>
        <w:rPr>
          <w:rFonts w:eastAsia="Calibri"/>
        </w:rPr>
        <w:t xml:space="preserve">Conway, A. R. A., &amp; Engle, R. W. (1994). Working memory and retrieval: a resource-dependent inhibition model. </w:t>
      </w:r>
      <w:r>
        <w:rPr>
          <w:rFonts w:eastAsia="Calibri"/>
          <w:i/>
        </w:rPr>
        <w:t xml:space="preserve">Journal of Experimental Psychology: General, </w:t>
      </w:r>
      <w:r>
        <w:rPr>
          <w:rFonts w:eastAsia="Calibri"/>
        </w:rPr>
        <w:t xml:space="preserve">123, </w:t>
      </w:r>
      <w:r w:rsidR="00096E95" w:rsidRPr="00096E95">
        <w:rPr>
          <w:rFonts w:asciiTheme="minorHAnsi" w:eastAsia="Calibri" w:hAnsiTheme="minorHAnsi"/>
        </w:rPr>
        <w:t>354-373.</w:t>
      </w:r>
      <w:r w:rsidR="00096E95" w:rsidRPr="00096E95">
        <w:rPr>
          <w:rFonts w:asciiTheme="minorHAnsi" w:hAnsiTheme="minorHAnsi" w:cs="Georgia"/>
        </w:rPr>
        <w:t xml:space="preserve"> </w:t>
      </w:r>
    </w:p>
    <w:p w:rsidR="003B651D" w:rsidRDefault="00096E95">
      <w:pPr>
        <w:pStyle w:val="BodyText"/>
        <w:spacing w:after="0" w:line="480" w:lineRule="auto"/>
        <w:ind w:left="567" w:hanging="567"/>
        <w:rPr>
          <w:rFonts w:asciiTheme="minorHAnsi" w:eastAsia="Calibri" w:hAnsiTheme="minorHAnsi"/>
        </w:rPr>
      </w:pPr>
      <w:r w:rsidRPr="00096E95">
        <w:rPr>
          <w:rFonts w:asciiTheme="minorHAnsi" w:hAnsiTheme="minorHAnsi" w:cs="Georgia"/>
        </w:rPr>
        <w:t xml:space="preserve">Conway, A. R. A., Kane, M. J., Bunting, M.F., </w:t>
      </w:r>
      <w:proofErr w:type="spellStart"/>
      <w:r w:rsidRPr="00096E95">
        <w:rPr>
          <w:rFonts w:asciiTheme="minorHAnsi" w:hAnsiTheme="minorHAnsi" w:cs="Georgia"/>
        </w:rPr>
        <w:t>Hambrick</w:t>
      </w:r>
      <w:proofErr w:type="spellEnd"/>
      <w:r w:rsidRPr="00096E95">
        <w:rPr>
          <w:rFonts w:asciiTheme="minorHAnsi" w:hAnsiTheme="minorHAnsi" w:cs="Georgia"/>
        </w:rPr>
        <w:t xml:space="preserve">, D.Z., Wilhelm, O., &amp; Engle, R. W. (2005). Working memory span tasks: A methodological review and user’s guide. </w:t>
      </w:r>
      <w:proofErr w:type="spellStart"/>
      <w:r w:rsidRPr="00096E95">
        <w:rPr>
          <w:rFonts w:asciiTheme="minorHAnsi" w:hAnsiTheme="minorHAnsi" w:cs="Georgia"/>
          <w:i/>
        </w:rPr>
        <w:t>Psychonomic</w:t>
      </w:r>
      <w:proofErr w:type="spellEnd"/>
      <w:r w:rsidRPr="00096E95">
        <w:rPr>
          <w:rFonts w:asciiTheme="minorHAnsi" w:hAnsiTheme="minorHAnsi" w:cs="Georgia"/>
          <w:i/>
        </w:rPr>
        <w:t xml:space="preserve"> Bulletin &amp; Review</w:t>
      </w:r>
      <w:r w:rsidRPr="00096E95">
        <w:rPr>
          <w:rFonts w:asciiTheme="minorHAnsi" w:hAnsiTheme="minorHAnsi" w:cs="Georgia"/>
        </w:rPr>
        <w:t xml:space="preserve">, </w:t>
      </w:r>
      <w:r w:rsidRPr="00096E95">
        <w:rPr>
          <w:rFonts w:asciiTheme="minorHAnsi" w:hAnsiTheme="minorHAnsi" w:cs="Georgia"/>
          <w:i/>
        </w:rPr>
        <w:t>12</w:t>
      </w:r>
      <w:r w:rsidRPr="00096E95">
        <w:rPr>
          <w:rFonts w:asciiTheme="minorHAnsi" w:hAnsiTheme="minorHAnsi" w:cs="Georgia"/>
        </w:rPr>
        <w:t xml:space="preserve">, 769–786. </w:t>
      </w:r>
    </w:p>
    <w:p w:rsidR="00F3093F" w:rsidRDefault="00F3093F" w:rsidP="00121087">
      <w:pPr>
        <w:spacing w:line="480" w:lineRule="auto"/>
        <w:ind w:left="567" w:hanging="567"/>
      </w:pPr>
      <w:r>
        <w:rPr>
          <w:rFonts w:cs="Arial"/>
          <w:color w:val="2A2A2A"/>
          <w:szCs w:val="26"/>
        </w:rPr>
        <w:t>Cornell</w:t>
      </w:r>
      <w:r w:rsidR="003D1DCC">
        <w:rPr>
          <w:rFonts w:cs="Arial"/>
          <w:color w:val="2A2A2A"/>
          <w:szCs w:val="26"/>
        </w:rPr>
        <w:t>,</w:t>
      </w:r>
      <w:r>
        <w:rPr>
          <w:rFonts w:cs="Arial"/>
          <w:color w:val="2A2A2A"/>
          <w:szCs w:val="26"/>
        </w:rPr>
        <w:t xml:space="preserve"> A. D. </w:t>
      </w:r>
      <w:r w:rsidRPr="00AD27D2">
        <w:rPr>
          <w:rFonts w:cs="Arial"/>
          <w:color w:val="2A2A2A"/>
          <w:szCs w:val="26"/>
        </w:rPr>
        <w:t>(1960)</w:t>
      </w:r>
      <w:r>
        <w:rPr>
          <w:rFonts w:cs="Arial"/>
          <w:color w:val="2A2A2A"/>
          <w:szCs w:val="26"/>
        </w:rPr>
        <w:t xml:space="preserve">. </w:t>
      </w:r>
      <w:proofErr w:type="gramStart"/>
      <w:r>
        <w:rPr>
          <w:rFonts w:cs="Arial"/>
          <w:color w:val="2A2A2A"/>
          <w:szCs w:val="26"/>
        </w:rPr>
        <w:t>Further experiments in apparitional observation.</w:t>
      </w:r>
      <w:proofErr w:type="gramEnd"/>
      <w:r>
        <w:rPr>
          <w:rFonts w:cs="Arial"/>
          <w:color w:val="2A2A2A"/>
          <w:szCs w:val="26"/>
        </w:rPr>
        <w:t xml:space="preserve"> </w:t>
      </w:r>
      <w:r>
        <w:rPr>
          <w:rFonts w:cs="Arial"/>
          <w:i/>
          <w:color w:val="2A2A2A"/>
          <w:szCs w:val="26"/>
        </w:rPr>
        <w:t xml:space="preserve">Journal of the Society for Psychical Research, </w:t>
      </w:r>
      <w:r>
        <w:rPr>
          <w:rFonts w:cs="Arial"/>
          <w:color w:val="2A2A2A"/>
          <w:szCs w:val="26"/>
        </w:rPr>
        <w:t>409-418.</w:t>
      </w:r>
      <w:r w:rsidRPr="00DA30E7">
        <w:t xml:space="preserve"> </w:t>
      </w:r>
    </w:p>
    <w:p w:rsidR="00002356" w:rsidRDefault="00F3093F" w:rsidP="00121087">
      <w:pPr>
        <w:tabs>
          <w:tab w:val="left" w:pos="426"/>
          <w:tab w:val="left" w:pos="540"/>
        </w:tabs>
        <w:spacing w:line="480" w:lineRule="auto"/>
        <w:ind w:left="567" w:hanging="567"/>
      </w:pPr>
      <w:proofErr w:type="spellStart"/>
      <w:proofErr w:type="gramStart"/>
      <w:r>
        <w:t>Daneman</w:t>
      </w:r>
      <w:proofErr w:type="spellEnd"/>
      <w:r>
        <w:t>, M., &amp; Carpenter, P.A. (1980).</w:t>
      </w:r>
      <w:proofErr w:type="gramEnd"/>
      <w:r>
        <w:t xml:space="preserve"> </w:t>
      </w:r>
      <w:proofErr w:type="gramStart"/>
      <w:r>
        <w:t>Individual differences in working memory and reading.</w:t>
      </w:r>
      <w:proofErr w:type="gramEnd"/>
      <w:r>
        <w:t xml:space="preserve"> </w:t>
      </w:r>
      <w:r>
        <w:rPr>
          <w:i/>
          <w:iCs/>
        </w:rPr>
        <w:t>Journal of Verbal Learning and Verbal Behavior, 19</w:t>
      </w:r>
      <w:r>
        <w:t>, 450-466</w:t>
      </w:r>
    </w:p>
    <w:p w:rsidR="00F3093F" w:rsidRDefault="00F3093F" w:rsidP="00121087">
      <w:pPr>
        <w:tabs>
          <w:tab w:val="left" w:pos="426"/>
          <w:tab w:val="left" w:pos="540"/>
        </w:tabs>
        <w:spacing w:line="480" w:lineRule="auto"/>
        <w:ind w:left="567" w:hanging="567"/>
      </w:pPr>
      <w:r>
        <w:t xml:space="preserve">French, C. C. (2003). Fantastic memories: The relevance of research into eyewitness testimony and false memories for reports of anomalous experiences. </w:t>
      </w:r>
      <w:r>
        <w:rPr>
          <w:i/>
        </w:rPr>
        <w:t>Journal of Consciousness Studies</w:t>
      </w:r>
      <w:r>
        <w:t>, 10, 153-174.</w:t>
      </w:r>
    </w:p>
    <w:p w:rsidR="00121087" w:rsidRDefault="00121087" w:rsidP="00121087">
      <w:pPr>
        <w:tabs>
          <w:tab w:val="left" w:pos="426"/>
          <w:tab w:val="left" w:pos="540"/>
        </w:tabs>
        <w:spacing w:line="480" w:lineRule="auto"/>
        <w:ind w:left="567" w:hanging="567"/>
      </w:pPr>
      <w:r>
        <w:rPr>
          <w:rFonts w:ascii="Times" w:hAnsi="Times"/>
        </w:rPr>
        <w:t xml:space="preserve">French, C. C., </w:t>
      </w:r>
      <w:proofErr w:type="spellStart"/>
      <w:r>
        <w:rPr>
          <w:rFonts w:ascii="Times" w:hAnsi="Times"/>
        </w:rPr>
        <w:t>Santamauro</w:t>
      </w:r>
      <w:proofErr w:type="spellEnd"/>
      <w:r>
        <w:rPr>
          <w:rFonts w:ascii="Times" w:hAnsi="Times"/>
        </w:rPr>
        <w:t xml:space="preserve">, J., Hamilton, V., Fox, R., &amp; </w:t>
      </w:r>
      <w:proofErr w:type="spellStart"/>
      <w:r>
        <w:rPr>
          <w:rFonts w:ascii="Times" w:hAnsi="Times"/>
        </w:rPr>
        <w:t>Thalbourne</w:t>
      </w:r>
      <w:proofErr w:type="spellEnd"/>
      <w:r>
        <w:rPr>
          <w:rFonts w:ascii="Times" w:hAnsi="Times"/>
        </w:rPr>
        <w:t xml:space="preserve">, M. A. (2008). Psychological aspects of the alien contact experience. </w:t>
      </w:r>
      <w:r>
        <w:rPr>
          <w:rFonts w:ascii="Times" w:hAnsi="Times"/>
          <w:i/>
        </w:rPr>
        <w:t>Cortex</w:t>
      </w:r>
      <w:r>
        <w:rPr>
          <w:rFonts w:ascii="Times" w:hAnsi="Times"/>
        </w:rPr>
        <w:t xml:space="preserve">, 44, 1387-1395. </w:t>
      </w:r>
    </w:p>
    <w:p w:rsidR="00D875B6" w:rsidRPr="00D875B6" w:rsidRDefault="00D875B6" w:rsidP="00121087">
      <w:pPr>
        <w:tabs>
          <w:tab w:val="left" w:pos="426"/>
          <w:tab w:val="left" w:pos="540"/>
        </w:tabs>
        <w:spacing w:line="480" w:lineRule="auto"/>
        <w:ind w:left="567" w:hanging="567"/>
      </w:pPr>
      <w:proofErr w:type="gramStart"/>
      <w:r>
        <w:t>French, C. C., &amp; Stone, A. (2014).</w:t>
      </w:r>
      <w:proofErr w:type="gramEnd"/>
      <w:r>
        <w:t xml:space="preserve"> </w:t>
      </w:r>
      <w:r>
        <w:rPr>
          <w:i/>
        </w:rPr>
        <w:t xml:space="preserve">Anomalistic psychology: Exploring paranormal belief and experience. </w:t>
      </w:r>
      <w:r>
        <w:t xml:space="preserve">Basingstoke: </w:t>
      </w:r>
      <w:r w:rsidR="003822DF">
        <w:t>Palgrave Macmillan.</w:t>
      </w:r>
    </w:p>
    <w:p w:rsidR="00121087" w:rsidRDefault="00121087" w:rsidP="00121087">
      <w:pPr>
        <w:tabs>
          <w:tab w:val="left" w:pos="426"/>
          <w:tab w:val="left" w:pos="540"/>
        </w:tabs>
        <w:spacing w:line="480" w:lineRule="auto"/>
        <w:ind w:left="567" w:hanging="567"/>
      </w:pPr>
      <w:proofErr w:type="gramStart"/>
      <w:r>
        <w:t>French, C. C., &amp; Wilson, K. (2006).</w:t>
      </w:r>
      <w:proofErr w:type="gramEnd"/>
      <w:r>
        <w:t xml:space="preserve"> Incredible memories: How accurate are reports of anomalous events? </w:t>
      </w:r>
      <w:r>
        <w:rPr>
          <w:i/>
        </w:rPr>
        <w:t>European Journal of Parapsychology</w:t>
      </w:r>
      <w:r>
        <w:t>, 21, 166-181.</w:t>
      </w:r>
    </w:p>
    <w:p w:rsidR="00512128" w:rsidRDefault="00512128">
      <w:pPr>
        <w:tabs>
          <w:tab w:val="left" w:pos="426"/>
          <w:tab w:val="left" w:pos="540"/>
        </w:tabs>
        <w:spacing w:line="480" w:lineRule="auto"/>
        <w:ind w:left="567" w:hanging="567"/>
      </w:pPr>
      <w:proofErr w:type="spellStart"/>
      <w:r>
        <w:t>Glicksohn</w:t>
      </w:r>
      <w:proofErr w:type="spellEnd"/>
      <w:r>
        <w:t xml:space="preserve">, J. (1990). </w:t>
      </w:r>
      <w:proofErr w:type="gramStart"/>
      <w:r>
        <w:t>Belief in the paranormal and subjective paranormal experience.</w:t>
      </w:r>
      <w:proofErr w:type="gramEnd"/>
      <w:r>
        <w:t xml:space="preserve"> </w:t>
      </w:r>
      <w:r>
        <w:rPr>
          <w:i/>
        </w:rPr>
        <w:t xml:space="preserve">Personality and Individual Differences, </w:t>
      </w:r>
      <w:r>
        <w:t>11, 675-683.</w:t>
      </w:r>
    </w:p>
    <w:p w:rsidR="00247AEF" w:rsidRPr="00CA232B" w:rsidRDefault="00247AEF">
      <w:pPr>
        <w:tabs>
          <w:tab w:val="left" w:pos="426"/>
          <w:tab w:val="left" w:pos="540"/>
        </w:tabs>
        <w:spacing w:line="480" w:lineRule="auto"/>
        <w:ind w:left="567" w:hanging="567"/>
      </w:pPr>
      <w:proofErr w:type="spellStart"/>
      <w:r>
        <w:t>Glicksohn</w:t>
      </w:r>
      <w:proofErr w:type="spellEnd"/>
      <w:r>
        <w:t>, J. (1991). Cutting the ‘</w:t>
      </w:r>
      <w:proofErr w:type="spellStart"/>
      <w:r>
        <w:t>Gordonian</w:t>
      </w:r>
      <w:proofErr w:type="spellEnd"/>
      <w:r>
        <w:t xml:space="preserve"> Knot’ </w:t>
      </w:r>
      <w:r w:rsidR="00CA232B">
        <w:t xml:space="preserve">using absorption and dream recall. </w:t>
      </w:r>
      <w:r w:rsidR="00CA232B">
        <w:rPr>
          <w:i/>
        </w:rPr>
        <w:t>Journal of Mental Imagery</w:t>
      </w:r>
      <w:r w:rsidR="00CA232B">
        <w:t>, 15, 49-54.</w:t>
      </w:r>
    </w:p>
    <w:p w:rsidR="00F3093F" w:rsidDel="00561B5B" w:rsidRDefault="00F3093F">
      <w:pPr>
        <w:spacing w:line="480" w:lineRule="auto"/>
        <w:ind w:left="567" w:hanging="567"/>
      </w:pPr>
      <w:proofErr w:type="spellStart"/>
      <w:r w:rsidRPr="00D62DCB">
        <w:rPr>
          <w:rFonts w:ascii="Times New Roman" w:hAnsi="Times New Roman" w:cs="Times New Roman"/>
        </w:rPr>
        <w:t>Glicksohn</w:t>
      </w:r>
      <w:proofErr w:type="spellEnd"/>
      <w:r w:rsidRPr="00D62DCB">
        <w:rPr>
          <w:rFonts w:ascii="Times New Roman" w:hAnsi="Times New Roman" w:cs="Times New Roman"/>
        </w:rPr>
        <w:t>, J.</w:t>
      </w:r>
      <w:r>
        <w:rPr>
          <w:rFonts w:ascii="Times New Roman" w:hAnsi="Times New Roman" w:cs="Times New Roman"/>
        </w:rPr>
        <w:t>, &amp;</w:t>
      </w:r>
      <w:r w:rsidRPr="00D62DCB">
        <w:rPr>
          <w:rFonts w:ascii="Times New Roman" w:hAnsi="Times New Roman" w:cs="Times New Roman"/>
        </w:rPr>
        <w:t xml:space="preserve"> Barrett, T</w:t>
      </w:r>
      <w:r>
        <w:rPr>
          <w:rFonts w:ascii="Times New Roman" w:hAnsi="Times New Roman" w:cs="Times New Roman"/>
        </w:rPr>
        <w:t xml:space="preserve">. </w:t>
      </w:r>
      <w:r w:rsidRPr="00D62DCB">
        <w:rPr>
          <w:rFonts w:ascii="Times New Roman" w:hAnsi="Times New Roman" w:cs="Times New Roman"/>
        </w:rPr>
        <w:t xml:space="preserve">R. (2003). </w:t>
      </w:r>
      <w:proofErr w:type="gramStart"/>
      <w:r w:rsidRPr="00D62DCB">
        <w:rPr>
          <w:rFonts w:ascii="Times New Roman" w:hAnsi="Times New Roman" w:cs="Times New Roman"/>
        </w:rPr>
        <w:t>Absorption and hallucinatory experience.</w:t>
      </w:r>
      <w:proofErr w:type="gramEnd"/>
      <w:r w:rsidRPr="00D62DCB">
        <w:rPr>
          <w:rFonts w:ascii="Times New Roman" w:hAnsi="Times New Roman" w:cs="Times New Roman"/>
        </w:rPr>
        <w:t xml:space="preserve"> </w:t>
      </w:r>
      <w:r w:rsidRPr="00D62DCB">
        <w:rPr>
          <w:rFonts w:ascii="Times New Roman" w:hAnsi="Times New Roman" w:cs="Times New Roman"/>
          <w:i/>
          <w:iCs/>
        </w:rPr>
        <w:t xml:space="preserve">Applied </w:t>
      </w:r>
      <w:r>
        <w:rPr>
          <w:rFonts w:ascii="Times New Roman" w:hAnsi="Times New Roman" w:cs="Times New Roman"/>
          <w:i/>
          <w:iCs/>
        </w:rPr>
        <w:tab/>
        <w:t xml:space="preserve">Cognitive </w:t>
      </w:r>
      <w:r w:rsidRPr="00D62DCB">
        <w:rPr>
          <w:rFonts w:ascii="Times New Roman" w:hAnsi="Times New Roman" w:cs="Times New Roman"/>
          <w:i/>
          <w:iCs/>
        </w:rPr>
        <w:t>Psychology</w:t>
      </w:r>
      <w:r w:rsidRPr="00D62DCB">
        <w:rPr>
          <w:rFonts w:ascii="Times New Roman" w:hAnsi="Times New Roman" w:cs="Times New Roman"/>
        </w:rPr>
        <w:t xml:space="preserve">, </w:t>
      </w:r>
      <w:r w:rsidRPr="00BA04C1">
        <w:rPr>
          <w:rFonts w:ascii="Times New Roman" w:hAnsi="Times New Roman" w:cs="Times New Roman"/>
          <w:bCs/>
        </w:rPr>
        <w:t>17</w:t>
      </w:r>
      <w:r w:rsidRPr="00D62DCB">
        <w:rPr>
          <w:rFonts w:ascii="Times New Roman" w:hAnsi="Times New Roman" w:cs="Times New Roman"/>
        </w:rPr>
        <w:t>, 833-849.</w:t>
      </w:r>
    </w:p>
    <w:p w:rsidR="00F3093F" w:rsidRPr="00AD27D2" w:rsidRDefault="00F3093F">
      <w:pPr>
        <w:spacing w:line="480" w:lineRule="auto"/>
        <w:ind w:left="567" w:hanging="567"/>
      </w:pPr>
      <w:r w:rsidRPr="00AD27D2">
        <w:t>Hannon, E.</w:t>
      </w:r>
      <w:r w:rsidR="00CA232B">
        <w:t xml:space="preserve"> </w:t>
      </w:r>
      <w:r w:rsidRPr="00AD27D2">
        <w:t xml:space="preserve">M., &amp; Richards, A. (2010). Is </w:t>
      </w:r>
      <w:proofErr w:type="spellStart"/>
      <w:r w:rsidRPr="00AD27D2">
        <w:t>inattentional</w:t>
      </w:r>
      <w:proofErr w:type="spellEnd"/>
      <w:r w:rsidRPr="00AD27D2">
        <w:t xml:space="preserve"> blindness related to individual differences in visual working memory capacity or executive functioning? </w:t>
      </w:r>
      <w:r w:rsidRPr="00AD27D2">
        <w:rPr>
          <w:i/>
        </w:rPr>
        <w:t>Perception</w:t>
      </w:r>
      <w:r w:rsidRPr="00AD27D2">
        <w:t xml:space="preserve">, 39, 309-319. </w:t>
      </w:r>
    </w:p>
    <w:p w:rsidR="00F3093F" w:rsidRDefault="00F3093F">
      <w:pPr>
        <w:spacing w:line="480" w:lineRule="auto"/>
        <w:ind w:left="567" w:hanging="567"/>
      </w:pPr>
      <w:r w:rsidRPr="00AD27D2">
        <w:rPr>
          <w:rFonts w:cs="Arial"/>
          <w:color w:val="1A1A1A"/>
          <w:szCs w:val="26"/>
        </w:rPr>
        <w:t>Hodgson</w:t>
      </w:r>
      <w:r>
        <w:rPr>
          <w:rFonts w:cs="Arial"/>
          <w:color w:val="1A1A1A"/>
          <w:szCs w:val="26"/>
        </w:rPr>
        <w:t>, R.</w:t>
      </w:r>
      <w:r w:rsidR="00121087">
        <w:rPr>
          <w:rFonts w:cs="Arial"/>
          <w:color w:val="1A1A1A"/>
          <w:szCs w:val="26"/>
        </w:rPr>
        <w:t>,</w:t>
      </w:r>
      <w:r w:rsidRPr="00AD27D2">
        <w:rPr>
          <w:rFonts w:cs="Arial"/>
          <w:color w:val="1A1A1A"/>
          <w:szCs w:val="26"/>
        </w:rPr>
        <w:t xml:space="preserve"> &amp; Davey</w:t>
      </w:r>
      <w:r>
        <w:rPr>
          <w:rFonts w:cs="Arial"/>
          <w:color w:val="1A1A1A"/>
          <w:szCs w:val="26"/>
        </w:rPr>
        <w:t>, S. J.</w:t>
      </w:r>
      <w:r w:rsidRPr="00AD27D2">
        <w:rPr>
          <w:rFonts w:cs="Arial"/>
          <w:color w:val="1A1A1A"/>
          <w:szCs w:val="26"/>
        </w:rPr>
        <w:t xml:space="preserve"> (1887). </w:t>
      </w:r>
      <w:proofErr w:type="gramStart"/>
      <w:r w:rsidRPr="00AD27D2">
        <w:rPr>
          <w:rFonts w:cs="Arial"/>
          <w:color w:val="1A1A1A"/>
          <w:szCs w:val="26"/>
        </w:rPr>
        <w:t xml:space="preserve">The possibilities of </w:t>
      </w:r>
      <w:proofErr w:type="spellStart"/>
      <w:r w:rsidRPr="00AD27D2">
        <w:rPr>
          <w:rFonts w:cs="Arial"/>
          <w:color w:val="1A1A1A"/>
          <w:szCs w:val="26"/>
        </w:rPr>
        <w:t>malobservation</w:t>
      </w:r>
      <w:proofErr w:type="spellEnd"/>
      <w:r w:rsidRPr="00AD27D2">
        <w:rPr>
          <w:rFonts w:cs="Arial"/>
          <w:color w:val="1A1A1A"/>
          <w:szCs w:val="26"/>
        </w:rPr>
        <w:t xml:space="preserve"> and lapse of memory from a practical point of view.</w:t>
      </w:r>
      <w:proofErr w:type="gramEnd"/>
      <w:r w:rsidRPr="00AD27D2">
        <w:rPr>
          <w:rFonts w:cs="Arial"/>
          <w:color w:val="1A1A1A"/>
          <w:szCs w:val="26"/>
        </w:rPr>
        <w:t xml:space="preserve"> </w:t>
      </w:r>
      <w:r w:rsidRPr="009E7023">
        <w:rPr>
          <w:rFonts w:cs="Arial"/>
          <w:i/>
          <w:color w:val="1A1A1A"/>
          <w:szCs w:val="26"/>
        </w:rPr>
        <w:t>Proceedings of the Society for Psychical Research</w:t>
      </w:r>
      <w:r w:rsidRPr="00AD27D2">
        <w:rPr>
          <w:rFonts w:cs="Arial"/>
          <w:color w:val="1A1A1A"/>
          <w:szCs w:val="26"/>
        </w:rPr>
        <w:t>, 4, 381-404.</w:t>
      </w:r>
      <w:r w:rsidRPr="00DA30E7">
        <w:t xml:space="preserve"> </w:t>
      </w:r>
    </w:p>
    <w:p w:rsidR="00F3093F" w:rsidRDefault="00F3093F">
      <w:pPr>
        <w:spacing w:line="480" w:lineRule="auto"/>
        <w:ind w:left="567" w:hanging="567"/>
        <w:rPr>
          <w:rFonts w:cs="Times New Roman"/>
        </w:rPr>
      </w:pPr>
      <w:r w:rsidRPr="00A60C40">
        <w:rPr>
          <w:rFonts w:cs="Times New Roman"/>
        </w:rPr>
        <w:t>Irwin</w:t>
      </w:r>
      <w:r>
        <w:rPr>
          <w:rFonts w:cs="Times New Roman"/>
        </w:rPr>
        <w:t xml:space="preserve">, H. J. (1985). </w:t>
      </w:r>
      <w:proofErr w:type="gramStart"/>
      <w:r>
        <w:rPr>
          <w:rFonts w:cs="Times New Roman"/>
        </w:rPr>
        <w:t>Parapsychological phenomena and the absorption domain.</w:t>
      </w:r>
      <w:proofErr w:type="gramEnd"/>
      <w:r>
        <w:rPr>
          <w:rFonts w:cs="Times New Roman"/>
        </w:rPr>
        <w:t xml:space="preserve"> </w:t>
      </w:r>
      <w:r>
        <w:rPr>
          <w:rFonts w:cs="Times New Roman"/>
          <w:i/>
        </w:rPr>
        <w:t>Journal of the American Society for Psychical Research</w:t>
      </w:r>
      <w:r>
        <w:rPr>
          <w:rFonts w:cs="Times New Roman"/>
        </w:rPr>
        <w:t>, 79, 1-11</w:t>
      </w:r>
      <w:r w:rsidR="00716E58">
        <w:rPr>
          <w:rFonts w:cs="Times New Roman"/>
        </w:rPr>
        <w:t>.</w:t>
      </w:r>
    </w:p>
    <w:p w:rsidR="00716E58" w:rsidRPr="00716E58" w:rsidRDefault="00716E58">
      <w:pPr>
        <w:spacing w:line="480" w:lineRule="auto"/>
        <w:ind w:left="567" w:hanging="567"/>
      </w:pPr>
      <w:r>
        <w:rPr>
          <w:rFonts w:cs="Times New Roman"/>
        </w:rPr>
        <w:t xml:space="preserve">Irwin, H. J. (2009). </w:t>
      </w:r>
      <w:r>
        <w:rPr>
          <w:rFonts w:cs="Times New Roman"/>
          <w:i/>
        </w:rPr>
        <w:t xml:space="preserve">The psychology of paranormal belief: A researcher’s handbook. </w:t>
      </w:r>
      <w:r>
        <w:rPr>
          <w:rFonts w:cs="Times New Roman"/>
        </w:rPr>
        <w:t>Hatfield, UK: University of Hertfordshire Press.</w:t>
      </w:r>
    </w:p>
    <w:p w:rsidR="00F3093F" w:rsidRDefault="00F3093F">
      <w:pPr>
        <w:spacing w:line="480" w:lineRule="auto"/>
        <w:ind w:left="567" w:hanging="567"/>
      </w:pPr>
      <w:r w:rsidRPr="00AD27D2">
        <w:t xml:space="preserve">Jensen, M. S., Yao, R., Street, W. N., &amp; Simons, D. J. (2011). Change blindness and </w:t>
      </w:r>
      <w:proofErr w:type="spellStart"/>
      <w:r w:rsidRPr="00AD27D2">
        <w:t>inattentional</w:t>
      </w:r>
      <w:proofErr w:type="spellEnd"/>
      <w:r w:rsidRPr="00AD27D2">
        <w:t xml:space="preserve"> blindness. </w:t>
      </w:r>
      <w:r w:rsidRPr="00AD27D2">
        <w:rPr>
          <w:i/>
        </w:rPr>
        <w:t>Cognitive Science, 2,</w:t>
      </w:r>
      <w:r w:rsidRPr="00AD27D2">
        <w:t xml:space="preserve"> 529-546.</w:t>
      </w:r>
    </w:p>
    <w:p w:rsidR="000772BC" w:rsidRPr="000772BC" w:rsidRDefault="000772BC">
      <w:pPr>
        <w:spacing w:line="480" w:lineRule="auto"/>
        <w:ind w:left="567" w:hanging="567"/>
      </w:pPr>
      <w:proofErr w:type="gramStart"/>
      <w:r>
        <w:t xml:space="preserve">Johnson, M. K., </w:t>
      </w:r>
      <w:proofErr w:type="spellStart"/>
      <w:r>
        <w:t>Hashtroudi</w:t>
      </w:r>
      <w:proofErr w:type="spellEnd"/>
      <w:r>
        <w:t>, S., &amp; Lindsay, D. S. (1993).</w:t>
      </w:r>
      <w:proofErr w:type="gramEnd"/>
      <w:r>
        <w:t xml:space="preserve"> Source monitoring. </w:t>
      </w:r>
      <w:r>
        <w:rPr>
          <w:i/>
        </w:rPr>
        <w:t>Psychological Bulletin</w:t>
      </w:r>
      <w:r>
        <w:t>, 114, 3-28.</w:t>
      </w:r>
    </w:p>
    <w:p w:rsidR="000772BC" w:rsidRDefault="000772BC">
      <w:pPr>
        <w:spacing w:line="480" w:lineRule="auto"/>
        <w:ind w:left="567" w:hanging="567"/>
      </w:pPr>
      <w:r>
        <w:t xml:space="preserve">Johnson, M. K., &amp; </w:t>
      </w:r>
      <w:proofErr w:type="spellStart"/>
      <w:r>
        <w:t>Raye</w:t>
      </w:r>
      <w:proofErr w:type="spellEnd"/>
      <w:r>
        <w:t xml:space="preserve">, C. (1981). Reality monitoring. </w:t>
      </w:r>
      <w:r>
        <w:rPr>
          <w:i/>
        </w:rPr>
        <w:t>Psychological Review</w:t>
      </w:r>
      <w:r>
        <w:t>, 88, 67-85.</w:t>
      </w:r>
    </w:p>
    <w:p w:rsidR="00C9244F" w:rsidRDefault="00C9244F" w:rsidP="00F5795C">
      <w:pPr>
        <w:spacing w:line="480" w:lineRule="auto"/>
        <w:ind w:left="567" w:hanging="567"/>
      </w:pPr>
      <w:r w:rsidRPr="006D5586">
        <w:t xml:space="preserve">Jones, W. H., Russell, D. W., &amp; Nickel, T. W. (1977). Belief in the Paranormal Scale: An objective instrument to measure belief in magical phenomena and causes. </w:t>
      </w:r>
      <w:r w:rsidRPr="006D5586">
        <w:rPr>
          <w:i/>
        </w:rPr>
        <w:t xml:space="preserve">Journal Supplement Abstract Service, Catalog of Selected Documents in Psychology, </w:t>
      </w:r>
      <w:r w:rsidRPr="006D5586">
        <w:t>7, 100 (MS 1577).</w:t>
      </w:r>
    </w:p>
    <w:p w:rsidR="006A05DF" w:rsidRPr="00002356" w:rsidRDefault="006A05DF">
      <w:pPr>
        <w:spacing w:line="480" w:lineRule="auto"/>
        <w:ind w:left="567" w:hanging="567"/>
      </w:pPr>
      <w:r>
        <w:t xml:space="preserve">Kerns, </w:t>
      </w:r>
      <w:r w:rsidR="00002356">
        <w:t xml:space="preserve">J. G., </w:t>
      </w:r>
      <w:proofErr w:type="spellStart"/>
      <w:r>
        <w:t>Karcher</w:t>
      </w:r>
      <w:proofErr w:type="spellEnd"/>
      <w:r>
        <w:t>,</w:t>
      </w:r>
      <w:r w:rsidR="00002356">
        <w:t xml:space="preserve"> N.,</w:t>
      </w:r>
      <w:r>
        <w:t xml:space="preserve"> </w:t>
      </w:r>
      <w:proofErr w:type="spellStart"/>
      <w:r>
        <w:t>Raghavan</w:t>
      </w:r>
      <w:proofErr w:type="spellEnd"/>
      <w:r>
        <w:t>,</w:t>
      </w:r>
      <w:r w:rsidR="00002356">
        <w:t xml:space="preserve"> C.,</w:t>
      </w:r>
      <w:r>
        <w:t xml:space="preserve"> &amp; </w:t>
      </w:r>
      <w:proofErr w:type="spellStart"/>
      <w:r>
        <w:t>Berenbaum</w:t>
      </w:r>
      <w:proofErr w:type="spellEnd"/>
      <w:r>
        <w:t>,</w:t>
      </w:r>
      <w:r w:rsidR="00002356">
        <w:t xml:space="preserve"> H.</w:t>
      </w:r>
      <w:r>
        <w:t xml:space="preserve"> </w:t>
      </w:r>
      <w:r w:rsidR="00002356">
        <w:t>(</w:t>
      </w:r>
      <w:r>
        <w:t>2014</w:t>
      </w:r>
      <w:r w:rsidR="00002356">
        <w:t xml:space="preserve">). Anomalous experiences, peculiarity, and </w:t>
      </w:r>
      <w:r w:rsidR="00002356" w:rsidRPr="00002356">
        <w:t xml:space="preserve">psychopathology. In E. </w:t>
      </w:r>
      <w:proofErr w:type="spellStart"/>
      <w:r w:rsidR="00002356" w:rsidRPr="00002356">
        <w:t>Cardeña</w:t>
      </w:r>
      <w:proofErr w:type="spellEnd"/>
      <w:r w:rsidR="00002356" w:rsidRPr="00002356">
        <w:t xml:space="preserve">, S. J. Lynn, &amp; S. </w:t>
      </w:r>
      <w:proofErr w:type="spellStart"/>
      <w:r w:rsidR="00002356" w:rsidRPr="00002356">
        <w:t>Krippner</w:t>
      </w:r>
      <w:proofErr w:type="spellEnd"/>
      <w:r w:rsidR="00002356" w:rsidRPr="00002356">
        <w:t xml:space="preserve"> (Eds.), </w:t>
      </w:r>
      <w:r w:rsidR="00002356" w:rsidRPr="00002356">
        <w:rPr>
          <w:i/>
        </w:rPr>
        <w:t>Varieties of anomalous experience: Examining the scientific evidence</w:t>
      </w:r>
      <w:r w:rsidR="00002356">
        <w:rPr>
          <w:i/>
        </w:rPr>
        <w:t xml:space="preserve"> </w:t>
      </w:r>
      <w:r w:rsidR="00002356">
        <w:t>2</w:t>
      </w:r>
      <w:r w:rsidR="00002356" w:rsidRPr="00002356">
        <w:rPr>
          <w:vertAlign w:val="superscript"/>
        </w:rPr>
        <w:t>nd</w:t>
      </w:r>
      <w:r w:rsidR="00002356">
        <w:t xml:space="preserve"> ed. (pp. 57-76</w:t>
      </w:r>
      <w:r w:rsidR="00002356" w:rsidRPr="00002356">
        <w:t>). Washington, DC: American Psychological Association.</w:t>
      </w:r>
    </w:p>
    <w:p w:rsidR="00F3093F" w:rsidRDefault="00F3093F">
      <w:pPr>
        <w:spacing w:line="480" w:lineRule="auto"/>
        <w:ind w:left="567" w:hanging="567"/>
        <w:rPr>
          <w:rFonts w:cs="Georgia"/>
          <w:szCs w:val="26"/>
        </w:rPr>
      </w:pPr>
      <w:r w:rsidRPr="00AD27D2">
        <w:rPr>
          <w:rFonts w:cs="Georgia"/>
          <w:szCs w:val="26"/>
        </w:rPr>
        <w:t xml:space="preserve">Mack, A., &amp; Rock, I. (1998). </w:t>
      </w:r>
      <w:proofErr w:type="spellStart"/>
      <w:r w:rsidRPr="009E7023">
        <w:rPr>
          <w:rFonts w:cs="Georgia"/>
          <w:i/>
          <w:szCs w:val="26"/>
        </w:rPr>
        <w:t>Inattentional</w:t>
      </w:r>
      <w:proofErr w:type="spellEnd"/>
      <w:r w:rsidRPr="009E7023">
        <w:rPr>
          <w:rFonts w:cs="Georgia"/>
          <w:i/>
          <w:szCs w:val="26"/>
        </w:rPr>
        <w:t xml:space="preserve"> blindness.</w:t>
      </w:r>
      <w:r w:rsidRPr="00AD27D2">
        <w:rPr>
          <w:rFonts w:cs="Georgia"/>
          <w:szCs w:val="26"/>
        </w:rPr>
        <w:t xml:space="preserve"> Cambridge, MA: MIT Press.</w:t>
      </w:r>
    </w:p>
    <w:p w:rsidR="00F3093F" w:rsidRPr="00BA04C1" w:rsidRDefault="00F3093F">
      <w:pPr>
        <w:spacing w:line="480" w:lineRule="auto"/>
        <w:ind w:left="567" w:hanging="567"/>
        <w:rPr>
          <w:rStyle w:val="Emphasis"/>
        </w:rPr>
      </w:pPr>
      <w:proofErr w:type="spellStart"/>
      <w:r w:rsidRPr="00BA04C1">
        <w:rPr>
          <w:rStyle w:val="Emphasis"/>
          <w:rFonts w:cs="Times New Roman"/>
          <w:i w:val="0"/>
          <w:color w:val="000000"/>
        </w:rPr>
        <w:t>Mathes</w:t>
      </w:r>
      <w:proofErr w:type="spellEnd"/>
      <w:r w:rsidRPr="00BA04C1">
        <w:rPr>
          <w:rStyle w:val="Emphasis"/>
          <w:rFonts w:cs="Times New Roman"/>
          <w:i w:val="0"/>
          <w:color w:val="000000"/>
        </w:rPr>
        <w:t xml:space="preserve">, E. W. (1982). </w:t>
      </w:r>
      <w:proofErr w:type="gramStart"/>
      <w:r w:rsidRPr="00BA04C1">
        <w:rPr>
          <w:rStyle w:val="Emphasis"/>
          <w:rFonts w:cs="Times New Roman"/>
          <w:i w:val="0"/>
          <w:color w:val="000000"/>
        </w:rPr>
        <w:t>Mystical experiences, romantic love and hypnotic susceptibility.</w:t>
      </w:r>
      <w:proofErr w:type="gramEnd"/>
      <w:r w:rsidRPr="00BA04C1">
        <w:rPr>
          <w:rStyle w:val="Emphasis"/>
          <w:rFonts w:cs="Times New Roman"/>
          <w:i w:val="0"/>
          <w:color w:val="000000"/>
        </w:rPr>
        <w:t xml:space="preserve"> </w:t>
      </w:r>
      <w:r w:rsidRPr="00BA04C1">
        <w:rPr>
          <w:rStyle w:val="Emphasis"/>
          <w:rFonts w:cs="Times New Roman"/>
          <w:i w:val="0"/>
          <w:color w:val="000000"/>
        </w:rPr>
        <w:tab/>
      </w:r>
      <w:r w:rsidRPr="00BA04C1">
        <w:rPr>
          <w:rStyle w:val="Emphasis"/>
          <w:rFonts w:cs="Times New Roman"/>
          <w:color w:val="000000"/>
        </w:rPr>
        <w:t>Psychological Reports</w:t>
      </w:r>
      <w:r w:rsidRPr="00BA04C1">
        <w:rPr>
          <w:rStyle w:val="Emphasis"/>
          <w:rFonts w:cs="Times New Roman"/>
          <w:i w:val="0"/>
          <w:color w:val="000000"/>
        </w:rPr>
        <w:t xml:space="preserve">, </w:t>
      </w:r>
      <w:r w:rsidRPr="00BA04C1">
        <w:rPr>
          <w:rStyle w:val="Emphasis"/>
          <w:rFonts w:cs="Times New Roman"/>
          <w:bCs/>
          <w:i w:val="0"/>
          <w:color w:val="000000"/>
        </w:rPr>
        <w:t>50</w:t>
      </w:r>
      <w:r w:rsidRPr="00BA04C1">
        <w:rPr>
          <w:rStyle w:val="Emphasis"/>
          <w:rFonts w:cs="Times New Roman"/>
          <w:i w:val="0"/>
          <w:color w:val="000000"/>
        </w:rPr>
        <w:t xml:space="preserve">, 701-702. </w:t>
      </w:r>
    </w:p>
    <w:p w:rsidR="00F3093F" w:rsidRDefault="00F3093F">
      <w:pPr>
        <w:spacing w:line="480" w:lineRule="auto"/>
        <w:ind w:left="567" w:hanging="567"/>
      </w:pPr>
      <w:proofErr w:type="spellStart"/>
      <w:r>
        <w:t>Memmert</w:t>
      </w:r>
      <w:proofErr w:type="spellEnd"/>
      <w:r>
        <w:t xml:space="preserve">, D. (2006). </w:t>
      </w:r>
      <w:proofErr w:type="gramStart"/>
      <w:r>
        <w:t xml:space="preserve">The effects of eye movements, age, and expertise on </w:t>
      </w:r>
      <w:proofErr w:type="spellStart"/>
      <w:r>
        <w:t>inattentional</w:t>
      </w:r>
      <w:proofErr w:type="spellEnd"/>
      <w:r>
        <w:t xml:space="preserve"> blindness.</w:t>
      </w:r>
      <w:proofErr w:type="gramEnd"/>
      <w:r>
        <w:t xml:space="preserve"> </w:t>
      </w:r>
      <w:r>
        <w:rPr>
          <w:i/>
        </w:rPr>
        <w:t>Consciousness and Cognition</w:t>
      </w:r>
      <w:r>
        <w:t xml:space="preserve">, </w:t>
      </w:r>
      <w:r>
        <w:rPr>
          <w:i/>
        </w:rPr>
        <w:t>15,</w:t>
      </w:r>
      <w:r>
        <w:t xml:space="preserve"> 620-627.</w:t>
      </w:r>
    </w:p>
    <w:p w:rsidR="000C0891" w:rsidRPr="00B52AAE" w:rsidRDefault="000C0891">
      <w:pPr>
        <w:spacing w:line="480" w:lineRule="auto"/>
        <w:ind w:left="567" w:hanging="567"/>
      </w:pPr>
      <w:r>
        <w:t xml:space="preserve">Most, S. B., Scholl, B. J., Clifford, E. R., &amp; Simons, D. J. (2005). What you see is what you set: Sustained </w:t>
      </w:r>
      <w:proofErr w:type="spellStart"/>
      <w:r>
        <w:t>inattentional</w:t>
      </w:r>
      <w:proofErr w:type="spellEnd"/>
      <w:r>
        <w:t xml:space="preserve"> blindness and the capture of awareness. </w:t>
      </w:r>
      <w:r w:rsidR="00351B52" w:rsidRPr="00351B52">
        <w:rPr>
          <w:i/>
        </w:rPr>
        <w:t>Psychological Review</w:t>
      </w:r>
      <w:r>
        <w:t>, 112, 217-242.</w:t>
      </w:r>
    </w:p>
    <w:p w:rsidR="00C9244F" w:rsidRDefault="00F3093F" w:rsidP="00F5795C">
      <w:pPr>
        <w:spacing w:after="120" w:line="480" w:lineRule="auto"/>
        <w:ind w:left="567" w:hanging="567"/>
        <w:rPr>
          <w:rFonts w:eastAsia="Cambria" w:cs="Times"/>
          <w:szCs w:val="26"/>
        </w:rPr>
      </w:pPr>
      <w:r w:rsidRPr="00D04D7E">
        <w:rPr>
          <w:rFonts w:eastAsia="Cambria" w:cs="Times"/>
          <w:szCs w:val="26"/>
        </w:rPr>
        <w:t>Most</w:t>
      </w:r>
      <w:r>
        <w:rPr>
          <w:rFonts w:eastAsia="Cambria" w:cs="Times"/>
          <w:szCs w:val="26"/>
        </w:rPr>
        <w:t>,</w:t>
      </w:r>
      <w:r w:rsidRPr="00D04D7E">
        <w:rPr>
          <w:rFonts w:eastAsia="Cambria" w:cs="Times"/>
          <w:szCs w:val="26"/>
        </w:rPr>
        <w:t xml:space="preserve"> S</w:t>
      </w:r>
      <w:r>
        <w:rPr>
          <w:rFonts w:eastAsia="Cambria" w:cs="Times"/>
          <w:szCs w:val="26"/>
        </w:rPr>
        <w:t xml:space="preserve">. </w:t>
      </w:r>
      <w:r w:rsidRPr="00D04D7E">
        <w:rPr>
          <w:rFonts w:eastAsia="Cambria" w:cs="Times"/>
          <w:szCs w:val="26"/>
        </w:rPr>
        <w:t>B</w:t>
      </w:r>
      <w:r>
        <w:rPr>
          <w:rFonts w:eastAsia="Cambria" w:cs="Times"/>
          <w:szCs w:val="26"/>
        </w:rPr>
        <w:t>.</w:t>
      </w:r>
      <w:r w:rsidRPr="00D04D7E">
        <w:rPr>
          <w:rFonts w:eastAsia="Cambria" w:cs="Times"/>
          <w:szCs w:val="26"/>
        </w:rPr>
        <w:t>, Simons</w:t>
      </w:r>
      <w:r>
        <w:rPr>
          <w:rFonts w:eastAsia="Cambria" w:cs="Times"/>
          <w:szCs w:val="26"/>
        </w:rPr>
        <w:t>,</w:t>
      </w:r>
      <w:r w:rsidRPr="00D04D7E">
        <w:rPr>
          <w:rFonts w:eastAsia="Cambria" w:cs="Times"/>
          <w:szCs w:val="26"/>
        </w:rPr>
        <w:t xml:space="preserve"> D</w:t>
      </w:r>
      <w:r>
        <w:rPr>
          <w:rFonts w:eastAsia="Cambria" w:cs="Times"/>
          <w:szCs w:val="26"/>
        </w:rPr>
        <w:t xml:space="preserve">. </w:t>
      </w:r>
      <w:r w:rsidRPr="00D04D7E">
        <w:rPr>
          <w:rFonts w:eastAsia="Cambria" w:cs="Times"/>
          <w:szCs w:val="26"/>
        </w:rPr>
        <w:t>J</w:t>
      </w:r>
      <w:r>
        <w:rPr>
          <w:rFonts w:eastAsia="Cambria" w:cs="Times"/>
          <w:szCs w:val="26"/>
        </w:rPr>
        <w:t>.</w:t>
      </w:r>
      <w:r w:rsidRPr="00D04D7E">
        <w:rPr>
          <w:rFonts w:eastAsia="Cambria" w:cs="Times"/>
          <w:szCs w:val="26"/>
        </w:rPr>
        <w:t>, Scholl</w:t>
      </w:r>
      <w:r>
        <w:rPr>
          <w:rFonts w:eastAsia="Cambria" w:cs="Times"/>
          <w:szCs w:val="26"/>
        </w:rPr>
        <w:t>,</w:t>
      </w:r>
      <w:r w:rsidRPr="00D04D7E">
        <w:rPr>
          <w:rFonts w:eastAsia="Cambria" w:cs="Times"/>
          <w:szCs w:val="26"/>
        </w:rPr>
        <w:t xml:space="preserve"> B</w:t>
      </w:r>
      <w:r>
        <w:rPr>
          <w:rFonts w:eastAsia="Cambria" w:cs="Times"/>
          <w:szCs w:val="26"/>
        </w:rPr>
        <w:t xml:space="preserve">. </w:t>
      </w:r>
      <w:r w:rsidRPr="00D04D7E">
        <w:rPr>
          <w:rFonts w:eastAsia="Cambria" w:cs="Times"/>
          <w:szCs w:val="26"/>
        </w:rPr>
        <w:t>J</w:t>
      </w:r>
      <w:r>
        <w:rPr>
          <w:rFonts w:eastAsia="Cambria" w:cs="Times"/>
          <w:szCs w:val="26"/>
        </w:rPr>
        <w:t>.</w:t>
      </w:r>
      <w:r w:rsidRPr="00D04D7E">
        <w:rPr>
          <w:rFonts w:eastAsia="Cambria" w:cs="Times"/>
          <w:szCs w:val="26"/>
        </w:rPr>
        <w:t>, Jimenez</w:t>
      </w:r>
      <w:r>
        <w:rPr>
          <w:rFonts w:eastAsia="Cambria" w:cs="Times"/>
          <w:szCs w:val="26"/>
        </w:rPr>
        <w:t>,</w:t>
      </w:r>
      <w:r w:rsidRPr="00D04D7E">
        <w:rPr>
          <w:rFonts w:eastAsia="Cambria" w:cs="Times"/>
          <w:szCs w:val="26"/>
        </w:rPr>
        <w:t xml:space="preserve"> R</w:t>
      </w:r>
      <w:r>
        <w:rPr>
          <w:rFonts w:eastAsia="Cambria" w:cs="Times"/>
          <w:szCs w:val="26"/>
        </w:rPr>
        <w:t>.</w:t>
      </w:r>
      <w:r w:rsidRPr="00D04D7E">
        <w:rPr>
          <w:rFonts w:eastAsia="Cambria" w:cs="Times"/>
          <w:szCs w:val="26"/>
        </w:rPr>
        <w:t>, Clifford</w:t>
      </w:r>
      <w:r>
        <w:rPr>
          <w:rFonts w:eastAsia="Cambria" w:cs="Times"/>
          <w:szCs w:val="26"/>
        </w:rPr>
        <w:t>,</w:t>
      </w:r>
      <w:r w:rsidRPr="00D04D7E">
        <w:rPr>
          <w:rFonts w:eastAsia="Cambria" w:cs="Times"/>
          <w:szCs w:val="26"/>
        </w:rPr>
        <w:t xml:space="preserve"> E</w:t>
      </w:r>
      <w:r>
        <w:rPr>
          <w:rFonts w:eastAsia="Cambria" w:cs="Times"/>
          <w:szCs w:val="26"/>
        </w:rPr>
        <w:t>.</w:t>
      </w:r>
      <w:r w:rsidRPr="00D04D7E">
        <w:rPr>
          <w:rFonts w:eastAsia="Cambria" w:cs="Times"/>
          <w:szCs w:val="26"/>
        </w:rPr>
        <w:t xml:space="preserve">, </w:t>
      </w:r>
      <w:r>
        <w:rPr>
          <w:rFonts w:eastAsia="Cambria" w:cs="Times"/>
          <w:szCs w:val="26"/>
        </w:rPr>
        <w:t xml:space="preserve">&amp; </w:t>
      </w:r>
      <w:proofErr w:type="spellStart"/>
      <w:r w:rsidRPr="00D04D7E">
        <w:rPr>
          <w:rFonts w:eastAsia="Cambria" w:cs="Times"/>
          <w:szCs w:val="26"/>
        </w:rPr>
        <w:t>Chabris</w:t>
      </w:r>
      <w:proofErr w:type="spellEnd"/>
      <w:r>
        <w:rPr>
          <w:rFonts w:eastAsia="Cambria" w:cs="Times"/>
          <w:szCs w:val="26"/>
        </w:rPr>
        <w:t>,</w:t>
      </w:r>
      <w:r w:rsidRPr="00D04D7E">
        <w:rPr>
          <w:rFonts w:eastAsia="Cambria" w:cs="Times"/>
          <w:szCs w:val="26"/>
        </w:rPr>
        <w:t xml:space="preserve"> C</w:t>
      </w:r>
      <w:r>
        <w:rPr>
          <w:rFonts w:eastAsia="Cambria" w:cs="Times"/>
          <w:szCs w:val="26"/>
        </w:rPr>
        <w:t xml:space="preserve">. </w:t>
      </w:r>
      <w:r w:rsidRPr="00D04D7E">
        <w:rPr>
          <w:rFonts w:eastAsia="Cambria" w:cs="Times"/>
          <w:szCs w:val="26"/>
        </w:rPr>
        <w:t xml:space="preserve">F. </w:t>
      </w:r>
      <w:r>
        <w:rPr>
          <w:rFonts w:eastAsia="Cambria" w:cs="Times"/>
          <w:szCs w:val="26"/>
        </w:rPr>
        <w:t xml:space="preserve">(2001). </w:t>
      </w:r>
      <w:r w:rsidRPr="00D04D7E">
        <w:rPr>
          <w:rFonts w:eastAsia="Cambria" w:cs="Times"/>
          <w:szCs w:val="26"/>
        </w:rPr>
        <w:t>How not to be seen: The</w:t>
      </w:r>
      <w:r>
        <w:rPr>
          <w:rFonts w:ascii="Times" w:eastAsia="Cambria" w:hAnsi="Times" w:cs="Times"/>
          <w:sz w:val="26"/>
          <w:szCs w:val="26"/>
        </w:rPr>
        <w:t xml:space="preserve"> contribution of similarity and selective ignoring to </w:t>
      </w:r>
      <w:r w:rsidRPr="00CB0086">
        <w:rPr>
          <w:rFonts w:eastAsia="Cambria" w:cs="Times"/>
          <w:szCs w:val="26"/>
        </w:rPr>
        <w:t xml:space="preserve">sustained </w:t>
      </w:r>
      <w:proofErr w:type="spellStart"/>
      <w:r w:rsidRPr="00CB0086">
        <w:rPr>
          <w:rFonts w:eastAsia="Cambria" w:cs="Times"/>
          <w:szCs w:val="26"/>
        </w:rPr>
        <w:t>inattentional</w:t>
      </w:r>
      <w:proofErr w:type="spellEnd"/>
      <w:r w:rsidRPr="00CB0086">
        <w:rPr>
          <w:rFonts w:eastAsia="Cambria" w:cs="Times"/>
          <w:szCs w:val="26"/>
        </w:rPr>
        <w:t xml:space="preserve"> blindness. </w:t>
      </w:r>
      <w:r w:rsidRPr="00CB0086">
        <w:rPr>
          <w:rFonts w:eastAsia="Cambria" w:cs="Times"/>
          <w:i/>
          <w:iCs/>
          <w:szCs w:val="26"/>
        </w:rPr>
        <w:t xml:space="preserve">Psychological Science, </w:t>
      </w:r>
      <w:r w:rsidRPr="00CB0086">
        <w:rPr>
          <w:rFonts w:eastAsia="Cambria" w:cs="Times"/>
          <w:i/>
          <w:szCs w:val="26"/>
        </w:rPr>
        <w:t xml:space="preserve">12, </w:t>
      </w:r>
      <w:r w:rsidRPr="00CB0086">
        <w:rPr>
          <w:rFonts w:eastAsia="Cambria" w:cs="Times"/>
          <w:szCs w:val="26"/>
        </w:rPr>
        <w:t>9–17.</w:t>
      </w:r>
      <w:r w:rsidR="00C9244F">
        <w:rPr>
          <w:rFonts w:eastAsia="Cambria" w:cs="Times"/>
          <w:szCs w:val="26"/>
        </w:rPr>
        <w:t xml:space="preserve"> </w:t>
      </w:r>
    </w:p>
    <w:p w:rsidR="00F3093F" w:rsidRPr="00F5795C" w:rsidRDefault="00C9244F" w:rsidP="00F5795C">
      <w:pPr>
        <w:spacing w:after="120" w:line="480" w:lineRule="auto"/>
        <w:ind w:left="567" w:hanging="567"/>
      </w:pPr>
      <w:proofErr w:type="spellStart"/>
      <w:r w:rsidRPr="006D5586">
        <w:t>Musch</w:t>
      </w:r>
      <w:proofErr w:type="spellEnd"/>
      <w:r w:rsidRPr="006D5586">
        <w:t xml:space="preserve">, J., &amp; Ehrenberg, K. (2002). </w:t>
      </w:r>
      <w:proofErr w:type="gramStart"/>
      <w:r w:rsidRPr="006D5586">
        <w:t xml:space="preserve">Probability </w:t>
      </w:r>
      <w:proofErr w:type="spellStart"/>
      <w:r w:rsidRPr="006D5586">
        <w:t>misjudgement</w:t>
      </w:r>
      <w:proofErr w:type="spellEnd"/>
      <w:r w:rsidRPr="006D5586">
        <w:t>, cognitive ability, and belief in the paranormal.</w:t>
      </w:r>
      <w:proofErr w:type="gramEnd"/>
      <w:r w:rsidRPr="006D5586">
        <w:t xml:space="preserve"> </w:t>
      </w:r>
      <w:r w:rsidRPr="006D5586">
        <w:rPr>
          <w:i/>
        </w:rPr>
        <w:t xml:space="preserve">British Journal of Psychology, </w:t>
      </w:r>
      <w:r w:rsidRPr="006D5586">
        <w:t>93, 169-177.</w:t>
      </w:r>
    </w:p>
    <w:p w:rsidR="00B024E4" w:rsidRPr="00B024E4" w:rsidRDefault="00B024E4">
      <w:pPr>
        <w:widowControl w:val="0"/>
        <w:tabs>
          <w:tab w:val="left" w:pos="284"/>
          <w:tab w:val="left" w:pos="426"/>
        </w:tabs>
        <w:autoSpaceDE w:val="0"/>
        <w:autoSpaceDN w:val="0"/>
        <w:adjustRightInd w:val="0"/>
        <w:spacing w:line="480" w:lineRule="auto"/>
        <w:ind w:left="567" w:hanging="567"/>
        <w:rPr>
          <w:rFonts w:eastAsia="Cambria" w:cs="Times"/>
          <w:szCs w:val="26"/>
        </w:rPr>
      </w:pPr>
      <w:proofErr w:type="spellStart"/>
      <w:r>
        <w:rPr>
          <w:rFonts w:eastAsia="Cambria" w:cs="Times"/>
          <w:szCs w:val="26"/>
        </w:rPr>
        <w:t>Nadon</w:t>
      </w:r>
      <w:proofErr w:type="spellEnd"/>
      <w:r>
        <w:rPr>
          <w:rFonts w:eastAsia="Cambria" w:cs="Times"/>
          <w:szCs w:val="26"/>
        </w:rPr>
        <w:t xml:space="preserve">, R., &amp; </w:t>
      </w:r>
      <w:proofErr w:type="spellStart"/>
      <w:r>
        <w:rPr>
          <w:rFonts w:eastAsia="Cambria" w:cs="Times"/>
          <w:szCs w:val="26"/>
        </w:rPr>
        <w:t>Kihlstrom</w:t>
      </w:r>
      <w:proofErr w:type="spellEnd"/>
      <w:r>
        <w:rPr>
          <w:rFonts w:eastAsia="Cambria" w:cs="Times"/>
          <w:szCs w:val="26"/>
        </w:rPr>
        <w:t xml:space="preserve">, J. F. (1987). </w:t>
      </w:r>
      <w:proofErr w:type="gramStart"/>
      <w:r>
        <w:rPr>
          <w:rFonts w:eastAsia="Cambria" w:cs="Times"/>
          <w:szCs w:val="26"/>
        </w:rPr>
        <w:t>Hypnosis, psi, and the psychology of paranormal experience.</w:t>
      </w:r>
      <w:proofErr w:type="gramEnd"/>
      <w:r>
        <w:rPr>
          <w:rFonts w:eastAsia="Cambria" w:cs="Times"/>
          <w:szCs w:val="26"/>
        </w:rPr>
        <w:t xml:space="preserve"> </w:t>
      </w:r>
      <w:proofErr w:type="spellStart"/>
      <w:r>
        <w:rPr>
          <w:rFonts w:eastAsia="Cambria" w:cs="Times"/>
          <w:i/>
          <w:szCs w:val="26"/>
        </w:rPr>
        <w:t>Behavioural</w:t>
      </w:r>
      <w:proofErr w:type="spellEnd"/>
      <w:r>
        <w:rPr>
          <w:rFonts w:eastAsia="Cambria" w:cs="Times"/>
          <w:i/>
          <w:szCs w:val="26"/>
        </w:rPr>
        <w:t xml:space="preserve"> and Brain Sciences, </w:t>
      </w:r>
      <w:r>
        <w:rPr>
          <w:rFonts w:eastAsia="Cambria" w:cs="Times"/>
          <w:szCs w:val="26"/>
        </w:rPr>
        <w:t>10, 597-599.</w:t>
      </w:r>
    </w:p>
    <w:p w:rsidR="00C74D74" w:rsidRPr="00C74D74" w:rsidRDefault="00C74D74">
      <w:pPr>
        <w:widowControl w:val="0"/>
        <w:tabs>
          <w:tab w:val="left" w:pos="284"/>
          <w:tab w:val="left" w:pos="426"/>
        </w:tabs>
        <w:autoSpaceDE w:val="0"/>
        <w:autoSpaceDN w:val="0"/>
        <w:adjustRightInd w:val="0"/>
        <w:spacing w:line="480" w:lineRule="auto"/>
        <w:ind w:left="567" w:hanging="567"/>
        <w:rPr>
          <w:rFonts w:eastAsia="Cambria" w:cs="Times"/>
          <w:szCs w:val="26"/>
        </w:rPr>
      </w:pPr>
      <w:proofErr w:type="spellStart"/>
      <w:proofErr w:type="gramStart"/>
      <w:r>
        <w:rPr>
          <w:rFonts w:eastAsia="Cambria" w:cs="Times"/>
          <w:szCs w:val="26"/>
        </w:rPr>
        <w:t>Neisser</w:t>
      </w:r>
      <w:proofErr w:type="spellEnd"/>
      <w:r>
        <w:rPr>
          <w:rFonts w:eastAsia="Cambria" w:cs="Times"/>
          <w:szCs w:val="26"/>
        </w:rPr>
        <w:t>, U. (1976).</w:t>
      </w:r>
      <w:proofErr w:type="gramEnd"/>
      <w:r>
        <w:rPr>
          <w:rFonts w:eastAsia="Cambria" w:cs="Times"/>
          <w:szCs w:val="26"/>
        </w:rPr>
        <w:t xml:space="preserve"> </w:t>
      </w:r>
      <w:r>
        <w:rPr>
          <w:rFonts w:eastAsia="Cambria" w:cs="Times"/>
          <w:i/>
          <w:szCs w:val="26"/>
        </w:rPr>
        <w:t xml:space="preserve">Cognition and reality: Principles and implications of cognitive psychology. </w:t>
      </w:r>
      <w:r>
        <w:rPr>
          <w:rFonts w:eastAsia="Cambria" w:cs="Times"/>
          <w:szCs w:val="26"/>
        </w:rPr>
        <w:t>San Francisco: W. H. Freeman.</w:t>
      </w:r>
    </w:p>
    <w:p w:rsidR="00F3093F" w:rsidRPr="00F06740" w:rsidRDefault="00F3093F">
      <w:pPr>
        <w:spacing w:line="480" w:lineRule="auto"/>
        <w:ind w:left="567" w:hanging="567"/>
        <w:rPr>
          <w:rStyle w:val="Emphasis"/>
        </w:rPr>
      </w:pPr>
      <w:r w:rsidRPr="00BA04C1">
        <w:rPr>
          <w:rStyle w:val="Emphasis"/>
          <w:rFonts w:cs="Times New Roman"/>
          <w:i w:val="0"/>
          <w:color w:val="000000"/>
        </w:rPr>
        <w:t xml:space="preserve">Palmer, J., &amp; Van </w:t>
      </w:r>
      <w:proofErr w:type="spellStart"/>
      <w:r w:rsidRPr="00BA04C1">
        <w:rPr>
          <w:rStyle w:val="Emphasis"/>
          <w:rFonts w:cs="Times New Roman"/>
          <w:i w:val="0"/>
          <w:color w:val="000000"/>
        </w:rPr>
        <w:t>Der</w:t>
      </w:r>
      <w:proofErr w:type="spellEnd"/>
      <w:r w:rsidRPr="00BA04C1">
        <w:rPr>
          <w:rStyle w:val="Emphasis"/>
          <w:rFonts w:cs="Times New Roman"/>
          <w:i w:val="0"/>
          <w:color w:val="000000"/>
        </w:rPr>
        <w:t xml:space="preserve"> </w:t>
      </w:r>
      <w:proofErr w:type="spellStart"/>
      <w:r w:rsidRPr="00BA04C1">
        <w:rPr>
          <w:rStyle w:val="Emphasis"/>
          <w:rFonts w:cs="Times New Roman"/>
          <w:i w:val="0"/>
          <w:color w:val="000000"/>
        </w:rPr>
        <w:t>Velden</w:t>
      </w:r>
      <w:proofErr w:type="spellEnd"/>
      <w:r w:rsidRPr="00BA04C1">
        <w:rPr>
          <w:rStyle w:val="Emphasis"/>
          <w:rFonts w:cs="Times New Roman"/>
          <w:i w:val="0"/>
          <w:color w:val="000000"/>
        </w:rPr>
        <w:t>, I. (1983). ESP and ‘hypnotic imagination’: A group free-</w:t>
      </w:r>
      <w:r w:rsidRPr="00F06740">
        <w:rPr>
          <w:rStyle w:val="Emphasis"/>
          <w:rFonts w:cs="Times New Roman"/>
          <w:i w:val="0"/>
          <w:color w:val="000000"/>
        </w:rPr>
        <w:t xml:space="preserve">response study’. </w:t>
      </w:r>
      <w:r w:rsidRPr="00F06740">
        <w:rPr>
          <w:rStyle w:val="Emphasis"/>
          <w:rFonts w:cs="Times New Roman"/>
          <w:color w:val="000000"/>
        </w:rPr>
        <w:t>European Journal of Parapsychology</w:t>
      </w:r>
      <w:r w:rsidRPr="00F06740">
        <w:rPr>
          <w:rStyle w:val="Emphasis"/>
          <w:rFonts w:cs="Times New Roman"/>
          <w:i w:val="0"/>
          <w:color w:val="000000"/>
        </w:rPr>
        <w:t xml:space="preserve">, </w:t>
      </w:r>
      <w:r w:rsidRPr="00F06740">
        <w:rPr>
          <w:rStyle w:val="Emphasis"/>
          <w:rFonts w:cs="Times New Roman"/>
          <w:bCs/>
          <w:i w:val="0"/>
          <w:color w:val="000000"/>
        </w:rPr>
        <w:t>4</w:t>
      </w:r>
      <w:r w:rsidRPr="00F06740">
        <w:rPr>
          <w:rStyle w:val="Emphasis"/>
          <w:rFonts w:cs="Times New Roman"/>
          <w:i w:val="0"/>
          <w:color w:val="000000"/>
        </w:rPr>
        <w:t xml:space="preserve">, 413-434. </w:t>
      </w:r>
    </w:p>
    <w:p w:rsidR="00F06740" w:rsidRPr="00BA04C1" w:rsidRDefault="00F06740">
      <w:pPr>
        <w:spacing w:line="480" w:lineRule="auto"/>
        <w:ind w:left="567" w:hanging="567"/>
        <w:rPr>
          <w:rStyle w:val="Emphasis"/>
        </w:rPr>
      </w:pPr>
      <w:proofErr w:type="spellStart"/>
      <w:r w:rsidRPr="00F06740">
        <w:rPr>
          <w:rStyle w:val="Emphasis"/>
          <w:rFonts w:cs="Times New Roman"/>
          <w:i w:val="0"/>
          <w:color w:val="000000"/>
        </w:rPr>
        <w:t>Papera</w:t>
      </w:r>
      <w:proofErr w:type="spellEnd"/>
      <w:r w:rsidRPr="00F06740">
        <w:rPr>
          <w:rStyle w:val="Emphasis"/>
          <w:rFonts w:cs="Times New Roman"/>
          <w:i w:val="0"/>
          <w:color w:val="000000"/>
        </w:rPr>
        <w:t xml:space="preserve">, M., Cooper, R., &amp; Richards, A. (2013). </w:t>
      </w:r>
      <w:r w:rsidR="00096E95" w:rsidRPr="00096E95">
        <w:t xml:space="preserve">Artificially created stimuli produced by a genetic algorithm using a saliency model as its fitness function show that </w:t>
      </w:r>
      <w:proofErr w:type="spellStart"/>
      <w:r w:rsidR="00096E95" w:rsidRPr="00096E95">
        <w:t>Inattentional</w:t>
      </w:r>
      <w:proofErr w:type="spellEnd"/>
      <w:r w:rsidR="00096E95" w:rsidRPr="00096E95">
        <w:t xml:space="preserve"> Blindness modulates performance in a pop-out visual search paradigm</w:t>
      </w:r>
      <w:r>
        <w:t xml:space="preserve">. </w:t>
      </w:r>
      <w:r w:rsidR="0036168F">
        <w:t>Manuscript submitted for publication</w:t>
      </w:r>
      <w:r>
        <w:t>.</w:t>
      </w:r>
    </w:p>
    <w:p w:rsidR="00F3093F" w:rsidRDefault="00F3093F">
      <w:pPr>
        <w:spacing w:line="480" w:lineRule="auto"/>
        <w:ind w:left="567" w:hanging="567"/>
      </w:pPr>
      <w:r w:rsidRPr="00B9535A">
        <w:t>R</w:t>
      </w:r>
      <w:r w:rsidRPr="00AD27D2">
        <w:t>ichards, A., Hannon, E.</w:t>
      </w:r>
      <w:r>
        <w:t xml:space="preserve"> </w:t>
      </w:r>
      <w:r w:rsidRPr="00AD27D2">
        <w:t xml:space="preserve">M., &amp; </w:t>
      </w:r>
      <w:proofErr w:type="spellStart"/>
      <w:r w:rsidRPr="00AD27D2">
        <w:t>Derakshan</w:t>
      </w:r>
      <w:proofErr w:type="spellEnd"/>
      <w:r w:rsidRPr="00AD27D2">
        <w:t xml:space="preserve">, N. (2010). Predicting and manipulating the incidence of </w:t>
      </w:r>
      <w:proofErr w:type="spellStart"/>
      <w:r w:rsidRPr="00AD27D2">
        <w:t>inattentional</w:t>
      </w:r>
      <w:proofErr w:type="spellEnd"/>
      <w:r w:rsidRPr="00AD27D2">
        <w:t xml:space="preserve"> blindness. </w:t>
      </w:r>
      <w:r w:rsidRPr="00AD27D2">
        <w:rPr>
          <w:i/>
        </w:rPr>
        <w:t>Psychological Research</w:t>
      </w:r>
      <w:r>
        <w:rPr>
          <w:i/>
        </w:rPr>
        <w:t>,</w:t>
      </w:r>
      <w:r w:rsidRPr="00AD27D2">
        <w:t xml:space="preserve"> 74, 513-523. </w:t>
      </w:r>
    </w:p>
    <w:p w:rsidR="00652297" w:rsidRDefault="00F3093F">
      <w:pPr>
        <w:spacing w:line="480" w:lineRule="auto"/>
        <w:ind w:left="567" w:hanging="567"/>
        <w:rPr>
          <w:i/>
        </w:rPr>
      </w:pPr>
      <w:r w:rsidRPr="00AD27D2">
        <w:t>Richards, A., Hannon, E.</w:t>
      </w:r>
      <w:r>
        <w:t xml:space="preserve"> </w:t>
      </w:r>
      <w:r w:rsidRPr="00AD27D2">
        <w:t xml:space="preserve">M., &amp; </w:t>
      </w:r>
      <w:proofErr w:type="spellStart"/>
      <w:r w:rsidRPr="00AD27D2">
        <w:t>Vitkovitch</w:t>
      </w:r>
      <w:proofErr w:type="spellEnd"/>
      <w:r w:rsidRPr="00AD27D2">
        <w:t xml:space="preserve">, M. (2012). Distracted by distractors: eye movements in an </w:t>
      </w:r>
      <w:proofErr w:type="spellStart"/>
      <w:r w:rsidRPr="00AD27D2">
        <w:t>inattentional</w:t>
      </w:r>
      <w:proofErr w:type="spellEnd"/>
      <w:r w:rsidRPr="00AD27D2">
        <w:t xml:space="preserve"> blindness task. </w:t>
      </w:r>
      <w:r w:rsidRPr="00AD27D2">
        <w:rPr>
          <w:i/>
        </w:rPr>
        <w:t xml:space="preserve">Consciousness and Cognition, 21 </w:t>
      </w:r>
      <w:r w:rsidRPr="00AD27D2">
        <w:t>170-176</w:t>
      </w:r>
      <w:r w:rsidRPr="00AD27D2">
        <w:rPr>
          <w:i/>
        </w:rPr>
        <w:t>.</w:t>
      </w:r>
    </w:p>
    <w:p w:rsidR="00EF2C59" w:rsidRDefault="00406FA5">
      <w:pPr>
        <w:spacing w:line="480" w:lineRule="auto"/>
        <w:ind w:left="567" w:hanging="567"/>
        <w:rPr>
          <w:i/>
        </w:rPr>
      </w:pPr>
      <w:proofErr w:type="gramStart"/>
      <w:r w:rsidRPr="00AC4927">
        <w:rPr>
          <w:rFonts w:ascii="Times New Roman" w:hAnsi="Times New Roman" w:cs="Times New Roman"/>
        </w:rPr>
        <w:t xml:space="preserve">Richards, A., Hannon, E., </w:t>
      </w:r>
      <w:proofErr w:type="spellStart"/>
      <w:r w:rsidRPr="00AC4927">
        <w:rPr>
          <w:rFonts w:ascii="Times New Roman" w:hAnsi="Times New Roman" w:cs="Times New Roman"/>
        </w:rPr>
        <w:t>Iqbal</w:t>
      </w:r>
      <w:proofErr w:type="spellEnd"/>
      <w:r w:rsidRPr="00AC4927">
        <w:rPr>
          <w:rFonts w:ascii="Times New Roman" w:hAnsi="Times New Roman" w:cs="Times New Roman"/>
        </w:rPr>
        <w:t xml:space="preserve"> </w:t>
      </w:r>
      <w:proofErr w:type="spellStart"/>
      <w:r w:rsidRPr="00AC4927">
        <w:rPr>
          <w:rFonts w:ascii="Times New Roman" w:hAnsi="Times New Roman" w:cs="Times New Roman"/>
        </w:rPr>
        <w:t>Vohra</w:t>
      </w:r>
      <w:proofErr w:type="spellEnd"/>
      <w:r w:rsidRPr="00AC4927">
        <w:rPr>
          <w:rFonts w:ascii="Times New Roman" w:hAnsi="Times New Roman" w:cs="Times New Roman"/>
        </w:rPr>
        <w:t xml:space="preserve">, S., </w:t>
      </w:r>
      <w:r>
        <w:rPr>
          <w:rFonts w:ascii="Times New Roman" w:hAnsi="Times New Roman" w:cs="Times New Roman"/>
        </w:rPr>
        <w:t>&amp;</w:t>
      </w:r>
      <w:r w:rsidRPr="00AC4927">
        <w:rPr>
          <w:rFonts w:ascii="Times New Roman" w:hAnsi="Times New Roman" w:cs="Times New Roman"/>
        </w:rPr>
        <w:t xml:space="preserve"> Golan, J. (2013).</w:t>
      </w:r>
      <w:proofErr w:type="gramEnd"/>
      <w:r w:rsidRPr="00AC4927">
        <w:rPr>
          <w:rFonts w:ascii="Times New Roman" w:hAnsi="Times New Roman" w:cs="Times New Roman"/>
        </w:rPr>
        <w:t xml:space="preserve"> Tales of the unexpected: goal-relevance and </w:t>
      </w:r>
      <w:r>
        <w:rPr>
          <w:rFonts w:ascii="Times New Roman" w:hAnsi="Times New Roman" w:cs="Times New Roman"/>
        </w:rPr>
        <w:t xml:space="preserve">change awareness and </w:t>
      </w:r>
      <w:proofErr w:type="spellStart"/>
      <w:r w:rsidRPr="00AC4927">
        <w:rPr>
          <w:rFonts w:ascii="Times New Roman" w:hAnsi="Times New Roman" w:cs="Times New Roman"/>
        </w:rPr>
        <w:t>inattentional</w:t>
      </w:r>
      <w:proofErr w:type="spellEnd"/>
      <w:r w:rsidRPr="00AC4927">
        <w:rPr>
          <w:rFonts w:ascii="Times New Roman" w:hAnsi="Times New Roman" w:cs="Times New Roman"/>
        </w:rPr>
        <w:t xml:space="preserve"> blindness. Manuscript submitted for publication.</w:t>
      </w:r>
    </w:p>
    <w:p w:rsidR="00446F27" w:rsidRPr="0044481A" w:rsidRDefault="00446F27" w:rsidP="00121087">
      <w:pPr>
        <w:spacing w:line="480" w:lineRule="auto"/>
        <w:ind w:left="567" w:hanging="567"/>
      </w:pPr>
      <w:proofErr w:type="spellStart"/>
      <w:r>
        <w:t>Salt</w:t>
      </w:r>
      <w:r w:rsidR="0025322A">
        <w:t>house</w:t>
      </w:r>
      <w:proofErr w:type="spellEnd"/>
      <w:r>
        <w:t>, T. A., &amp; Pink, J. E. (2008). Why is working memory related to fluid intelligence</w:t>
      </w:r>
      <w:r w:rsidR="0036168F">
        <w:t>?</w:t>
      </w:r>
      <w:r>
        <w:t xml:space="preserve"> </w:t>
      </w:r>
      <w:proofErr w:type="spellStart"/>
      <w:r w:rsidR="0044481A">
        <w:rPr>
          <w:i/>
        </w:rPr>
        <w:t>Psychonomic</w:t>
      </w:r>
      <w:proofErr w:type="spellEnd"/>
      <w:r w:rsidR="0044481A">
        <w:rPr>
          <w:i/>
        </w:rPr>
        <w:t xml:space="preserve"> Bulletin &amp; Review, 15, </w:t>
      </w:r>
      <w:r w:rsidR="0044481A">
        <w:t>364-371.</w:t>
      </w:r>
    </w:p>
    <w:p w:rsidR="00652297" w:rsidRDefault="00F3093F" w:rsidP="00121087">
      <w:pPr>
        <w:tabs>
          <w:tab w:val="left" w:pos="426"/>
          <w:tab w:val="left" w:pos="540"/>
        </w:tabs>
        <w:spacing w:line="480" w:lineRule="auto"/>
        <w:ind w:left="567" w:hanging="567"/>
      </w:pPr>
      <w:proofErr w:type="spellStart"/>
      <w:r w:rsidRPr="00AD27D2">
        <w:t>Seegmiller</w:t>
      </w:r>
      <w:proofErr w:type="spellEnd"/>
      <w:r w:rsidRPr="00AD27D2">
        <w:t xml:space="preserve">, J. K., Watson, J. L., &amp; </w:t>
      </w:r>
      <w:proofErr w:type="spellStart"/>
      <w:r w:rsidRPr="00AD27D2">
        <w:t>Strayer</w:t>
      </w:r>
      <w:proofErr w:type="spellEnd"/>
      <w:r w:rsidRPr="00AD27D2">
        <w:t xml:space="preserve">, D. M. (2011). </w:t>
      </w:r>
      <w:proofErr w:type="gramStart"/>
      <w:r w:rsidRPr="00AD27D2">
        <w:t xml:space="preserve">Individual differences in susceptibility to </w:t>
      </w:r>
      <w:proofErr w:type="spellStart"/>
      <w:r w:rsidRPr="00AD27D2">
        <w:t>inattentional</w:t>
      </w:r>
      <w:proofErr w:type="spellEnd"/>
      <w:r w:rsidRPr="00AD27D2">
        <w:t xml:space="preserve"> blindness.</w:t>
      </w:r>
      <w:proofErr w:type="gramEnd"/>
      <w:r w:rsidRPr="00AD27D2">
        <w:t xml:space="preserve"> </w:t>
      </w:r>
      <w:r w:rsidRPr="00AD27D2">
        <w:rPr>
          <w:i/>
        </w:rPr>
        <w:t>Journal of Experimental Psychology, Learning, Memory and Cognition, 37,</w:t>
      </w:r>
      <w:r w:rsidRPr="00AD27D2">
        <w:t xml:space="preserve"> 785-791.</w:t>
      </w:r>
    </w:p>
    <w:p w:rsidR="00E932C9" w:rsidRDefault="00096E95" w:rsidP="00121087">
      <w:pPr>
        <w:tabs>
          <w:tab w:val="left" w:pos="426"/>
          <w:tab w:val="left" w:pos="540"/>
        </w:tabs>
        <w:spacing w:line="480" w:lineRule="auto"/>
        <w:ind w:left="567" w:hanging="567"/>
      </w:pPr>
      <w:r w:rsidRPr="00096E95">
        <w:rPr>
          <w:rFonts w:cs="Times"/>
          <w:color w:val="1A1718"/>
        </w:rPr>
        <w:t>Shelton, J. T, Elliott</w:t>
      </w:r>
      <w:r w:rsidR="0036168F">
        <w:rPr>
          <w:rFonts w:cs="Times"/>
          <w:color w:val="1A1718"/>
        </w:rPr>
        <w:t>, E. M.</w:t>
      </w:r>
      <w:r w:rsidRPr="00096E95">
        <w:rPr>
          <w:rFonts w:cs="Times"/>
          <w:color w:val="1A1718"/>
        </w:rPr>
        <w:t>, Hill</w:t>
      </w:r>
      <w:r w:rsidR="0036168F">
        <w:rPr>
          <w:rFonts w:cs="Times"/>
          <w:color w:val="1A1718"/>
        </w:rPr>
        <w:t>, B. D.,</w:t>
      </w:r>
      <w:r w:rsidRPr="00096E95">
        <w:rPr>
          <w:rFonts w:cs="Times"/>
          <w:color w:val="1A1718"/>
        </w:rPr>
        <w:t xml:space="preserve"> </w:t>
      </w:r>
      <w:proofErr w:type="spellStart"/>
      <w:r w:rsidRPr="00096E95">
        <w:rPr>
          <w:rFonts w:cs="Times"/>
          <w:color w:val="1A1718"/>
        </w:rPr>
        <w:t>Calamia</w:t>
      </w:r>
      <w:proofErr w:type="spellEnd"/>
      <w:r w:rsidR="0036168F">
        <w:rPr>
          <w:rFonts w:cs="Times"/>
          <w:color w:val="1A1718"/>
        </w:rPr>
        <w:t>, M. R.,</w:t>
      </w:r>
      <w:r w:rsidRPr="00096E95">
        <w:rPr>
          <w:rFonts w:cs="Times"/>
          <w:color w:val="1A1718"/>
        </w:rPr>
        <w:t xml:space="preserve"> </w:t>
      </w:r>
      <w:r w:rsidR="00A8053C">
        <w:rPr>
          <w:rFonts w:cs="Times"/>
          <w:color w:val="1A1718"/>
        </w:rPr>
        <w:t xml:space="preserve">&amp; </w:t>
      </w:r>
      <w:proofErr w:type="spellStart"/>
      <w:r w:rsidRPr="00096E95">
        <w:rPr>
          <w:rFonts w:cs="Times"/>
          <w:color w:val="1A1718"/>
        </w:rPr>
        <w:t>Gouvier</w:t>
      </w:r>
      <w:proofErr w:type="spellEnd"/>
      <w:r w:rsidR="0036168F">
        <w:rPr>
          <w:rFonts w:cs="Times"/>
          <w:color w:val="1A1718"/>
        </w:rPr>
        <w:t>, W. D.</w:t>
      </w:r>
      <w:r w:rsidRPr="00096E95">
        <w:rPr>
          <w:rFonts w:cs="Times"/>
          <w:color w:val="1A1718"/>
        </w:rPr>
        <w:t xml:space="preserve"> (2009). </w:t>
      </w:r>
      <w:proofErr w:type="gramStart"/>
      <w:r w:rsidRPr="00096E95">
        <w:rPr>
          <w:rFonts w:cs="Times"/>
          <w:color w:val="1A1718"/>
        </w:rPr>
        <w:t>A comparison of laboratory and clinical working memory tests and their prediction of fluid intelligence.</w:t>
      </w:r>
      <w:proofErr w:type="gramEnd"/>
      <w:r w:rsidRPr="00096E95">
        <w:rPr>
          <w:rFonts w:cs="Times"/>
          <w:color w:val="1A1718"/>
        </w:rPr>
        <w:t xml:space="preserve"> </w:t>
      </w:r>
      <w:r w:rsidRPr="00096E95">
        <w:rPr>
          <w:rFonts w:cs="Times"/>
          <w:i/>
          <w:color w:val="1A1718"/>
        </w:rPr>
        <w:t>Intelligence</w:t>
      </w:r>
      <w:r w:rsidRPr="00096E95">
        <w:rPr>
          <w:rFonts w:cs="Times"/>
          <w:color w:val="1A1718"/>
        </w:rPr>
        <w:t xml:space="preserve">, 37, </w:t>
      </w:r>
      <w:r w:rsidR="00351B52" w:rsidRPr="00351B52">
        <w:rPr>
          <w:rFonts w:cs="Times"/>
          <w:color w:val="1A1718"/>
        </w:rPr>
        <w:t>283-293</w:t>
      </w:r>
      <w:r w:rsidRPr="00096E95">
        <w:rPr>
          <w:rFonts w:cs="Times"/>
          <w:i/>
          <w:color w:val="1A1718"/>
        </w:rPr>
        <w:t>.</w:t>
      </w:r>
    </w:p>
    <w:p w:rsidR="003B651D" w:rsidRDefault="00F3093F">
      <w:pPr>
        <w:spacing w:line="480" w:lineRule="auto"/>
        <w:ind w:left="567" w:hanging="567"/>
      </w:pPr>
      <w:proofErr w:type="gramStart"/>
      <w:r w:rsidRPr="00460FB3">
        <w:t>Simons, D. J. (2003).</w:t>
      </w:r>
      <w:proofErr w:type="gramEnd"/>
      <w:r w:rsidRPr="00460FB3">
        <w:t xml:space="preserve"> </w:t>
      </w:r>
      <w:proofErr w:type="gramStart"/>
      <w:r w:rsidRPr="00460FB3">
        <w:t>Surprising studies of visual awareness (DVD).</w:t>
      </w:r>
      <w:proofErr w:type="gramEnd"/>
      <w:r w:rsidRPr="00460FB3">
        <w:t xml:space="preserve"> </w:t>
      </w:r>
      <w:r w:rsidRPr="00460FB3">
        <w:rPr>
          <w:lang w:val="fr-FR"/>
        </w:rPr>
        <w:t xml:space="preserve">Champaign, IL: </w:t>
      </w:r>
      <w:proofErr w:type="spellStart"/>
      <w:r w:rsidRPr="00460FB3">
        <w:rPr>
          <w:lang w:val="fr-FR"/>
        </w:rPr>
        <w:t>Viscog</w:t>
      </w:r>
      <w:proofErr w:type="spellEnd"/>
      <w:r w:rsidRPr="00460FB3">
        <w:rPr>
          <w:lang w:val="fr-FR"/>
        </w:rPr>
        <w:t xml:space="preserve"> Productions. </w:t>
      </w:r>
      <w:hyperlink r:id="rId8" w:history="1">
        <w:r w:rsidRPr="00460FB3">
          <w:rPr>
            <w:rStyle w:val="Hyperlink"/>
            <w:lang w:val="fr-FR"/>
          </w:rPr>
          <w:t>http://www.viscog.com</w:t>
        </w:r>
      </w:hyperlink>
      <w:r w:rsidRPr="00460FB3">
        <w:rPr>
          <w:lang w:val="fr-FR"/>
        </w:rPr>
        <w:t>.</w:t>
      </w:r>
    </w:p>
    <w:p w:rsidR="003B651D" w:rsidRDefault="00F3093F">
      <w:pPr>
        <w:spacing w:line="480" w:lineRule="auto"/>
        <w:ind w:left="567" w:hanging="567"/>
      </w:pPr>
      <w:r w:rsidRPr="00CB0086">
        <w:t xml:space="preserve">Simons, D. J., &amp; </w:t>
      </w:r>
      <w:proofErr w:type="spellStart"/>
      <w:r w:rsidRPr="00CB0086">
        <w:t>Chabris</w:t>
      </w:r>
      <w:proofErr w:type="spellEnd"/>
      <w:r w:rsidRPr="00CB0086">
        <w:t>, C. F. (1999)</w:t>
      </w:r>
      <w:r>
        <w:t>.</w:t>
      </w:r>
      <w:r w:rsidRPr="00CB0086">
        <w:t xml:space="preserve"> Gorillas in our midst: sustained </w:t>
      </w:r>
      <w:proofErr w:type="spellStart"/>
      <w:r w:rsidRPr="00CB0086">
        <w:t>inattentional</w:t>
      </w:r>
      <w:proofErr w:type="spellEnd"/>
      <w:r w:rsidRPr="00CB0086">
        <w:t xml:space="preserve"> blindness for dynamic events. </w:t>
      </w:r>
      <w:r w:rsidRPr="00CB0086">
        <w:rPr>
          <w:i/>
          <w:iCs/>
        </w:rPr>
        <w:t>Perception,</w:t>
      </w:r>
      <w:r w:rsidRPr="00CB0086">
        <w:t xml:space="preserve"> 28, 1059-1074. </w:t>
      </w:r>
    </w:p>
    <w:p w:rsidR="00652297" w:rsidRDefault="00F3093F" w:rsidP="001210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7" w:hanging="567"/>
        <w:rPr>
          <w:rFonts w:cs="Helvetica"/>
        </w:rPr>
      </w:pPr>
      <w:proofErr w:type="spellStart"/>
      <w:r w:rsidRPr="00B9535A">
        <w:rPr>
          <w:rFonts w:cs="Times New Roman"/>
          <w:szCs w:val="16"/>
        </w:rPr>
        <w:t>Spanos</w:t>
      </w:r>
      <w:proofErr w:type="spellEnd"/>
      <w:r w:rsidRPr="00B9535A">
        <w:rPr>
          <w:rFonts w:cs="Times New Roman"/>
          <w:szCs w:val="16"/>
        </w:rPr>
        <w:t>, N.</w:t>
      </w:r>
      <w:r>
        <w:rPr>
          <w:rFonts w:cs="Times New Roman"/>
          <w:szCs w:val="16"/>
        </w:rPr>
        <w:t xml:space="preserve"> P., &amp; </w:t>
      </w:r>
      <w:proofErr w:type="spellStart"/>
      <w:r>
        <w:rPr>
          <w:rFonts w:cs="Times New Roman"/>
          <w:szCs w:val="16"/>
        </w:rPr>
        <w:t>Moretti</w:t>
      </w:r>
      <w:proofErr w:type="spellEnd"/>
      <w:r>
        <w:rPr>
          <w:rFonts w:cs="Times New Roman"/>
          <w:szCs w:val="16"/>
        </w:rPr>
        <w:t>, P. (1988).</w:t>
      </w:r>
      <w:r w:rsidRPr="00B9535A">
        <w:rPr>
          <w:rFonts w:cs="Times New Roman"/>
          <w:szCs w:val="16"/>
        </w:rPr>
        <w:t xml:space="preserve"> Correlates of mystical and diabolical experiences in a sample of</w:t>
      </w:r>
      <w:r w:rsidRPr="00B9535A">
        <w:rPr>
          <w:rFonts w:cs="Helvetica"/>
        </w:rPr>
        <w:t xml:space="preserve"> </w:t>
      </w:r>
      <w:r w:rsidRPr="00B9535A">
        <w:rPr>
          <w:rFonts w:cs="Times New Roman"/>
          <w:szCs w:val="16"/>
        </w:rPr>
        <w:t>female university students</w:t>
      </w:r>
      <w:r>
        <w:rPr>
          <w:rFonts w:cs="Times New Roman"/>
          <w:szCs w:val="16"/>
        </w:rPr>
        <w:t>.</w:t>
      </w:r>
      <w:r w:rsidRPr="00B9535A">
        <w:rPr>
          <w:rFonts w:cs="Helvetica"/>
        </w:rPr>
        <w:t xml:space="preserve"> </w:t>
      </w:r>
      <w:r w:rsidRPr="00BA04C1">
        <w:rPr>
          <w:rFonts w:cs="Helvetica"/>
          <w:i/>
          <w:szCs w:val="16"/>
        </w:rPr>
        <w:t>Journal for the Scientific Study of Religion</w:t>
      </w:r>
      <w:r w:rsidRPr="00B9535A">
        <w:rPr>
          <w:rFonts w:cs="Times New Roman"/>
          <w:szCs w:val="16"/>
        </w:rPr>
        <w:t>,</w:t>
      </w:r>
      <w:r w:rsidRPr="00B9535A">
        <w:rPr>
          <w:rFonts w:cs="Helvetica"/>
        </w:rPr>
        <w:t xml:space="preserve"> </w:t>
      </w:r>
      <w:r w:rsidRPr="00B9535A">
        <w:rPr>
          <w:rFonts w:cs="Helvetica"/>
          <w:szCs w:val="16"/>
        </w:rPr>
        <w:t>27</w:t>
      </w:r>
      <w:r>
        <w:rPr>
          <w:rFonts w:cs="Times New Roman"/>
          <w:szCs w:val="16"/>
        </w:rPr>
        <w:t xml:space="preserve">, </w:t>
      </w:r>
      <w:r w:rsidRPr="00B9535A">
        <w:rPr>
          <w:rFonts w:cs="Times New Roman"/>
          <w:szCs w:val="16"/>
        </w:rPr>
        <w:t>105–</w:t>
      </w:r>
      <w:r>
        <w:rPr>
          <w:rFonts w:cs="Times New Roman"/>
          <w:szCs w:val="16"/>
        </w:rPr>
        <w:t>1</w:t>
      </w:r>
      <w:r w:rsidRPr="00B9535A">
        <w:rPr>
          <w:rFonts w:cs="Times New Roman"/>
          <w:szCs w:val="16"/>
        </w:rPr>
        <w:t>16.</w:t>
      </w:r>
      <w:r w:rsidRPr="00B9535A">
        <w:rPr>
          <w:rFonts w:cs="Helvetica"/>
        </w:rPr>
        <w:t xml:space="preserve"> </w:t>
      </w:r>
    </w:p>
    <w:p w:rsidR="00C9244F" w:rsidRPr="00C9244F" w:rsidRDefault="0025322A" w:rsidP="00F5795C">
      <w:pPr>
        <w:spacing w:line="480" w:lineRule="auto"/>
        <w:ind w:left="567" w:hanging="567"/>
        <w:rPr>
          <w:rFonts w:cs="Times"/>
        </w:rPr>
      </w:pPr>
      <w:proofErr w:type="spellStart"/>
      <w:proofErr w:type="gramStart"/>
      <w:r w:rsidRPr="00C9244F">
        <w:rPr>
          <w:rFonts w:cs="Times"/>
        </w:rPr>
        <w:t>Sanbonmatsu</w:t>
      </w:r>
      <w:proofErr w:type="spellEnd"/>
      <w:r w:rsidRPr="00C9244F">
        <w:rPr>
          <w:rFonts w:cs="Times"/>
        </w:rPr>
        <w:t xml:space="preserve">, D. M., </w:t>
      </w:r>
      <w:proofErr w:type="spellStart"/>
      <w:r w:rsidRPr="00C9244F">
        <w:rPr>
          <w:rFonts w:cs="Times"/>
        </w:rPr>
        <w:t>Strayer</w:t>
      </w:r>
      <w:proofErr w:type="spellEnd"/>
      <w:r w:rsidRPr="00C9244F">
        <w:rPr>
          <w:rFonts w:cs="Times"/>
        </w:rPr>
        <w:t>,</w:t>
      </w:r>
      <w:r w:rsidR="00096E95" w:rsidRPr="00C9244F">
        <w:rPr>
          <w:rFonts w:cs="Times"/>
        </w:rPr>
        <w:t xml:space="preserve"> D. L., Medeiros-Ward, N., &amp; Watson, J. M. (2013).</w:t>
      </w:r>
      <w:proofErr w:type="gramEnd"/>
      <w:r w:rsidR="00096E95" w:rsidRPr="00C9244F">
        <w:rPr>
          <w:rFonts w:cs="Times"/>
        </w:rPr>
        <w:t xml:space="preserve"> Who </w:t>
      </w:r>
      <w:r w:rsidR="00A8053C" w:rsidRPr="00C9244F">
        <w:rPr>
          <w:rFonts w:cs="Times"/>
        </w:rPr>
        <w:t>m</w:t>
      </w:r>
      <w:r w:rsidR="00096E95" w:rsidRPr="00C9244F">
        <w:rPr>
          <w:rFonts w:cs="Times"/>
        </w:rPr>
        <w:t>ulti-</w:t>
      </w:r>
      <w:r w:rsidR="00A8053C" w:rsidRPr="00C9244F">
        <w:rPr>
          <w:rFonts w:cs="Times"/>
        </w:rPr>
        <w:t>t</w:t>
      </w:r>
      <w:r w:rsidR="00096E95" w:rsidRPr="00C9244F">
        <w:rPr>
          <w:rFonts w:cs="Times"/>
        </w:rPr>
        <w:t xml:space="preserve">asks and </w:t>
      </w:r>
      <w:r w:rsidR="00A8053C" w:rsidRPr="00C9244F">
        <w:rPr>
          <w:rFonts w:cs="Times"/>
        </w:rPr>
        <w:t>w</w:t>
      </w:r>
      <w:r w:rsidR="00096E95" w:rsidRPr="00C9244F">
        <w:rPr>
          <w:rFonts w:cs="Times"/>
        </w:rPr>
        <w:t xml:space="preserve">hy? </w:t>
      </w:r>
      <w:proofErr w:type="gramStart"/>
      <w:r w:rsidR="00096E95" w:rsidRPr="00C9244F">
        <w:rPr>
          <w:rFonts w:cs="Times"/>
        </w:rPr>
        <w:t>Multi-</w:t>
      </w:r>
      <w:r w:rsidR="00A8053C" w:rsidRPr="00C9244F">
        <w:rPr>
          <w:rFonts w:cs="Times"/>
        </w:rPr>
        <w:t>t</w:t>
      </w:r>
      <w:r w:rsidR="00096E95" w:rsidRPr="00C9244F">
        <w:rPr>
          <w:rFonts w:cs="Times"/>
        </w:rPr>
        <w:t xml:space="preserve">asking </w:t>
      </w:r>
      <w:r w:rsidR="00A8053C" w:rsidRPr="00C9244F">
        <w:rPr>
          <w:rFonts w:cs="Times"/>
        </w:rPr>
        <w:t>a</w:t>
      </w:r>
      <w:r w:rsidR="00096E95" w:rsidRPr="00C9244F">
        <w:rPr>
          <w:rFonts w:cs="Times"/>
        </w:rPr>
        <w:t xml:space="preserve">bility, </w:t>
      </w:r>
      <w:r w:rsidR="00A8053C" w:rsidRPr="00C9244F">
        <w:rPr>
          <w:rFonts w:cs="Times"/>
        </w:rPr>
        <w:t>p</w:t>
      </w:r>
      <w:r w:rsidR="00096E95" w:rsidRPr="00C9244F">
        <w:rPr>
          <w:rFonts w:cs="Times"/>
        </w:rPr>
        <w:t xml:space="preserve">erceived </w:t>
      </w:r>
      <w:r w:rsidR="00A8053C" w:rsidRPr="00C9244F">
        <w:rPr>
          <w:rFonts w:cs="Times"/>
        </w:rPr>
        <w:t>m</w:t>
      </w:r>
      <w:r w:rsidR="00096E95" w:rsidRPr="00C9244F">
        <w:rPr>
          <w:rFonts w:cs="Times"/>
        </w:rPr>
        <w:t>ulti-</w:t>
      </w:r>
      <w:r w:rsidR="00A8053C" w:rsidRPr="00C9244F">
        <w:rPr>
          <w:rFonts w:cs="Times"/>
        </w:rPr>
        <w:t>t</w:t>
      </w:r>
      <w:r w:rsidR="00096E95" w:rsidRPr="00C9244F">
        <w:rPr>
          <w:rFonts w:cs="Times"/>
        </w:rPr>
        <w:t xml:space="preserve">asking </w:t>
      </w:r>
      <w:r w:rsidR="00A8053C" w:rsidRPr="00C9244F">
        <w:rPr>
          <w:rFonts w:cs="Times"/>
        </w:rPr>
        <w:t>a</w:t>
      </w:r>
      <w:r w:rsidR="00096E95" w:rsidRPr="00C9244F">
        <w:rPr>
          <w:rFonts w:cs="Times"/>
        </w:rPr>
        <w:t xml:space="preserve">bility, </w:t>
      </w:r>
      <w:r w:rsidR="00A8053C" w:rsidRPr="00C9244F">
        <w:rPr>
          <w:rFonts w:cs="Times"/>
        </w:rPr>
        <w:t>i</w:t>
      </w:r>
      <w:r w:rsidR="00096E95" w:rsidRPr="00C9244F">
        <w:rPr>
          <w:rFonts w:cs="Times"/>
        </w:rPr>
        <w:t xml:space="preserve">mpulsivity, and </w:t>
      </w:r>
      <w:r w:rsidR="00A8053C" w:rsidRPr="00C9244F">
        <w:rPr>
          <w:rFonts w:cs="Times"/>
        </w:rPr>
        <w:t>s</w:t>
      </w:r>
      <w:r w:rsidR="00096E95" w:rsidRPr="00C9244F">
        <w:rPr>
          <w:rFonts w:cs="Times"/>
        </w:rPr>
        <w:t xml:space="preserve">ensation </w:t>
      </w:r>
      <w:r w:rsidR="00A8053C" w:rsidRPr="00C9244F">
        <w:rPr>
          <w:rFonts w:cs="Times"/>
        </w:rPr>
        <w:t>s</w:t>
      </w:r>
      <w:r w:rsidR="00096E95" w:rsidRPr="00C9244F">
        <w:rPr>
          <w:rFonts w:cs="Times"/>
        </w:rPr>
        <w:t>eeking.</w:t>
      </w:r>
      <w:proofErr w:type="gramEnd"/>
      <w:r w:rsidR="00096E95" w:rsidRPr="00C9244F">
        <w:rPr>
          <w:rFonts w:cs="Times"/>
        </w:rPr>
        <w:t xml:space="preserve"> </w:t>
      </w:r>
      <w:r w:rsidR="00096E95" w:rsidRPr="00C9244F">
        <w:rPr>
          <w:rFonts w:cs="Times"/>
          <w:i/>
        </w:rPr>
        <w:t>PLOS ONE, 8</w:t>
      </w:r>
      <w:r w:rsidR="00096E95" w:rsidRPr="00C9244F">
        <w:rPr>
          <w:rFonts w:cs="Times"/>
        </w:rPr>
        <w:t>, e54402.</w:t>
      </w:r>
      <w:r w:rsidR="00C9244F" w:rsidRPr="00C9244F">
        <w:rPr>
          <w:rFonts w:cs="Times"/>
        </w:rPr>
        <w:t xml:space="preserve"> </w:t>
      </w:r>
    </w:p>
    <w:p w:rsidR="00C9244F" w:rsidRPr="006D5586" w:rsidRDefault="00C9244F" w:rsidP="00F5795C">
      <w:pPr>
        <w:spacing w:line="480" w:lineRule="auto"/>
        <w:ind w:left="567" w:hanging="567"/>
        <w:rPr>
          <w:spacing w:val="-3"/>
        </w:rPr>
      </w:pPr>
      <w:r w:rsidRPr="00C9244F">
        <w:rPr>
          <w:spacing w:val="-3"/>
        </w:rPr>
        <w:t xml:space="preserve">Smith, M. D., Foster, C. L., &amp; </w:t>
      </w:r>
      <w:proofErr w:type="spellStart"/>
      <w:r w:rsidRPr="00C9244F">
        <w:rPr>
          <w:spacing w:val="-3"/>
        </w:rPr>
        <w:t>Stovin</w:t>
      </w:r>
      <w:proofErr w:type="spellEnd"/>
      <w:r w:rsidRPr="00C9244F">
        <w:rPr>
          <w:spacing w:val="-3"/>
        </w:rPr>
        <w:t>, G. (1998). Intelligence</w:t>
      </w:r>
      <w:r w:rsidRPr="006D5586">
        <w:rPr>
          <w:spacing w:val="-3"/>
        </w:rPr>
        <w:t xml:space="preserve"> and paranormal belief: Examining the role of context. </w:t>
      </w:r>
      <w:r w:rsidRPr="006D5586">
        <w:rPr>
          <w:i/>
          <w:spacing w:val="-3"/>
        </w:rPr>
        <w:t xml:space="preserve">Journal of Parapsychology, </w:t>
      </w:r>
      <w:r w:rsidRPr="006D5586">
        <w:rPr>
          <w:spacing w:val="-3"/>
        </w:rPr>
        <w:t>62, 65-77.</w:t>
      </w:r>
    </w:p>
    <w:p w:rsidR="00C9244F" w:rsidRPr="006D5586" w:rsidRDefault="00C9244F" w:rsidP="00F5795C">
      <w:pPr>
        <w:autoSpaceDE w:val="0"/>
        <w:autoSpaceDN w:val="0"/>
        <w:adjustRightInd w:val="0"/>
        <w:spacing w:after="120" w:line="480" w:lineRule="auto"/>
        <w:ind w:left="567" w:hanging="567"/>
      </w:pPr>
      <w:r w:rsidRPr="006D5586">
        <w:t xml:space="preserve">Stuart-Hamilton, I., </w:t>
      </w:r>
      <w:proofErr w:type="spellStart"/>
      <w:r w:rsidRPr="006D5586">
        <w:t>Nayak</w:t>
      </w:r>
      <w:proofErr w:type="spellEnd"/>
      <w:r w:rsidRPr="006D5586">
        <w:t xml:space="preserve">, L., &amp; Priest, L. (2006). </w:t>
      </w:r>
      <w:proofErr w:type="gramStart"/>
      <w:r w:rsidRPr="006D5586">
        <w:t>Intelligence, belief in the paranormal, knowledge of probability and aging.</w:t>
      </w:r>
      <w:proofErr w:type="gramEnd"/>
      <w:r w:rsidRPr="006D5586">
        <w:t xml:space="preserve"> </w:t>
      </w:r>
      <w:r w:rsidRPr="006D5586">
        <w:rPr>
          <w:i/>
        </w:rPr>
        <w:t>Educational Gerontology</w:t>
      </w:r>
      <w:r w:rsidRPr="006D5586">
        <w:t>, 32, 173-184.</w:t>
      </w:r>
    </w:p>
    <w:p w:rsidR="00E932C9" w:rsidRPr="005C304C" w:rsidRDefault="00E932C9" w:rsidP="001210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7" w:hanging="567"/>
        <w:rPr>
          <w:rFonts w:cs="Helvetica"/>
        </w:rPr>
      </w:pPr>
    </w:p>
    <w:p w:rsidR="003B651D" w:rsidRDefault="00F3093F">
      <w:pPr>
        <w:spacing w:line="480" w:lineRule="auto"/>
        <w:ind w:left="567" w:hanging="567"/>
        <w:rPr>
          <w:rFonts w:cs="Helvetica"/>
        </w:rPr>
      </w:pPr>
      <w:proofErr w:type="spellStart"/>
      <w:r w:rsidRPr="00CB0086">
        <w:rPr>
          <w:rFonts w:cs="Helvetica"/>
        </w:rPr>
        <w:t>Tellegen</w:t>
      </w:r>
      <w:proofErr w:type="spellEnd"/>
      <w:r w:rsidRPr="00CB0086">
        <w:rPr>
          <w:rFonts w:cs="Helvetica"/>
        </w:rPr>
        <w:t>, A.</w:t>
      </w:r>
      <w:r w:rsidR="00A8053C">
        <w:rPr>
          <w:rFonts w:cs="Helvetica"/>
        </w:rPr>
        <w:t>,</w:t>
      </w:r>
      <w:r w:rsidRPr="00CB0086">
        <w:rPr>
          <w:rFonts w:cs="Helvetica"/>
        </w:rPr>
        <w:t xml:space="preserve"> &amp; Atkinson, G. (1974). Openness to absorbing and self-altering experiences (</w:t>
      </w:r>
      <w:r w:rsidR="00A8053C">
        <w:rPr>
          <w:rFonts w:cs="Helvetica"/>
        </w:rPr>
        <w:t>“</w:t>
      </w:r>
      <w:r w:rsidRPr="00CB0086">
        <w:rPr>
          <w:rFonts w:cs="Helvetica"/>
        </w:rPr>
        <w:t>absorption</w:t>
      </w:r>
      <w:r w:rsidR="00A8053C">
        <w:rPr>
          <w:rFonts w:cs="Helvetica"/>
        </w:rPr>
        <w:t>”</w:t>
      </w:r>
      <w:r w:rsidRPr="00CB0086">
        <w:rPr>
          <w:rFonts w:cs="Helvetica"/>
        </w:rPr>
        <w:t xml:space="preserve">), a trait related to hypnotic susceptibility. </w:t>
      </w:r>
      <w:r w:rsidRPr="00CB0086">
        <w:rPr>
          <w:rFonts w:cs="Helvetica"/>
          <w:i/>
        </w:rPr>
        <w:t>Journal of Abnormal Psychology, 83</w:t>
      </w:r>
      <w:r w:rsidRPr="00CB0086">
        <w:rPr>
          <w:rFonts w:cs="Helvetica"/>
        </w:rPr>
        <w:t>, 268-277</w:t>
      </w:r>
      <w:r w:rsidR="00121087">
        <w:rPr>
          <w:rFonts w:cs="Helvetica"/>
        </w:rPr>
        <w:t>.</w:t>
      </w:r>
    </w:p>
    <w:p w:rsidR="003B651D" w:rsidRDefault="00A8053C">
      <w:pPr>
        <w:spacing w:line="480" w:lineRule="auto"/>
        <w:ind w:left="567" w:hanging="567"/>
      </w:pPr>
      <w:proofErr w:type="spellStart"/>
      <w:r>
        <w:t>Thalbourne</w:t>
      </w:r>
      <w:proofErr w:type="spellEnd"/>
      <w:r>
        <w:t xml:space="preserve">, M. A. (1998). </w:t>
      </w:r>
      <w:proofErr w:type="spellStart"/>
      <w:r>
        <w:t>Transliminality</w:t>
      </w:r>
      <w:proofErr w:type="spellEnd"/>
      <w:r>
        <w:t xml:space="preserve">: Further correlates and a short measure. </w:t>
      </w:r>
      <w:r>
        <w:rPr>
          <w:i/>
        </w:rPr>
        <w:t>Journal of the American Society for Psychical Research</w:t>
      </w:r>
      <w:r>
        <w:t>, 92, 402-419.</w:t>
      </w:r>
    </w:p>
    <w:p w:rsidR="00F3093F" w:rsidRDefault="00F3093F" w:rsidP="00121087">
      <w:pPr>
        <w:tabs>
          <w:tab w:val="left" w:pos="426"/>
          <w:tab w:val="left" w:pos="540"/>
        </w:tabs>
        <w:spacing w:line="480" w:lineRule="auto"/>
        <w:ind w:left="567" w:hanging="567"/>
      </w:pPr>
      <w:proofErr w:type="spellStart"/>
      <w:r w:rsidRPr="00CB0086">
        <w:t>Thalbourne</w:t>
      </w:r>
      <w:proofErr w:type="spellEnd"/>
      <w:r w:rsidRPr="00CB0086">
        <w:t>, M. A. (2010). The Australian Sheep-Goat Scale: Development and</w:t>
      </w:r>
      <w:r>
        <w:t xml:space="preserve"> empirical findings. </w:t>
      </w:r>
      <w:r>
        <w:rPr>
          <w:i/>
        </w:rPr>
        <w:t>Australian Journal of Parapsychology</w:t>
      </w:r>
      <w:r>
        <w:t>, 10, 5-39.</w:t>
      </w:r>
    </w:p>
    <w:p w:rsidR="00A8053C" w:rsidRDefault="00A8053C" w:rsidP="00121087">
      <w:pPr>
        <w:tabs>
          <w:tab w:val="left" w:pos="426"/>
          <w:tab w:val="left" w:pos="540"/>
        </w:tabs>
        <w:spacing w:line="480" w:lineRule="auto"/>
        <w:ind w:left="567" w:hanging="567"/>
      </w:pPr>
      <w:proofErr w:type="spellStart"/>
      <w:r>
        <w:t>Thalbourne</w:t>
      </w:r>
      <w:proofErr w:type="spellEnd"/>
      <w:r>
        <w:t xml:space="preserve">, M. A., </w:t>
      </w:r>
      <w:proofErr w:type="spellStart"/>
      <w:r>
        <w:t>Bartemucci</w:t>
      </w:r>
      <w:proofErr w:type="spellEnd"/>
      <w:r>
        <w:t xml:space="preserve">, L., </w:t>
      </w:r>
      <w:proofErr w:type="spellStart"/>
      <w:r>
        <w:t>Delin</w:t>
      </w:r>
      <w:proofErr w:type="spellEnd"/>
      <w:r>
        <w:t xml:space="preserve">, P. S., Fox, B., &amp; </w:t>
      </w:r>
      <w:proofErr w:type="spellStart"/>
      <w:r>
        <w:t>Nofi</w:t>
      </w:r>
      <w:proofErr w:type="spellEnd"/>
      <w:r w:rsidRPr="0028073F">
        <w:t>,</w:t>
      </w:r>
      <w:r>
        <w:t xml:space="preserve"> O.</w:t>
      </w:r>
      <w:r w:rsidRPr="0028073F">
        <w:t xml:space="preserve"> </w:t>
      </w:r>
      <w:r>
        <w:t>(</w:t>
      </w:r>
      <w:r w:rsidRPr="0028073F">
        <w:t>1997)</w:t>
      </w:r>
      <w:r>
        <w:t xml:space="preserve">. </w:t>
      </w:r>
      <w:proofErr w:type="spellStart"/>
      <w:r>
        <w:t>Transliminality</w:t>
      </w:r>
      <w:proofErr w:type="spellEnd"/>
      <w:r>
        <w:t xml:space="preserve">: Its nature and correlates. </w:t>
      </w:r>
      <w:r>
        <w:rPr>
          <w:i/>
        </w:rPr>
        <w:t>Journal of the American Society for Psychical Research</w:t>
      </w:r>
      <w:r>
        <w:t>, 91, 305-331.</w:t>
      </w:r>
    </w:p>
    <w:p w:rsidR="00F3093F" w:rsidRPr="001873FB" w:rsidRDefault="00F3093F" w:rsidP="00121087">
      <w:pPr>
        <w:widowControl w:val="0"/>
        <w:tabs>
          <w:tab w:val="left" w:pos="284"/>
          <w:tab w:val="left" w:pos="426"/>
        </w:tabs>
        <w:autoSpaceDE w:val="0"/>
        <w:autoSpaceDN w:val="0"/>
        <w:adjustRightInd w:val="0"/>
        <w:spacing w:line="480" w:lineRule="auto"/>
        <w:ind w:left="567" w:hanging="567"/>
      </w:pPr>
      <w:r w:rsidRPr="001873FB">
        <w:rPr>
          <w:rFonts w:cs="Times-Roman"/>
          <w:lang w:val="de-DE"/>
        </w:rPr>
        <w:t xml:space="preserve">Unsworth, N., Heitz, R. P., Schrock, J. C., &amp; Engle, R. W. (2005). </w:t>
      </w:r>
      <w:proofErr w:type="gramStart"/>
      <w:r w:rsidRPr="001873FB">
        <w:t>An automated version of the operation span task.</w:t>
      </w:r>
      <w:proofErr w:type="gramEnd"/>
      <w:r w:rsidRPr="001873FB">
        <w:t xml:space="preserve"> </w:t>
      </w:r>
      <w:proofErr w:type="spellStart"/>
      <w:r>
        <w:rPr>
          <w:i/>
        </w:rPr>
        <w:t>Behaviour</w:t>
      </w:r>
      <w:proofErr w:type="spellEnd"/>
      <w:r>
        <w:rPr>
          <w:i/>
        </w:rPr>
        <w:t xml:space="preserve"> Research Methods 37,</w:t>
      </w:r>
      <w:r w:rsidRPr="001873FB">
        <w:rPr>
          <w:i/>
        </w:rPr>
        <w:t xml:space="preserve"> </w:t>
      </w:r>
      <w:r w:rsidRPr="001873FB">
        <w:t>498-505.</w:t>
      </w:r>
    </w:p>
    <w:p w:rsidR="00914ADA" w:rsidRPr="00914ADA" w:rsidRDefault="00914ADA" w:rsidP="00121087">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7" w:hanging="567"/>
        <w:rPr>
          <w:rFonts w:cs="Helvetica"/>
        </w:rPr>
      </w:pPr>
      <w:r>
        <w:rPr>
          <w:rFonts w:cs="Times New Roman"/>
          <w:szCs w:val="16"/>
        </w:rPr>
        <w:t xml:space="preserve">Wiseman, R., &amp; Greening, E. (2005). “It’s still bending”: Verbal suggestion and alleged psychokinetic ability. </w:t>
      </w:r>
      <w:r>
        <w:rPr>
          <w:rFonts w:cs="Times New Roman"/>
          <w:i/>
          <w:szCs w:val="16"/>
        </w:rPr>
        <w:t>British Journal of Psychology</w:t>
      </w:r>
      <w:r>
        <w:rPr>
          <w:rFonts w:cs="Times New Roman"/>
          <w:szCs w:val="16"/>
        </w:rPr>
        <w:t>, 96, 115-127.</w:t>
      </w:r>
    </w:p>
    <w:p w:rsidR="00914ADA" w:rsidRDefault="00F3093F" w:rsidP="00121087">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7" w:hanging="567"/>
        <w:rPr>
          <w:rFonts w:cs="Helvetica"/>
        </w:rPr>
      </w:pPr>
      <w:r w:rsidRPr="00BA04C1">
        <w:rPr>
          <w:rFonts w:cs="Helvetica"/>
        </w:rPr>
        <w:t xml:space="preserve">Wiseman, R., Greening, E., &amp; Smith, M. (2003). </w:t>
      </w:r>
      <w:proofErr w:type="gramStart"/>
      <w:r w:rsidRPr="00BA04C1">
        <w:rPr>
          <w:rFonts w:cs="Helvetica"/>
        </w:rPr>
        <w:t xml:space="preserve">Belief in the paranormal and suggestion in the </w:t>
      </w:r>
      <w:proofErr w:type="spellStart"/>
      <w:r w:rsidRPr="00BA04C1">
        <w:rPr>
          <w:rFonts w:cs="Helvetica"/>
        </w:rPr>
        <w:t>seance</w:t>
      </w:r>
      <w:proofErr w:type="spellEnd"/>
      <w:r w:rsidRPr="00BA04C1">
        <w:rPr>
          <w:rFonts w:cs="Helvetica"/>
        </w:rPr>
        <w:t xml:space="preserve"> room.</w:t>
      </w:r>
      <w:proofErr w:type="gramEnd"/>
      <w:r w:rsidRPr="00BA04C1">
        <w:rPr>
          <w:rFonts w:cs="Helvetica"/>
        </w:rPr>
        <w:t xml:space="preserve"> </w:t>
      </w:r>
      <w:r w:rsidRPr="00BA04C1">
        <w:rPr>
          <w:rFonts w:cs="Helvetica"/>
          <w:i/>
        </w:rPr>
        <w:t>British Journal of Psychology</w:t>
      </w:r>
      <w:r w:rsidRPr="00BA04C1">
        <w:rPr>
          <w:rFonts w:cs="Helvetica"/>
        </w:rPr>
        <w:t>, 94, 285-297.</w:t>
      </w:r>
    </w:p>
    <w:p w:rsidR="00B024E4" w:rsidRPr="003E1663" w:rsidRDefault="00914ADA" w:rsidP="003E1663">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7" w:hanging="567"/>
        <w:rPr>
          <w:rFonts w:cs="Times New Roman"/>
          <w:szCs w:val="16"/>
        </w:rPr>
        <w:sectPr w:rsidR="00B024E4" w:rsidRPr="003E1663">
          <w:headerReference w:type="even" r:id="rId9"/>
          <w:headerReference w:type="default" r:id="rId10"/>
          <w:pgSz w:w="12240" w:h="15840"/>
          <w:pgMar w:top="1440" w:right="1800" w:bottom="1440" w:left="1800" w:header="708" w:footer="708" w:gutter="0"/>
          <w:cols w:space="708"/>
          <w:titlePg/>
        </w:sectPr>
      </w:pPr>
      <w:r w:rsidRPr="00BA04C1">
        <w:rPr>
          <w:rFonts w:cs="Times New Roman"/>
          <w:szCs w:val="16"/>
        </w:rPr>
        <w:t>Wiseman, R., &amp; Morris, R.</w:t>
      </w:r>
      <w:r>
        <w:rPr>
          <w:rFonts w:cs="Times New Roman"/>
          <w:szCs w:val="16"/>
        </w:rPr>
        <w:t xml:space="preserve"> L. (1995).</w:t>
      </w:r>
      <w:r w:rsidRPr="00BA04C1">
        <w:rPr>
          <w:rFonts w:cs="Times New Roman"/>
          <w:szCs w:val="16"/>
        </w:rPr>
        <w:t xml:space="preserve"> Recalling pseudo-psychic demonstrations,</w:t>
      </w:r>
      <w:r w:rsidRPr="00BA04C1">
        <w:rPr>
          <w:rFonts w:cs="Helvetica"/>
        </w:rPr>
        <w:t xml:space="preserve"> </w:t>
      </w:r>
      <w:r w:rsidRPr="00BA04C1">
        <w:rPr>
          <w:rFonts w:cs="Helvetica"/>
          <w:i/>
          <w:szCs w:val="16"/>
        </w:rPr>
        <w:t>British Journal of</w:t>
      </w:r>
      <w:r w:rsidRPr="00BA04C1">
        <w:rPr>
          <w:rFonts w:cs="Helvetica"/>
          <w:i/>
        </w:rPr>
        <w:t xml:space="preserve"> </w:t>
      </w:r>
      <w:r w:rsidRPr="00BA04C1">
        <w:rPr>
          <w:rFonts w:cs="Helvetica"/>
          <w:i/>
          <w:szCs w:val="16"/>
        </w:rPr>
        <w:t>Psychology</w:t>
      </w:r>
      <w:r w:rsidRPr="00BA04C1">
        <w:rPr>
          <w:rFonts w:cs="Times New Roman"/>
          <w:szCs w:val="16"/>
        </w:rPr>
        <w:t>,</w:t>
      </w:r>
      <w:r w:rsidRPr="00BA04C1">
        <w:rPr>
          <w:rFonts w:cs="Helvetica"/>
        </w:rPr>
        <w:t xml:space="preserve"> </w:t>
      </w:r>
      <w:r w:rsidRPr="00BA04C1">
        <w:rPr>
          <w:rFonts w:cs="Helvetica"/>
          <w:szCs w:val="16"/>
        </w:rPr>
        <w:t>86</w:t>
      </w:r>
      <w:r>
        <w:rPr>
          <w:rFonts w:cs="Times New Roman"/>
          <w:szCs w:val="16"/>
        </w:rPr>
        <w:t xml:space="preserve">, </w:t>
      </w:r>
      <w:r w:rsidRPr="00BA04C1">
        <w:rPr>
          <w:rFonts w:cs="Times New Roman"/>
          <w:szCs w:val="16"/>
        </w:rPr>
        <w:t>113–</w:t>
      </w:r>
      <w:r>
        <w:rPr>
          <w:rFonts w:cs="Times New Roman"/>
          <w:szCs w:val="16"/>
        </w:rPr>
        <w:t>1</w:t>
      </w:r>
      <w:r w:rsidRPr="00BA04C1">
        <w:rPr>
          <w:rFonts w:cs="Times New Roman"/>
          <w:szCs w:val="16"/>
        </w:rPr>
        <w:t>25.</w:t>
      </w:r>
    </w:p>
    <w:p w:rsidR="00826780" w:rsidRDefault="00A2398E" w:rsidP="005612D7">
      <w:pPr>
        <w:spacing w:line="480" w:lineRule="auto"/>
      </w:pPr>
      <w:r w:rsidRPr="00A2398E">
        <w:rPr>
          <w:rFonts w:ascii="Cambria" w:hAnsi="Cambria" w:cs="Cambria"/>
          <w:color w:val="000000" w:themeColor="text1"/>
        </w:rPr>
        <w:t xml:space="preserve">All authors developed the studies, designed the experiments and </w:t>
      </w:r>
      <w:proofErr w:type="spellStart"/>
      <w:r w:rsidRPr="00A2398E">
        <w:rPr>
          <w:rFonts w:ascii="Cambria" w:hAnsi="Cambria" w:cs="Cambria"/>
          <w:color w:val="000000" w:themeColor="text1"/>
        </w:rPr>
        <w:t>analysed</w:t>
      </w:r>
      <w:proofErr w:type="spellEnd"/>
      <w:r w:rsidRPr="00A2398E">
        <w:rPr>
          <w:rFonts w:ascii="Cambria" w:hAnsi="Cambria" w:cs="Cambria"/>
          <w:color w:val="000000" w:themeColor="text1"/>
        </w:rPr>
        <w:t xml:space="preserve"> the data. A.R. and C.C.F. wrote the a</w:t>
      </w:r>
      <w:r w:rsidR="00F3093F">
        <w:rPr>
          <w:rFonts w:ascii="Cambria" w:hAnsi="Cambria" w:cs="Cambria"/>
          <w:color w:val="000000" w:themeColor="text1"/>
        </w:rPr>
        <w:t xml:space="preserve">rticle. M.G.H. collected data. </w:t>
      </w:r>
      <w:r w:rsidRPr="00A2398E">
        <w:rPr>
          <w:rFonts w:ascii="Cambria" w:hAnsi="Cambria" w:cs="Cambria"/>
          <w:color w:val="000000" w:themeColor="text1"/>
        </w:rPr>
        <w:t>All authors approved the final version of manuscript for submission.</w:t>
      </w:r>
      <w:r w:rsidR="00FE13A0">
        <w:br w:type="page"/>
      </w:r>
      <w:r w:rsidR="00FE13A0" w:rsidRPr="00FE13A0">
        <w:t>Notes</w:t>
      </w:r>
    </w:p>
    <w:p w:rsidR="00826780" w:rsidRDefault="00826780" w:rsidP="00826780">
      <w:pPr>
        <w:tabs>
          <w:tab w:val="left" w:pos="426"/>
        </w:tabs>
        <w:spacing w:line="480" w:lineRule="auto"/>
      </w:pPr>
      <w:r>
        <w:t xml:space="preserve">Anne Richards, </w:t>
      </w:r>
      <w:bookmarkStart w:id="0" w:name="_GoBack"/>
      <w:bookmarkEnd w:id="0"/>
      <w:r>
        <w:t xml:space="preserve">Psychological Sciences, </w:t>
      </w:r>
      <w:proofErr w:type="spellStart"/>
      <w:r>
        <w:t>Birkbeck</w:t>
      </w:r>
      <w:proofErr w:type="spellEnd"/>
      <w:r>
        <w:t xml:space="preserve"> College, London University, </w:t>
      </w:r>
      <w:proofErr w:type="spellStart"/>
      <w:r>
        <w:t>Malet</w:t>
      </w:r>
      <w:proofErr w:type="spellEnd"/>
      <w:r>
        <w:t xml:space="preserve"> Street, London, WC1E 78HX, UK. Email: </w:t>
      </w:r>
      <w:hyperlink r:id="rId11" w:history="1">
        <w:r w:rsidRPr="00394912">
          <w:rPr>
            <w:rStyle w:val="Hyperlink"/>
          </w:rPr>
          <w:t>a.richards@bbk.ac.uk</w:t>
        </w:r>
      </w:hyperlink>
      <w:r>
        <w:t xml:space="preserve">. </w:t>
      </w:r>
    </w:p>
    <w:p w:rsidR="00826780" w:rsidRDefault="00826780" w:rsidP="00826780">
      <w:pPr>
        <w:tabs>
          <w:tab w:val="left" w:pos="426"/>
        </w:tabs>
        <w:spacing w:line="480" w:lineRule="auto"/>
      </w:pPr>
      <w:r>
        <w:t xml:space="preserve">Christopher C French and Moa </w:t>
      </w:r>
      <w:proofErr w:type="spellStart"/>
      <w:r>
        <w:t>Gunnarsson</w:t>
      </w:r>
      <w:proofErr w:type="spellEnd"/>
      <w:r>
        <w:t xml:space="preserve"> </w:t>
      </w:r>
      <w:proofErr w:type="spellStart"/>
      <w:r>
        <w:t>Hellgren</w:t>
      </w:r>
      <w:proofErr w:type="spellEnd"/>
      <w:r>
        <w:t xml:space="preserve">,  </w:t>
      </w:r>
    </w:p>
    <w:p w:rsidR="005612D7" w:rsidRDefault="004D5238" w:rsidP="00826780">
      <w:pPr>
        <w:spacing w:line="480" w:lineRule="auto"/>
      </w:pPr>
      <w:r>
        <w:t xml:space="preserve">Anomalistic Psychology Research Unit, </w:t>
      </w:r>
      <w:r w:rsidR="00826780">
        <w:t>Department of Psychology, Goldsmiths, University of London, New Cross, London, SE14 6NW, UK.</w:t>
      </w:r>
      <w:r w:rsidR="005612D7" w:rsidRPr="005612D7">
        <w:t xml:space="preserve"> </w:t>
      </w:r>
    </w:p>
    <w:p w:rsidR="00826780" w:rsidRDefault="005612D7" w:rsidP="00826780">
      <w:pPr>
        <w:spacing w:line="480" w:lineRule="auto"/>
      </w:pPr>
      <w:r>
        <w:t xml:space="preserve">Thanks to Lauren </w:t>
      </w:r>
      <w:proofErr w:type="spellStart"/>
      <w:r>
        <w:t>McKeown</w:t>
      </w:r>
      <w:proofErr w:type="spellEnd"/>
      <w:r>
        <w:t xml:space="preserve"> for collecting the data for </w:t>
      </w:r>
      <w:r w:rsidR="004D5238">
        <w:t xml:space="preserve">Study </w:t>
      </w:r>
      <w:r>
        <w:t>2.</w:t>
      </w:r>
    </w:p>
    <w:p w:rsidR="00826780" w:rsidRPr="005612D7" w:rsidRDefault="005612D7" w:rsidP="00826780">
      <w:pPr>
        <w:spacing w:line="480" w:lineRule="auto"/>
      </w:pPr>
      <w:r>
        <w:rPr>
          <w:rFonts w:cs="Times New Roman"/>
        </w:rPr>
        <w:t>These findings were presented at</w:t>
      </w:r>
      <w:r w:rsidR="004D5238">
        <w:rPr>
          <w:rFonts w:cs="Times New Roman"/>
        </w:rPr>
        <w:t xml:space="preserve"> the</w:t>
      </w:r>
      <w:r w:rsidR="00826780" w:rsidRPr="005612D7">
        <w:rPr>
          <w:rFonts w:cs="Times New Roman"/>
        </w:rPr>
        <w:t xml:space="preserve"> Society for Psychical Research Annual Conference, University of Sheffield, </w:t>
      </w:r>
      <w:proofErr w:type="gramStart"/>
      <w:r w:rsidR="00826780" w:rsidRPr="005612D7">
        <w:rPr>
          <w:rFonts w:cs="Times New Roman"/>
        </w:rPr>
        <w:t>10</w:t>
      </w:r>
      <w:proofErr w:type="gramEnd"/>
      <w:r w:rsidR="00826780" w:rsidRPr="005612D7">
        <w:rPr>
          <w:rFonts w:cs="Times New Roman"/>
        </w:rPr>
        <w:t>-12 September 2010.</w:t>
      </w:r>
    </w:p>
    <w:p w:rsidR="00826780" w:rsidRPr="00B258A5" w:rsidRDefault="00826780" w:rsidP="00826780">
      <w:pPr>
        <w:spacing w:line="480" w:lineRule="auto"/>
      </w:pPr>
    </w:p>
    <w:p w:rsidR="00826780" w:rsidRPr="00DE20C3" w:rsidRDefault="00826780" w:rsidP="00826780">
      <w:pPr>
        <w:tabs>
          <w:tab w:val="left" w:pos="426"/>
        </w:tabs>
        <w:spacing w:line="480" w:lineRule="auto"/>
      </w:pPr>
    </w:p>
    <w:sectPr w:rsidR="00826780" w:rsidRPr="00DE20C3" w:rsidSect="0050081B">
      <w:pgSz w:w="12240" w:h="15840"/>
      <w:pgMar w:top="1440" w:right="1800" w:bottom="1440" w:left="1800"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889" w:rsidRDefault="00583889">
      <w:r>
        <w:separator/>
      </w:r>
    </w:p>
  </w:endnote>
  <w:endnote w:type="continuationSeparator" w:id="0">
    <w:p w:rsidR="00583889" w:rsidRDefault="0058388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swiss"/>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Times-Roman">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889" w:rsidRDefault="00583889">
      <w:r>
        <w:separator/>
      </w:r>
    </w:p>
  </w:footnote>
  <w:footnote w:type="continuationSeparator" w:id="0">
    <w:p w:rsidR="00583889" w:rsidRDefault="00583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71" w:rsidRDefault="00FC454B" w:rsidP="00B258A5">
    <w:pPr>
      <w:pStyle w:val="Header"/>
      <w:framePr w:wrap="around" w:vAnchor="text" w:hAnchor="margin" w:xAlign="right" w:y="1"/>
      <w:rPr>
        <w:rStyle w:val="PageNumber"/>
      </w:rPr>
    </w:pPr>
    <w:r>
      <w:rPr>
        <w:rStyle w:val="PageNumber"/>
      </w:rPr>
      <w:fldChar w:fldCharType="begin"/>
    </w:r>
    <w:r w:rsidR="00346371">
      <w:rPr>
        <w:rStyle w:val="PageNumber"/>
      </w:rPr>
      <w:instrText xml:space="preserve">PAGE  </w:instrText>
    </w:r>
    <w:r>
      <w:rPr>
        <w:rStyle w:val="PageNumber"/>
      </w:rPr>
      <w:fldChar w:fldCharType="separate"/>
    </w:r>
    <w:r w:rsidR="007D0F81">
      <w:rPr>
        <w:rStyle w:val="PageNumber"/>
        <w:noProof/>
      </w:rPr>
      <w:t>2</w:t>
    </w:r>
    <w:r>
      <w:rPr>
        <w:rStyle w:val="PageNumber"/>
      </w:rPr>
      <w:fldChar w:fldCharType="end"/>
    </w:r>
  </w:p>
  <w:p w:rsidR="00346371" w:rsidRDefault="00346371" w:rsidP="00B258A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371" w:rsidRDefault="00FC454B" w:rsidP="00B258A5">
    <w:pPr>
      <w:pStyle w:val="Header"/>
      <w:framePr w:wrap="around" w:vAnchor="text" w:hAnchor="margin" w:xAlign="right" w:y="1"/>
      <w:rPr>
        <w:rStyle w:val="PageNumber"/>
      </w:rPr>
    </w:pPr>
    <w:r>
      <w:rPr>
        <w:rStyle w:val="PageNumber"/>
      </w:rPr>
      <w:fldChar w:fldCharType="begin"/>
    </w:r>
    <w:r w:rsidR="00346371">
      <w:rPr>
        <w:rStyle w:val="PageNumber"/>
      </w:rPr>
      <w:instrText xml:space="preserve">PAGE  </w:instrText>
    </w:r>
    <w:r>
      <w:rPr>
        <w:rStyle w:val="PageNumber"/>
      </w:rPr>
      <w:fldChar w:fldCharType="separate"/>
    </w:r>
    <w:r w:rsidR="007D0F81">
      <w:rPr>
        <w:rStyle w:val="PageNumber"/>
        <w:noProof/>
      </w:rPr>
      <w:t>25</w:t>
    </w:r>
    <w:r>
      <w:rPr>
        <w:rStyle w:val="PageNumber"/>
      </w:rPr>
      <w:fldChar w:fldCharType="end"/>
    </w:r>
  </w:p>
  <w:p w:rsidR="00346371" w:rsidRDefault="00346371" w:rsidP="00B258A5">
    <w:pPr>
      <w:pStyle w:val="Header"/>
      <w:ind w:right="360"/>
      <w:jc w:val="right"/>
    </w:pPr>
    <w:proofErr w:type="spellStart"/>
    <w:r w:rsidRPr="005B6870">
      <w:t>Inattentional</w:t>
    </w:r>
    <w:proofErr w:type="spellEnd"/>
    <w:r w:rsidRPr="005B6870">
      <w:t xml:space="preserve"> Blindness, Absorption</w:t>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spaceForUL/>
    <w:balanceSingleByteDoubleByteWidth/>
    <w:doNotLeaveBackslashAlone/>
    <w:ulTrailSpace/>
    <w:adjustLineHeightInTable/>
    <w:useFELayout/>
  </w:compat>
  <w:rsids>
    <w:rsidRoot w:val="00D20ED0"/>
    <w:rsid w:val="00002356"/>
    <w:rsid w:val="000077B3"/>
    <w:rsid w:val="00010B28"/>
    <w:rsid w:val="000149E6"/>
    <w:rsid w:val="00027835"/>
    <w:rsid w:val="0003277B"/>
    <w:rsid w:val="00054CAA"/>
    <w:rsid w:val="000648F9"/>
    <w:rsid w:val="000707D2"/>
    <w:rsid w:val="000715F7"/>
    <w:rsid w:val="000772BC"/>
    <w:rsid w:val="00083C3D"/>
    <w:rsid w:val="00084951"/>
    <w:rsid w:val="000862FA"/>
    <w:rsid w:val="00096E95"/>
    <w:rsid w:val="000C0891"/>
    <w:rsid w:val="000D1066"/>
    <w:rsid w:val="000E1DCE"/>
    <w:rsid w:val="000F1BB4"/>
    <w:rsid w:val="00113C1A"/>
    <w:rsid w:val="00113C87"/>
    <w:rsid w:val="00114492"/>
    <w:rsid w:val="00121087"/>
    <w:rsid w:val="001220AB"/>
    <w:rsid w:val="00137539"/>
    <w:rsid w:val="00151554"/>
    <w:rsid w:val="00155A03"/>
    <w:rsid w:val="001560E2"/>
    <w:rsid w:val="001655E0"/>
    <w:rsid w:val="00170E55"/>
    <w:rsid w:val="00176F50"/>
    <w:rsid w:val="001808FF"/>
    <w:rsid w:val="001813CA"/>
    <w:rsid w:val="001958DE"/>
    <w:rsid w:val="00196D1A"/>
    <w:rsid w:val="001A2008"/>
    <w:rsid w:val="001A5268"/>
    <w:rsid w:val="001A56C2"/>
    <w:rsid w:val="001A693F"/>
    <w:rsid w:val="001B4268"/>
    <w:rsid w:val="001C2BB4"/>
    <w:rsid w:val="001D3F7D"/>
    <w:rsid w:val="001D3FD6"/>
    <w:rsid w:val="001F0AFE"/>
    <w:rsid w:val="001F29EC"/>
    <w:rsid w:val="001F7DD6"/>
    <w:rsid w:val="00206397"/>
    <w:rsid w:val="00213243"/>
    <w:rsid w:val="0022327E"/>
    <w:rsid w:val="002304BB"/>
    <w:rsid w:val="0023104D"/>
    <w:rsid w:val="002343E5"/>
    <w:rsid w:val="0023532F"/>
    <w:rsid w:val="002403D3"/>
    <w:rsid w:val="00246DDF"/>
    <w:rsid w:val="00246E35"/>
    <w:rsid w:val="00247AEF"/>
    <w:rsid w:val="0025322A"/>
    <w:rsid w:val="0025560B"/>
    <w:rsid w:val="002613DA"/>
    <w:rsid w:val="00280571"/>
    <w:rsid w:val="00282315"/>
    <w:rsid w:val="00287BE6"/>
    <w:rsid w:val="002967E1"/>
    <w:rsid w:val="002A77B0"/>
    <w:rsid w:val="002B3ED1"/>
    <w:rsid w:val="002B4908"/>
    <w:rsid w:val="002C4A2D"/>
    <w:rsid w:val="002D6D25"/>
    <w:rsid w:val="002E41C5"/>
    <w:rsid w:val="002E7DBA"/>
    <w:rsid w:val="002F552F"/>
    <w:rsid w:val="003146CD"/>
    <w:rsid w:val="00322F60"/>
    <w:rsid w:val="0033306A"/>
    <w:rsid w:val="003335A2"/>
    <w:rsid w:val="00335E52"/>
    <w:rsid w:val="003433DA"/>
    <w:rsid w:val="00344203"/>
    <w:rsid w:val="00346371"/>
    <w:rsid w:val="00351B52"/>
    <w:rsid w:val="00352F38"/>
    <w:rsid w:val="0035764E"/>
    <w:rsid w:val="0036168F"/>
    <w:rsid w:val="003654D6"/>
    <w:rsid w:val="003822DF"/>
    <w:rsid w:val="003839BC"/>
    <w:rsid w:val="003859D2"/>
    <w:rsid w:val="003909F5"/>
    <w:rsid w:val="0039303E"/>
    <w:rsid w:val="0039374D"/>
    <w:rsid w:val="003B651D"/>
    <w:rsid w:val="003C1C15"/>
    <w:rsid w:val="003D1DCC"/>
    <w:rsid w:val="003D774B"/>
    <w:rsid w:val="003E1663"/>
    <w:rsid w:val="003E24E7"/>
    <w:rsid w:val="003F31BE"/>
    <w:rsid w:val="003F5589"/>
    <w:rsid w:val="00406FA5"/>
    <w:rsid w:val="00410620"/>
    <w:rsid w:val="00412178"/>
    <w:rsid w:val="004313A1"/>
    <w:rsid w:val="00432240"/>
    <w:rsid w:val="00441987"/>
    <w:rsid w:val="0044481A"/>
    <w:rsid w:val="00445A48"/>
    <w:rsid w:val="00446F27"/>
    <w:rsid w:val="00456A66"/>
    <w:rsid w:val="00456A93"/>
    <w:rsid w:val="004732FD"/>
    <w:rsid w:val="00474FFD"/>
    <w:rsid w:val="00475B25"/>
    <w:rsid w:val="004816B4"/>
    <w:rsid w:val="00481E59"/>
    <w:rsid w:val="00490242"/>
    <w:rsid w:val="00496A2A"/>
    <w:rsid w:val="004A0B12"/>
    <w:rsid w:val="004A0FA9"/>
    <w:rsid w:val="004A5847"/>
    <w:rsid w:val="004B05C6"/>
    <w:rsid w:val="004B25D5"/>
    <w:rsid w:val="004B77C5"/>
    <w:rsid w:val="004C25C0"/>
    <w:rsid w:val="004D5238"/>
    <w:rsid w:val="004D7DAF"/>
    <w:rsid w:val="004E44E8"/>
    <w:rsid w:val="004E5935"/>
    <w:rsid w:val="0050081B"/>
    <w:rsid w:val="0050384E"/>
    <w:rsid w:val="00512128"/>
    <w:rsid w:val="00527911"/>
    <w:rsid w:val="00533BB5"/>
    <w:rsid w:val="00534FFC"/>
    <w:rsid w:val="0053628B"/>
    <w:rsid w:val="0055025A"/>
    <w:rsid w:val="0055246C"/>
    <w:rsid w:val="00557638"/>
    <w:rsid w:val="005612D7"/>
    <w:rsid w:val="005619FF"/>
    <w:rsid w:val="00561B5B"/>
    <w:rsid w:val="00562B5A"/>
    <w:rsid w:val="00583889"/>
    <w:rsid w:val="00583B64"/>
    <w:rsid w:val="005B0438"/>
    <w:rsid w:val="005B6870"/>
    <w:rsid w:val="005C304C"/>
    <w:rsid w:val="005D3CC4"/>
    <w:rsid w:val="005E17A2"/>
    <w:rsid w:val="005E3B7C"/>
    <w:rsid w:val="006176BF"/>
    <w:rsid w:val="00634FA3"/>
    <w:rsid w:val="00640455"/>
    <w:rsid w:val="00641E1E"/>
    <w:rsid w:val="00646F64"/>
    <w:rsid w:val="0064733A"/>
    <w:rsid w:val="00652297"/>
    <w:rsid w:val="00656EAF"/>
    <w:rsid w:val="00657072"/>
    <w:rsid w:val="00660DE8"/>
    <w:rsid w:val="006611C3"/>
    <w:rsid w:val="00665B5A"/>
    <w:rsid w:val="00667A98"/>
    <w:rsid w:val="00671567"/>
    <w:rsid w:val="00695A85"/>
    <w:rsid w:val="006A05DF"/>
    <w:rsid w:val="006A61C8"/>
    <w:rsid w:val="006B0E12"/>
    <w:rsid w:val="006B28E8"/>
    <w:rsid w:val="006B6845"/>
    <w:rsid w:val="006B782F"/>
    <w:rsid w:val="006C2364"/>
    <w:rsid w:val="006C4B0F"/>
    <w:rsid w:val="006D0CE0"/>
    <w:rsid w:val="006D23AF"/>
    <w:rsid w:val="006D583E"/>
    <w:rsid w:val="006D63F2"/>
    <w:rsid w:val="007037E9"/>
    <w:rsid w:val="00716E58"/>
    <w:rsid w:val="00734D02"/>
    <w:rsid w:val="00741D94"/>
    <w:rsid w:val="007422D1"/>
    <w:rsid w:val="00744621"/>
    <w:rsid w:val="00746AB8"/>
    <w:rsid w:val="0074753C"/>
    <w:rsid w:val="00751B95"/>
    <w:rsid w:val="00753035"/>
    <w:rsid w:val="00753EF0"/>
    <w:rsid w:val="00760CBE"/>
    <w:rsid w:val="0076237D"/>
    <w:rsid w:val="007679C0"/>
    <w:rsid w:val="007739B8"/>
    <w:rsid w:val="00781C79"/>
    <w:rsid w:val="007869F6"/>
    <w:rsid w:val="00791448"/>
    <w:rsid w:val="007953F5"/>
    <w:rsid w:val="007A0E9D"/>
    <w:rsid w:val="007A4C9F"/>
    <w:rsid w:val="007B0FE9"/>
    <w:rsid w:val="007B2FF9"/>
    <w:rsid w:val="007B3570"/>
    <w:rsid w:val="007D0F81"/>
    <w:rsid w:val="007D2A2E"/>
    <w:rsid w:val="00817C8C"/>
    <w:rsid w:val="00826681"/>
    <w:rsid w:val="00826780"/>
    <w:rsid w:val="00826D08"/>
    <w:rsid w:val="0082712C"/>
    <w:rsid w:val="008343F7"/>
    <w:rsid w:val="008447B8"/>
    <w:rsid w:val="0084563B"/>
    <w:rsid w:val="00855668"/>
    <w:rsid w:val="00874116"/>
    <w:rsid w:val="008801BC"/>
    <w:rsid w:val="00884055"/>
    <w:rsid w:val="00894E21"/>
    <w:rsid w:val="008A287E"/>
    <w:rsid w:val="008C06E6"/>
    <w:rsid w:val="008C45CC"/>
    <w:rsid w:val="00905089"/>
    <w:rsid w:val="0090685B"/>
    <w:rsid w:val="00914ADA"/>
    <w:rsid w:val="00914E4D"/>
    <w:rsid w:val="00915C6E"/>
    <w:rsid w:val="00927CB7"/>
    <w:rsid w:val="00961A1C"/>
    <w:rsid w:val="00970A0B"/>
    <w:rsid w:val="00973AF3"/>
    <w:rsid w:val="00973C2D"/>
    <w:rsid w:val="00974810"/>
    <w:rsid w:val="009765DE"/>
    <w:rsid w:val="009777F8"/>
    <w:rsid w:val="00977D92"/>
    <w:rsid w:val="009875BA"/>
    <w:rsid w:val="009A67F1"/>
    <w:rsid w:val="009B1340"/>
    <w:rsid w:val="009B7291"/>
    <w:rsid w:val="009C1DB5"/>
    <w:rsid w:val="009E2903"/>
    <w:rsid w:val="009E32AA"/>
    <w:rsid w:val="009E7023"/>
    <w:rsid w:val="009F4FDF"/>
    <w:rsid w:val="00A0264F"/>
    <w:rsid w:val="00A12FAC"/>
    <w:rsid w:val="00A15A13"/>
    <w:rsid w:val="00A17145"/>
    <w:rsid w:val="00A17285"/>
    <w:rsid w:val="00A207BE"/>
    <w:rsid w:val="00A2398E"/>
    <w:rsid w:val="00A34B46"/>
    <w:rsid w:val="00A5076C"/>
    <w:rsid w:val="00A53F59"/>
    <w:rsid w:val="00A54B04"/>
    <w:rsid w:val="00A6199A"/>
    <w:rsid w:val="00A75139"/>
    <w:rsid w:val="00A8053C"/>
    <w:rsid w:val="00A9147C"/>
    <w:rsid w:val="00AC30C9"/>
    <w:rsid w:val="00AC5F24"/>
    <w:rsid w:val="00AD27D2"/>
    <w:rsid w:val="00AD58A9"/>
    <w:rsid w:val="00AD75C9"/>
    <w:rsid w:val="00AE0B4B"/>
    <w:rsid w:val="00AE547B"/>
    <w:rsid w:val="00B024E4"/>
    <w:rsid w:val="00B214EF"/>
    <w:rsid w:val="00B25222"/>
    <w:rsid w:val="00B258A5"/>
    <w:rsid w:val="00B31CCB"/>
    <w:rsid w:val="00B364E4"/>
    <w:rsid w:val="00B44D81"/>
    <w:rsid w:val="00B44F4B"/>
    <w:rsid w:val="00B45860"/>
    <w:rsid w:val="00B53294"/>
    <w:rsid w:val="00B552E0"/>
    <w:rsid w:val="00B64D81"/>
    <w:rsid w:val="00B970D0"/>
    <w:rsid w:val="00BB36CC"/>
    <w:rsid w:val="00BD474F"/>
    <w:rsid w:val="00BE3B59"/>
    <w:rsid w:val="00BF6DB7"/>
    <w:rsid w:val="00C02EFA"/>
    <w:rsid w:val="00C12CEB"/>
    <w:rsid w:val="00C207DE"/>
    <w:rsid w:val="00C23F64"/>
    <w:rsid w:val="00C329BF"/>
    <w:rsid w:val="00C439C5"/>
    <w:rsid w:val="00C553B1"/>
    <w:rsid w:val="00C5733B"/>
    <w:rsid w:val="00C65E1C"/>
    <w:rsid w:val="00C66959"/>
    <w:rsid w:val="00C74D74"/>
    <w:rsid w:val="00C86E87"/>
    <w:rsid w:val="00C9244F"/>
    <w:rsid w:val="00C9674D"/>
    <w:rsid w:val="00CA232B"/>
    <w:rsid w:val="00CA6F1C"/>
    <w:rsid w:val="00CA6FE8"/>
    <w:rsid w:val="00CA7698"/>
    <w:rsid w:val="00CA7D43"/>
    <w:rsid w:val="00CB0086"/>
    <w:rsid w:val="00CC0FAC"/>
    <w:rsid w:val="00CC22B9"/>
    <w:rsid w:val="00CC477B"/>
    <w:rsid w:val="00CC6D74"/>
    <w:rsid w:val="00CC7064"/>
    <w:rsid w:val="00CD4749"/>
    <w:rsid w:val="00D05948"/>
    <w:rsid w:val="00D06807"/>
    <w:rsid w:val="00D20ED0"/>
    <w:rsid w:val="00D33068"/>
    <w:rsid w:val="00D409CD"/>
    <w:rsid w:val="00D5361B"/>
    <w:rsid w:val="00D546A6"/>
    <w:rsid w:val="00D5674D"/>
    <w:rsid w:val="00D77969"/>
    <w:rsid w:val="00D82841"/>
    <w:rsid w:val="00D875B6"/>
    <w:rsid w:val="00D932DF"/>
    <w:rsid w:val="00DA30E7"/>
    <w:rsid w:val="00DA4C0F"/>
    <w:rsid w:val="00DB5DBE"/>
    <w:rsid w:val="00DC29AC"/>
    <w:rsid w:val="00DD1831"/>
    <w:rsid w:val="00DF36BD"/>
    <w:rsid w:val="00DF3F7F"/>
    <w:rsid w:val="00DF618A"/>
    <w:rsid w:val="00E037E3"/>
    <w:rsid w:val="00E14D5C"/>
    <w:rsid w:val="00E257DE"/>
    <w:rsid w:val="00E270A1"/>
    <w:rsid w:val="00E37AB3"/>
    <w:rsid w:val="00E41D63"/>
    <w:rsid w:val="00E44CA1"/>
    <w:rsid w:val="00E45941"/>
    <w:rsid w:val="00E51251"/>
    <w:rsid w:val="00E540C0"/>
    <w:rsid w:val="00E633DC"/>
    <w:rsid w:val="00E739A5"/>
    <w:rsid w:val="00E74B94"/>
    <w:rsid w:val="00E775A6"/>
    <w:rsid w:val="00E87AA4"/>
    <w:rsid w:val="00E9011F"/>
    <w:rsid w:val="00E932C9"/>
    <w:rsid w:val="00E951A9"/>
    <w:rsid w:val="00EC012D"/>
    <w:rsid w:val="00ED6FC1"/>
    <w:rsid w:val="00EF2C59"/>
    <w:rsid w:val="00EF5515"/>
    <w:rsid w:val="00F03E0F"/>
    <w:rsid w:val="00F06740"/>
    <w:rsid w:val="00F10EE0"/>
    <w:rsid w:val="00F26F1A"/>
    <w:rsid w:val="00F30570"/>
    <w:rsid w:val="00F3093F"/>
    <w:rsid w:val="00F356AF"/>
    <w:rsid w:val="00F37B8A"/>
    <w:rsid w:val="00F40E6C"/>
    <w:rsid w:val="00F41C44"/>
    <w:rsid w:val="00F5795C"/>
    <w:rsid w:val="00F66854"/>
    <w:rsid w:val="00FB0CAF"/>
    <w:rsid w:val="00FB5949"/>
    <w:rsid w:val="00FB6092"/>
    <w:rsid w:val="00FC454B"/>
    <w:rsid w:val="00FD02D4"/>
    <w:rsid w:val="00FD6D62"/>
    <w:rsid w:val="00FE13A0"/>
    <w:rsid w:val="00FF417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Emphasis" w:uiPriority="99" w:qFormat="1"/>
    <w:lsdException w:name="Light Shading" w:uiPriority="60"/>
  </w:latentStyles>
  <w:style w:type="paragraph" w:default="1" w:styleId="Normal">
    <w:name w:val="Normal"/>
    <w:qFormat/>
    <w:rsid w:val="00FC4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D20ED0"/>
  </w:style>
  <w:style w:type="paragraph" w:styleId="BodyTextIndent">
    <w:name w:val="Body Text Indent"/>
    <w:basedOn w:val="Normal"/>
    <w:link w:val="BodyTextIndentChar"/>
    <w:rsid w:val="007422D1"/>
    <w:pPr>
      <w:widowControl w:val="0"/>
      <w:tabs>
        <w:tab w:val="left" w:pos="-720"/>
        <w:tab w:val="left" w:pos="709"/>
      </w:tabs>
      <w:suppressAutoHyphens/>
      <w:ind w:left="720" w:hanging="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7422D1"/>
    <w:rPr>
      <w:rFonts w:ascii="Times New Roman" w:eastAsia="Times New Roman" w:hAnsi="Times New Roman" w:cs="Times New Roman"/>
      <w:szCs w:val="20"/>
    </w:rPr>
  </w:style>
  <w:style w:type="paragraph" w:styleId="Header">
    <w:name w:val="header"/>
    <w:basedOn w:val="Normal"/>
    <w:link w:val="HeaderChar"/>
    <w:uiPriority w:val="99"/>
    <w:unhideWhenUsed/>
    <w:rsid w:val="00B258A5"/>
    <w:pPr>
      <w:tabs>
        <w:tab w:val="center" w:pos="4320"/>
        <w:tab w:val="right" w:pos="8640"/>
      </w:tabs>
    </w:pPr>
  </w:style>
  <w:style w:type="character" w:customStyle="1" w:styleId="HeaderChar">
    <w:name w:val="Header Char"/>
    <w:basedOn w:val="DefaultParagraphFont"/>
    <w:link w:val="Header"/>
    <w:uiPriority w:val="99"/>
    <w:rsid w:val="00B258A5"/>
    <w:rPr>
      <w:lang w:val="en-GB"/>
    </w:rPr>
  </w:style>
  <w:style w:type="paragraph" w:styleId="Footer">
    <w:name w:val="footer"/>
    <w:basedOn w:val="Normal"/>
    <w:link w:val="FooterChar"/>
    <w:uiPriority w:val="99"/>
    <w:semiHidden/>
    <w:unhideWhenUsed/>
    <w:rsid w:val="00B258A5"/>
    <w:pPr>
      <w:tabs>
        <w:tab w:val="center" w:pos="4320"/>
        <w:tab w:val="right" w:pos="8640"/>
      </w:tabs>
    </w:pPr>
  </w:style>
  <w:style w:type="character" w:customStyle="1" w:styleId="FooterChar">
    <w:name w:val="Footer Char"/>
    <w:basedOn w:val="DefaultParagraphFont"/>
    <w:link w:val="Footer"/>
    <w:uiPriority w:val="99"/>
    <w:semiHidden/>
    <w:rsid w:val="00B258A5"/>
    <w:rPr>
      <w:lang w:val="en-GB"/>
    </w:rPr>
  </w:style>
  <w:style w:type="character" w:styleId="PageNumber">
    <w:name w:val="page number"/>
    <w:basedOn w:val="DefaultParagraphFont"/>
    <w:uiPriority w:val="99"/>
    <w:semiHidden/>
    <w:unhideWhenUsed/>
    <w:rsid w:val="00B258A5"/>
  </w:style>
  <w:style w:type="paragraph" w:styleId="BodyText">
    <w:name w:val="Body Text"/>
    <w:basedOn w:val="Normal"/>
    <w:link w:val="BodyTextChar"/>
    <w:rsid w:val="004732FD"/>
    <w:pPr>
      <w:spacing w:after="120"/>
    </w:pPr>
    <w:rPr>
      <w:rFonts w:ascii="Cambria" w:eastAsia="Times New Roman" w:hAnsi="Cambria" w:cs="Times New Roman"/>
    </w:rPr>
  </w:style>
  <w:style w:type="character" w:customStyle="1" w:styleId="BodyTextChar">
    <w:name w:val="Body Text Char"/>
    <w:basedOn w:val="DefaultParagraphFont"/>
    <w:link w:val="BodyText"/>
    <w:rsid w:val="004732FD"/>
    <w:rPr>
      <w:rFonts w:ascii="Cambria" w:eastAsia="Times New Roman" w:hAnsi="Cambria" w:cs="Times New Roman"/>
    </w:rPr>
  </w:style>
  <w:style w:type="character" w:styleId="CommentReference">
    <w:name w:val="annotation reference"/>
    <w:basedOn w:val="DefaultParagraphFont"/>
    <w:uiPriority w:val="99"/>
    <w:rsid w:val="00FD6D62"/>
    <w:rPr>
      <w:sz w:val="18"/>
      <w:szCs w:val="18"/>
    </w:rPr>
  </w:style>
  <w:style w:type="paragraph" w:styleId="CommentText">
    <w:name w:val="annotation text"/>
    <w:basedOn w:val="Normal"/>
    <w:link w:val="CommentTextChar"/>
    <w:uiPriority w:val="99"/>
    <w:rsid w:val="00FD6D62"/>
  </w:style>
  <w:style w:type="character" w:customStyle="1" w:styleId="CommentTextChar">
    <w:name w:val="Comment Text Char"/>
    <w:basedOn w:val="DefaultParagraphFont"/>
    <w:link w:val="CommentText"/>
    <w:uiPriority w:val="99"/>
    <w:rsid w:val="00FD6D62"/>
    <w:rPr>
      <w:lang w:val="en-GB"/>
    </w:rPr>
  </w:style>
  <w:style w:type="paragraph" w:styleId="CommentSubject">
    <w:name w:val="annotation subject"/>
    <w:basedOn w:val="CommentText"/>
    <w:next w:val="CommentText"/>
    <w:link w:val="CommentSubjectChar"/>
    <w:rsid w:val="00FD6D62"/>
    <w:rPr>
      <w:b/>
      <w:bCs/>
      <w:sz w:val="20"/>
      <w:szCs w:val="20"/>
    </w:rPr>
  </w:style>
  <w:style w:type="character" w:customStyle="1" w:styleId="CommentSubjectChar">
    <w:name w:val="Comment Subject Char"/>
    <w:basedOn w:val="CommentTextChar"/>
    <w:link w:val="CommentSubject"/>
    <w:rsid w:val="00FD6D62"/>
    <w:rPr>
      <w:b/>
      <w:bCs/>
      <w:sz w:val="20"/>
      <w:szCs w:val="20"/>
      <w:lang w:val="en-GB"/>
    </w:rPr>
  </w:style>
  <w:style w:type="paragraph" w:styleId="BalloonText">
    <w:name w:val="Balloon Text"/>
    <w:basedOn w:val="Normal"/>
    <w:link w:val="BalloonTextChar"/>
    <w:rsid w:val="00FD6D62"/>
    <w:rPr>
      <w:rFonts w:ascii="Lucida Grande" w:hAnsi="Lucida Grande"/>
      <w:sz w:val="18"/>
      <w:szCs w:val="18"/>
    </w:rPr>
  </w:style>
  <w:style w:type="character" w:customStyle="1" w:styleId="BalloonTextChar">
    <w:name w:val="Balloon Text Char"/>
    <w:basedOn w:val="DefaultParagraphFont"/>
    <w:link w:val="BalloonText"/>
    <w:rsid w:val="00FD6D62"/>
    <w:rPr>
      <w:rFonts w:ascii="Lucida Grande" w:hAnsi="Lucida Grande"/>
      <w:sz w:val="18"/>
      <w:szCs w:val="18"/>
      <w:lang w:val="en-GB"/>
    </w:rPr>
  </w:style>
  <w:style w:type="table" w:styleId="TableGrid">
    <w:name w:val="Table Grid"/>
    <w:basedOn w:val="TableNormal"/>
    <w:uiPriority w:val="1"/>
    <w:rsid w:val="0050081B"/>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CB0086"/>
    <w:rPr>
      <w:color w:val="0000FF"/>
      <w:u w:val="single"/>
    </w:rPr>
  </w:style>
  <w:style w:type="character" w:styleId="Emphasis">
    <w:name w:val="Emphasis"/>
    <w:basedOn w:val="DefaultParagraphFont"/>
    <w:uiPriority w:val="99"/>
    <w:qFormat/>
    <w:rsid w:val="00F3093F"/>
    <w:rPr>
      <w:i/>
      <w:iCs/>
    </w:rPr>
  </w:style>
  <w:style w:type="table" w:styleId="LightShading">
    <w:name w:val="Light Shading"/>
    <w:basedOn w:val="TableNormal"/>
    <w:uiPriority w:val="60"/>
    <w:rsid w:val="003E1663"/>
    <w:rPr>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Emphasis" w:uiPriority="99" w:qFormat="1"/>
    <w:lsdException w:name="Light Shading" w:uiPriority="6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D20ED0"/>
  </w:style>
  <w:style w:type="paragraph" w:styleId="BodyTextIndent">
    <w:name w:val="Body Text Indent"/>
    <w:basedOn w:val="Normal"/>
    <w:link w:val="BodyTextIndentChar"/>
    <w:rsid w:val="007422D1"/>
    <w:pPr>
      <w:widowControl w:val="0"/>
      <w:tabs>
        <w:tab w:val="left" w:pos="-720"/>
        <w:tab w:val="left" w:pos="709"/>
      </w:tabs>
      <w:suppressAutoHyphens/>
      <w:ind w:left="720" w:hanging="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7422D1"/>
    <w:rPr>
      <w:rFonts w:ascii="Times New Roman" w:eastAsia="Times New Roman" w:hAnsi="Times New Roman" w:cs="Times New Roman"/>
      <w:szCs w:val="20"/>
    </w:rPr>
  </w:style>
  <w:style w:type="paragraph" w:styleId="Header">
    <w:name w:val="header"/>
    <w:basedOn w:val="Normal"/>
    <w:link w:val="HeaderChar"/>
    <w:uiPriority w:val="99"/>
    <w:unhideWhenUsed/>
    <w:rsid w:val="00B258A5"/>
    <w:pPr>
      <w:tabs>
        <w:tab w:val="center" w:pos="4320"/>
        <w:tab w:val="right" w:pos="8640"/>
      </w:tabs>
    </w:pPr>
  </w:style>
  <w:style w:type="character" w:customStyle="1" w:styleId="HeaderChar">
    <w:name w:val="Header Char"/>
    <w:basedOn w:val="DefaultParagraphFont"/>
    <w:link w:val="Header"/>
    <w:uiPriority w:val="99"/>
    <w:rsid w:val="00B258A5"/>
    <w:rPr>
      <w:lang w:val="en-GB"/>
    </w:rPr>
  </w:style>
  <w:style w:type="paragraph" w:styleId="Footer">
    <w:name w:val="footer"/>
    <w:basedOn w:val="Normal"/>
    <w:link w:val="FooterChar"/>
    <w:uiPriority w:val="99"/>
    <w:semiHidden/>
    <w:unhideWhenUsed/>
    <w:rsid w:val="00B258A5"/>
    <w:pPr>
      <w:tabs>
        <w:tab w:val="center" w:pos="4320"/>
        <w:tab w:val="right" w:pos="8640"/>
      </w:tabs>
    </w:pPr>
  </w:style>
  <w:style w:type="character" w:customStyle="1" w:styleId="FooterChar">
    <w:name w:val="Footer Char"/>
    <w:basedOn w:val="DefaultParagraphFont"/>
    <w:link w:val="Footer"/>
    <w:uiPriority w:val="99"/>
    <w:semiHidden/>
    <w:rsid w:val="00B258A5"/>
    <w:rPr>
      <w:lang w:val="en-GB"/>
    </w:rPr>
  </w:style>
  <w:style w:type="character" w:styleId="PageNumber">
    <w:name w:val="page number"/>
    <w:basedOn w:val="DefaultParagraphFont"/>
    <w:uiPriority w:val="99"/>
    <w:semiHidden/>
    <w:unhideWhenUsed/>
    <w:rsid w:val="00B258A5"/>
  </w:style>
  <w:style w:type="paragraph" w:styleId="BodyText">
    <w:name w:val="Body Text"/>
    <w:basedOn w:val="Normal"/>
    <w:link w:val="BodyTextChar"/>
    <w:rsid w:val="004732FD"/>
    <w:pPr>
      <w:spacing w:after="120"/>
    </w:pPr>
    <w:rPr>
      <w:rFonts w:ascii="Cambria" w:eastAsia="Times New Roman" w:hAnsi="Cambria" w:cs="Times New Roman"/>
    </w:rPr>
  </w:style>
  <w:style w:type="character" w:customStyle="1" w:styleId="BodyTextChar">
    <w:name w:val="Body Text Char"/>
    <w:basedOn w:val="DefaultParagraphFont"/>
    <w:link w:val="BodyText"/>
    <w:rsid w:val="004732FD"/>
    <w:rPr>
      <w:rFonts w:ascii="Cambria" w:eastAsia="Times New Roman" w:hAnsi="Cambria" w:cs="Times New Roman"/>
    </w:rPr>
  </w:style>
  <w:style w:type="character" w:styleId="CommentReference">
    <w:name w:val="annotation reference"/>
    <w:basedOn w:val="DefaultParagraphFont"/>
    <w:uiPriority w:val="99"/>
    <w:rsid w:val="00FD6D62"/>
    <w:rPr>
      <w:sz w:val="18"/>
      <w:szCs w:val="18"/>
    </w:rPr>
  </w:style>
  <w:style w:type="paragraph" w:styleId="CommentText">
    <w:name w:val="annotation text"/>
    <w:basedOn w:val="Normal"/>
    <w:link w:val="CommentTextChar"/>
    <w:uiPriority w:val="99"/>
    <w:rsid w:val="00FD6D62"/>
  </w:style>
  <w:style w:type="character" w:customStyle="1" w:styleId="CommentTextChar">
    <w:name w:val="Comment Text Char"/>
    <w:basedOn w:val="DefaultParagraphFont"/>
    <w:link w:val="CommentText"/>
    <w:uiPriority w:val="99"/>
    <w:rsid w:val="00FD6D62"/>
    <w:rPr>
      <w:lang w:val="en-GB"/>
    </w:rPr>
  </w:style>
  <w:style w:type="paragraph" w:styleId="CommentSubject">
    <w:name w:val="annotation subject"/>
    <w:basedOn w:val="CommentText"/>
    <w:next w:val="CommentText"/>
    <w:link w:val="CommentSubjectChar"/>
    <w:rsid w:val="00FD6D62"/>
    <w:rPr>
      <w:b/>
      <w:bCs/>
      <w:sz w:val="20"/>
      <w:szCs w:val="20"/>
    </w:rPr>
  </w:style>
  <w:style w:type="character" w:customStyle="1" w:styleId="CommentSubjectChar">
    <w:name w:val="Comment Subject Char"/>
    <w:basedOn w:val="CommentTextChar"/>
    <w:link w:val="CommentSubject"/>
    <w:rsid w:val="00FD6D62"/>
    <w:rPr>
      <w:b/>
      <w:bCs/>
      <w:sz w:val="20"/>
      <w:szCs w:val="20"/>
      <w:lang w:val="en-GB"/>
    </w:rPr>
  </w:style>
  <w:style w:type="paragraph" w:styleId="BalloonText">
    <w:name w:val="Balloon Text"/>
    <w:basedOn w:val="Normal"/>
    <w:link w:val="BalloonTextChar"/>
    <w:rsid w:val="00FD6D62"/>
    <w:rPr>
      <w:rFonts w:ascii="Lucida Grande" w:hAnsi="Lucida Grande"/>
      <w:sz w:val="18"/>
      <w:szCs w:val="18"/>
    </w:rPr>
  </w:style>
  <w:style w:type="character" w:customStyle="1" w:styleId="BalloonTextChar">
    <w:name w:val="Balloon Text Char"/>
    <w:basedOn w:val="DefaultParagraphFont"/>
    <w:link w:val="BalloonText"/>
    <w:rsid w:val="00FD6D62"/>
    <w:rPr>
      <w:rFonts w:ascii="Lucida Grande" w:hAnsi="Lucida Grande"/>
      <w:sz w:val="18"/>
      <w:szCs w:val="18"/>
      <w:lang w:val="en-GB"/>
    </w:rPr>
  </w:style>
  <w:style w:type="table" w:styleId="TableGrid">
    <w:name w:val="Table Grid"/>
    <w:basedOn w:val="TableNormal"/>
    <w:uiPriority w:val="1"/>
    <w:rsid w:val="0050081B"/>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CB0086"/>
    <w:rPr>
      <w:color w:val="0000FF"/>
      <w:u w:val="single"/>
    </w:rPr>
  </w:style>
  <w:style w:type="character" w:styleId="Emphasis">
    <w:name w:val="Emphasis"/>
    <w:basedOn w:val="DefaultParagraphFont"/>
    <w:uiPriority w:val="99"/>
    <w:qFormat/>
    <w:rsid w:val="00F3093F"/>
    <w:rPr>
      <w:i/>
      <w:iCs/>
    </w:rPr>
  </w:style>
  <w:style w:type="table" w:styleId="LightShading">
    <w:name w:val="Light Shading"/>
    <w:basedOn w:val="TableNormal"/>
    <w:uiPriority w:val="60"/>
    <w:rsid w:val="003E1663"/>
    <w:rPr>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459228581">
      <w:bodyDiv w:val="1"/>
      <w:marLeft w:val="0"/>
      <w:marRight w:val="0"/>
      <w:marTop w:val="0"/>
      <w:marBottom w:val="0"/>
      <w:divBdr>
        <w:top w:val="none" w:sz="0" w:space="0" w:color="auto"/>
        <w:left w:val="none" w:sz="0" w:space="0" w:color="auto"/>
        <w:bottom w:val="none" w:sz="0" w:space="0" w:color="auto"/>
        <w:right w:val="none" w:sz="0" w:space="0" w:color="auto"/>
      </w:divBdr>
      <w:divsChild>
        <w:div w:id="1523279295">
          <w:marLeft w:val="0"/>
          <w:marRight w:val="0"/>
          <w:marTop w:val="0"/>
          <w:marBottom w:val="0"/>
          <w:divBdr>
            <w:top w:val="none" w:sz="0" w:space="0" w:color="auto"/>
            <w:left w:val="none" w:sz="0" w:space="0" w:color="auto"/>
            <w:bottom w:val="none" w:sz="0" w:space="0" w:color="auto"/>
            <w:right w:val="none" w:sz="0" w:space="0" w:color="auto"/>
          </w:divBdr>
        </w:div>
        <w:div w:id="20849080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visco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richards@bbk.ac.uk"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BE3F6-1A51-4084-8874-3711C60A5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5872</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birkbeck</Company>
  <LinksUpToDate>false</LinksUpToDate>
  <CharactersWithSpaces>39265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cp:lastModifiedBy>psa01ccf</cp:lastModifiedBy>
  <cp:revision>2</cp:revision>
  <cp:lastPrinted>2013-09-24T10:01:00Z</cp:lastPrinted>
  <dcterms:created xsi:type="dcterms:W3CDTF">2013-10-01T13:22:00Z</dcterms:created>
  <dcterms:modified xsi:type="dcterms:W3CDTF">2013-10-01T13:22:00Z</dcterms:modified>
</cp:coreProperties>
</file>