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A3CA16" w14:textId="5E24F998" w:rsidR="001E4A37" w:rsidRDefault="00D46302" w:rsidP="001E4A37">
      <w:pPr>
        <w:pStyle w:val="Heading1"/>
        <w:rPr>
          <w:rFonts w:ascii="Times New Roman" w:hAnsi="Times New Roman"/>
          <w:b w:val="0"/>
        </w:rPr>
      </w:pPr>
      <w:r w:rsidRPr="006769D4">
        <w:rPr>
          <w:rFonts w:ascii="Times New Roman" w:hAnsi="Times New Roman"/>
          <w:b w:val="0"/>
        </w:rPr>
        <w:t xml:space="preserve">RUNNING HEAD: </w:t>
      </w:r>
      <w:r w:rsidR="00C6059A" w:rsidRPr="00C6059A">
        <w:rPr>
          <w:rFonts w:ascii="Times New Roman" w:hAnsi="Times New Roman"/>
          <w:b w:val="0"/>
        </w:rPr>
        <w:t>Visual processing at goal and effector locations during motor preparation</w:t>
      </w:r>
    </w:p>
    <w:p w14:paraId="1690B117" w14:textId="77777777" w:rsidR="00C6059A" w:rsidRPr="00C6059A" w:rsidRDefault="00C6059A" w:rsidP="00C6059A"/>
    <w:p w14:paraId="0D4B232A" w14:textId="77777777" w:rsidR="00C6059A" w:rsidRPr="00C6059A" w:rsidRDefault="00C6059A" w:rsidP="00C6059A">
      <w:pPr>
        <w:jc w:val="center"/>
        <w:rPr>
          <w:b/>
        </w:rPr>
      </w:pPr>
      <w:r w:rsidRPr="00C6059A">
        <w:rPr>
          <w:b/>
        </w:rPr>
        <w:t>Visual processing at goal and effector locations is dynamically enhanced during motor preparation</w:t>
      </w:r>
    </w:p>
    <w:p w14:paraId="58E2C9FD" w14:textId="25525354" w:rsidR="000D2CB0" w:rsidRDefault="000D2CB0" w:rsidP="00C6059A"/>
    <w:p w14:paraId="66DCA1B2" w14:textId="77777777" w:rsidR="007E1F67" w:rsidRPr="006769D4" w:rsidRDefault="007E1F67" w:rsidP="007E1F67"/>
    <w:p w14:paraId="3934102B" w14:textId="3C383353" w:rsidR="007E1F67" w:rsidRPr="00492AF1" w:rsidRDefault="007E1F67" w:rsidP="007E1F67">
      <w:pPr>
        <w:jc w:val="center"/>
        <w:rPr>
          <w:lang w:val="sv-SE"/>
        </w:rPr>
      </w:pPr>
      <w:r w:rsidRPr="00492AF1">
        <w:rPr>
          <w:lang w:val="sv-SE"/>
        </w:rPr>
        <w:t>Luke Mason</w:t>
      </w:r>
      <w:r w:rsidRPr="003E5497">
        <w:rPr>
          <w:vertAlign w:val="superscript"/>
          <w:lang w:val="sv-SE"/>
        </w:rPr>
        <w:t>1</w:t>
      </w:r>
      <w:r w:rsidR="00906DE4">
        <w:rPr>
          <w:vertAlign w:val="superscript"/>
          <w:lang w:val="sv-SE"/>
        </w:rPr>
        <w:t>,2</w:t>
      </w:r>
      <w:r w:rsidRPr="00492AF1">
        <w:rPr>
          <w:lang w:val="sv-SE"/>
        </w:rPr>
        <w:t xml:space="preserve">, Karina </w:t>
      </w:r>
      <w:r>
        <w:rPr>
          <w:lang w:val="sv-SE"/>
        </w:rPr>
        <w:t xml:space="preserve">J. </w:t>
      </w:r>
      <w:r w:rsidRPr="00492AF1">
        <w:rPr>
          <w:lang w:val="sv-SE"/>
        </w:rPr>
        <w:t>Linnell</w:t>
      </w:r>
      <w:r w:rsidRPr="003E5497">
        <w:rPr>
          <w:vertAlign w:val="superscript"/>
          <w:lang w:val="sv-SE"/>
        </w:rPr>
        <w:t>2</w:t>
      </w:r>
      <w:r w:rsidRPr="00492AF1">
        <w:rPr>
          <w:lang w:val="sv-SE"/>
        </w:rPr>
        <w:t>, Rob Davis</w:t>
      </w:r>
      <w:r w:rsidRPr="003E5497">
        <w:rPr>
          <w:vertAlign w:val="superscript"/>
          <w:lang w:val="sv-SE"/>
        </w:rPr>
        <w:t>2</w:t>
      </w:r>
      <w:r w:rsidRPr="00492AF1">
        <w:rPr>
          <w:lang w:val="sv-SE"/>
        </w:rPr>
        <w:t xml:space="preserve"> &amp; José Van Velzen</w:t>
      </w:r>
      <w:r w:rsidRPr="003E5497">
        <w:rPr>
          <w:vertAlign w:val="superscript"/>
          <w:lang w:val="sv-SE"/>
        </w:rPr>
        <w:t>2</w:t>
      </w:r>
    </w:p>
    <w:p w14:paraId="1D5D07AE" w14:textId="77777777" w:rsidR="007E1F67" w:rsidRDefault="007E1F67" w:rsidP="007E1F67">
      <w:pPr>
        <w:jc w:val="center"/>
      </w:pPr>
      <w:r>
        <w:t xml:space="preserve">1. Centre for Brain and Cognitive Development, </w:t>
      </w:r>
      <w:proofErr w:type="spellStart"/>
      <w:r>
        <w:t>Birkbeck</w:t>
      </w:r>
      <w:proofErr w:type="spellEnd"/>
      <w:r>
        <w:t>, University of London.</w:t>
      </w:r>
    </w:p>
    <w:p w14:paraId="14FC71AF" w14:textId="77777777" w:rsidR="007E1F67" w:rsidRPr="006769D4" w:rsidRDefault="007E1F67" w:rsidP="007E1F67">
      <w:pPr>
        <w:jc w:val="center"/>
      </w:pPr>
      <w:r>
        <w:t xml:space="preserve">2. </w:t>
      </w:r>
      <w:r w:rsidRPr="006769D4">
        <w:t>Department of Psychology, Goldsmiths, University of London</w:t>
      </w:r>
    </w:p>
    <w:p w14:paraId="33A20763" w14:textId="77777777" w:rsidR="007E1F67" w:rsidRPr="006769D4" w:rsidRDefault="007E1F67" w:rsidP="007E1F67"/>
    <w:p w14:paraId="6A023F5F" w14:textId="58B40EE3" w:rsidR="007E1F67" w:rsidRPr="006769D4" w:rsidRDefault="007E1F67" w:rsidP="007E1F67">
      <w:r w:rsidRPr="006769D4">
        <w:t xml:space="preserve">Address for correspondence: </w:t>
      </w:r>
      <w:proofErr w:type="spellStart"/>
      <w:r w:rsidRPr="006769D4">
        <w:t>Dr.</w:t>
      </w:r>
      <w:proofErr w:type="spellEnd"/>
      <w:r w:rsidRPr="006769D4">
        <w:t xml:space="preserve"> </w:t>
      </w:r>
      <w:r w:rsidR="003049F6">
        <w:t>Luke Mason</w:t>
      </w:r>
      <w:r w:rsidRPr="006769D4">
        <w:t xml:space="preserve">, </w:t>
      </w:r>
      <w:r w:rsidR="003049F6">
        <w:t xml:space="preserve">Centre for Brain and Cognitive Development, </w:t>
      </w:r>
      <w:proofErr w:type="spellStart"/>
      <w:r w:rsidR="003049F6">
        <w:t>Birkbeck</w:t>
      </w:r>
      <w:proofErr w:type="spellEnd"/>
      <w:r w:rsidR="003049F6">
        <w:t>, University of London, WC1E 7HX.</w:t>
      </w:r>
    </w:p>
    <w:p w14:paraId="73461A9E" w14:textId="3FCBC94E" w:rsidR="007E1F67" w:rsidRPr="006769D4" w:rsidRDefault="007E1F67" w:rsidP="007E1F67">
      <w:r w:rsidRPr="006769D4">
        <w:t xml:space="preserve">Tel.: +44 (0) 20 </w:t>
      </w:r>
      <w:r w:rsidR="00520DD9">
        <w:t>7631 6231</w:t>
      </w:r>
    </w:p>
    <w:p w14:paraId="0F226E25" w14:textId="75694A46" w:rsidR="007E1F67" w:rsidRPr="006769D4" w:rsidRDefault="007E1F67" w:rsidP="007E1F67">
      <w:r w:rsidRPr="006769D4">
        <w:t xml:space="preserve">Email: </w:t>
      </w:r>
      <w:r w:rsidR="003049F6">
        <w:t>l.mason@bbk.ac.uk</w:t>
      </w:r>
    </w:p>
    <w:p w14:paraId="36E84421" w14:textId="77777777" w:rsidR="007E1F67" w:rsidRPr="006769D4" w:rsidRDefault="007E1F67" w:rsidP="007E1F67">
      <w:pPr>
        <w:pStyle w:val="BodyText"/>
        <w:spacing w:line="480" w:lineRule="auto"/>
        <w:jc w:val="left"/>
        <w:outlineLvl w:val="0"/>
      </w:pPr>
    </w:p>
    <w:p w14:paraId="078A72CB" w14:textId="77777777" w:rsidR="007E1F67" w:rsidRPr="006769D4" w:rsidRDefault="007E1F67" w:rsidP="007E1F67">
      <w:r w:rsidRPr="006769D4">
        <w:t>Keywords: action, perception, planning, preparation, effector, goal</w:t>
      </w:r>
    </w:p>
    <w:p w14:paraId="65629030" w14:textId="77777777" w:rsidR="007E1F67" w:rsidRPr="006769D4" w:rsidRDefault="007E1F67" w:rsidP="007E1F67">
      <w:pPr>
        <w:jc w:val="both"/>
      </w:pPr>
      <w:r w:rsidRPr="006769D4">
        <w:t>This research was partially supported by an award from the European Research Council under the European Community's Seventh Framework Programme (FP7/2007-2013) (ERC Grant agreement no. 241242).</w:t>
      </w:r>
    </w:p>
    <w:p w14:paraId="1142755B" w14:textId="77777777" w:rsidR="007E1F67" w:rsidRPr="006769D4" w:rsidRDefault="007E1F67" w:rsidP="007E1F67">
      <w:r w:rsidRPr="006769D4">
        <w:br w:type="page"/>
      </w:r>
    </w:p>
    <w:p w14:paraId="3D9CD776" w14:textId="77777777" w:rsidR="007E1F67" w:rsidRDefault="007E1F67" w:rsidP="007E1F67">
      <w:pPr>
        <w:pStyle w:val="Heading1"/>
        <w:rPr>
          <w:rFonts w:ascii="Times New Roman" w:hAnsi="Times New Roman"/>
        </w:rPr>
      </w:pPr>
      <w:r w:rsidRPr="006769D4">
        <w:rPr>
          <w:rFonts w:ascii="Times New Roman" w:hAnsi="Times New Roman"/>
        </w:rPr>
        <w:lastRenderedPageBreak/>
        <w:t>Abstract</w:t>
      </w:r>
    </w:p>
    <w:p w14:paraId="51567F1B" w14:textId="3F0E6E89" w:rsidR="00B33ABB" w:rsidRDefault="002669D7" w:rsidP="002669D7">
      <w:r>
        <w:t xml:space="preserve">Previous theoretical and experimental works has shown that preparing to act causes enhanced perceptual processing at movement-relevant locations. Up until now, this has focused almost exclusively on the goal of an action, neglecting the role of the effector. We addressed this by measuring changes in visual processing across time during motor preparation at both goal and effector locations. </w:t>
      </w:r>
    </w:p>
    <w:p w14:paraId="30A18C80" w14:textId="2800B8A7" w:rsidR="003B303F" w:rsidRDefault="00B33ABB" w:rsidP="003B303F">
      <w:r>
        <w:t>W</w:t>
      </w:r>
      <w:r w:rsidR="003B303F">
        <w:t xml:space="preserve">e compared event related potentials (ERPs) </w:t>
      </w:r>
      <w:r w:rsidR="002669D7">
        <w:t>elicited by</w:t>
      </w:r>
      <w:r w:rsidR="003B303F">
        <w:t xml:space="preserve"> task-irrelevant visual probe stimuli </w:t>
      </w:r>
      <w:r>
        <w:t xml:space="preserve">at both goal and effector locations </w:t>
      </w:r>
      <w:r w:rsidR="003B303F">
        <w:t>during motor preparation. Participants were instructed to place their hands on two starting positions (effector locations) and an auditory tone instructed them to immediately move to one of two target buttons (goal locations). Probe stimuli were presented in the interval between the offset of the cue and the execution of the movement</w:t>
      </w:r>
      <w:r w:rsidR="00313348">
        <w:t xml:space="preserve"> at either a goal or an effector location.</w:t>
      </w:r>
      <w:r w:rsidR="003B303F">
        <w:t xml:space="preserve"> Probe</w:t>
      </w:r>
      <w:r w:rsidR="00313348">
        <w:t>s</w:t>
      </w:r>
      <w:r w:rsidR="003B303F">
        <w:t xml:space="preserve"> </w:t>
      </w:r>
      <w:r w:rsidR="00313348">
        <w:t>were presented</w:t>
      </w:r>
      <w:r w:rsidR="003B303F">
        <w:t xml:space="preserve"> randomly </w:t>
      </w:r>
      <w:r w:rsidR="00313348">
        <w:t xml:space="preserve">at either </w:t>
      </w:r>
      <w:r w:rsidR="003B303F">
        <w:t xml:space="preserve">100ms, 200ms or 300ms after the auditory cue. </w:t>
      </w:r>
    </w:p>
    <w:p w14:paraId="0CB9FFE1" w14:textId="0484851A" w:rsidR="003B303F" w:rsidRDefault="003B303F" w:rsidP="003B303F">
      <w:r>
        <w:t xml:space="preserve">Analysis of the visual N1 ERP showed enhanced visual processing at moving vs. not-moving goal locations across all three SOAs. At effector locations, enhanced processing for the moving vs. not-moving effector was only observed during the middle (200ms) SOA. </w:t>
      </w:r>
    </w:p>
    <w:p w14:paraId="3EB8B0DD" w14:textId="67613252" w:rsidR="002669D7" w:rsidRDefault="002669D7" w:rsidP="003B303F">
      <w:r>
        <w:t xml:space="preserve">These results demonstrate, for the first time, simultaneous perceptual enhancement of goal and effector locations during motor preparation. We interpret these results as reflecting a temporally and spatially specific dynamic attentional map of the environment that adapts to maximise efficiency of movement by selectively weighting processing of multiple functional components of action in parallel. </w:t>
      </w:r>
    </w:p>
    <w:p w14:paraId="213F2913" w14:textId="443B651C" w:rsidR="007E1F67" w:rsidRPr="006769D4" w:rsidRDefault="007E1F67" w:rsidP="007E1F67">
      <w:pPr>
        <w:pStyle w:val="Heading1"/>
        <w:rPr>
          <w:rFonts w:ascii="Times New Roman" w:hAnsi="Times New Roman"/>
        </w:rPr>
      </w:pPr>
      <w:r w:rsidRPr="006769D4">
        <w:rPr>
          <w:rFonts w:ascii="Times New Roman" w:hAnsi="Times New Roman"/>
        </w:rPr>
        <w:t>1</w:t>
      </w:r>
      <w:r w:rsidR="00987DFB">
        <w:rPr>
          <w:rFonts w:ascii="Times New Roman" w:hAnsi="Times New Roman"/>
        </w:rPr>
        <w:t>.</w:t>
      </w:r>
      <w:r w:rsidRPr="006769D4">
        <w:rPr>
          <w:rFonts w:ascii="Times New Roman" w:hAnsi="Times New Roman"/>
        </w:rPr>
        <w:t xml:space="preserve"> Introduction</w:t>
      </w:r>
    </w:p>
    <w:p w14:paraId="0F178D2E" w14:textId="4104DEF6" w:rsidR="007E1F67" w:rsidRPr="006769D4" w:rsidRDefault="007E1F67" w:rsidP="007E1F67">
      <w:r w:rsidRPr="006769D4">
        <w:t xml:space="preserve">To interact effectively with the physical environment requires us to plan action as efficiently as possible. The importance of </w:t>
      </w:r>
      <w:r w:rsidR="00A23DEE">
        <w:t xml:space="preserve">accurate and </w:t>
      </w:r>
      <w:r w:rsidRPr="006769D4">
        <w:t>effective action is reflected in the fact that motor preparation has effects on cognitive processes other than the purely motoric. One such process that has been well studied is visual perceptio</w:t>
      </w:r>
      <w:r w:rsidR="00A23DEE">
        <w:t>n,</w:t>
      </w:r>
      <w:r w:rsidRPr="006769D4">
        <w:t xml:space="preserve"> which is enhanced in a spatially selective manner by an intention to perform a goal directed action. This enhancement can be </w:t>
      </w:r>
      <w:r w:rsidR="002D6F74">
        <w:t>measured</w:t>
      </w:r>
      <w:r w:rsidR="002D6F74" w:rsidRPr="006769D4">
        <w:t xml:space="preserve"> </w:t>
      </w:r>
      <w:r w:rsidRPr="006769D4">
        <w:t>using behavioural</w:t>
      </w:r>
      <w:r>
        <w:t xml:space="preserve">, </w:t>
      </w:r>
      <w:r w:rsidRPr="006769D4">
        <w:t>electrophysiological</w:t>
      </w:r>
      <w:r>
        <w:t xml:space="preserve"> or other neuroimaging</w:t>
      </w:r>
      <w:r w:rsidRPr="006769D4">
        <w:t xml:space="preserve"> measures of visual processing, and allows us to make inferences about the underlying stages of motor processing that cause it</w:t>
      </w:r>
      <w:r w:rsidR="002D6F74">
        <w:t xml:space="preserve">, for example by comparing visual processing at locations involved in action with those that are not. </w:t>
      </w:r>
    </w:p>
    <w:p w14:paraId="158FD7EF" w14:textId="361FB213" w:rsidR="007E1F67" w:rsidRPr="006769D4" w:rsidRDefault="007E1F67" w:rsidP="007E1F67">
      <w:r w:rsidRPr="006769D4">
        <w:t xml:space="preserve">Whilst this approach has consistently demonstrated perceptual enhancement at the location of the </w:t>
      </w:r>
      <w:r>
        <w:t>goal of action</w:t>
      </w:r>
      <w:r w:rsidRPr="006769D4">
        <w:t>, the influence of motor preparation on visual perception near the effector has been comparatively neglected</w:t>
      </w:r>
      <w:r>
        <w:t>. This</w:t>
      </w:r>
      <w:r w:rsidRPr="006769D4">
        <w:t xml:space="preserve"> has led to a situation whereby very little work has systematically addressed the influence of the effector location in action planning in human participants</w:t>
      </w:r>
      <w:r>
        <w:t xml:space="preserve"> (though see </w:t>
      </w:r>
      <w:r w:rsidRPr="006769D4">
        <w:fldChar w:fldCharType="begin" w:fldLock="1"/>
      </w:r>
      <w:r w:rsidR="00173758">
        <w:instrText>ADDIN CSL_CITATION { "citationItems" : [ { "id" : "ITEM-1", "itemData" : { "author" : [ { "dropping-particle" : "", "family" : "Eimer", "given" : "M", "non-dropping-particle" : "", "parse-names" : false, "suffix" : "" }, { "dropping-particle" : "", "family" : "Forster", "given" : "B", "non-dropping-particle" : "", "parse-names" : false, "suffix" : "" }, { "dropping-particle" : "", "family" : "Velzen", "given" : "Jos\u00e9", "non-dropping-particle" : "Van", "parse-names" : false, "suffix" : "" }, { "dropping-particle" : "", "family" : "J", "given" : "", "non-dropping-particle" : "", "parse-names" : false, "suffix" : "" }, { "dropping-particle" : "", "family" : "Prabhu", "given" : "G", "non-dropping-particle" : "", "parse-names" : false, "suffix" : "" } ], "container-title" : "Neuropsychologia", "id" : "ITEM-1", "issued" : { "date-parts" : [ [ "2005" ] ] }, "page" : "957-966", "title" : "Covert manual response preparation triggers attentional shifts: ERP evidence for the premotor theory of attention", "type" : "article-journal", "volume" : "43" }, "uris" : [ "http://www.mendeley.com/documents/?uuid=fae2d849-da1e-4520-b20e-805284277704" ] }, { "id" : "ITEM-2", "itemData" : { "abstract" : "The premotor theory of attention postulates that during response preparation, attention shifts are elicited towards the goal of a prepared movement. Support for this claim comes from research demonstrating enhanced performance at the location of upcoming saccades. To investigate whether attention shifts occur towards effectors or goal locations during the covert preparation of unimanual movements, we recorded event related brain potentials (ERPs) to task-irrelevant tactile probes that were presented while participants prepared to move one hand towards the index finger of the other hand, as directed by visual response cues presented at the start of each trial. These cues specified either the effector or the goal location of an upcoming movement. The somatosensory N140 component was enhanced when probes were presented to the effector hand relative to the goal hand, regardless of cue instructions. Analogous modulations of the N80 component were only present with effector cues. These results demonstrate a close link between covert response preparation and attention shifts, and strongly suggest that attention shifts are directed to the effector, and not to the goal location of manual movements.", "author" : [ { "dropping-particle" : "", "family" : "Forster", "given" : "B", "non-dropping-particle" : "", "parse-names" : false, "suffix" : "" }, { "dropping-particle" : "", "family" : "Eimer", "given" : "M", "non-dropping-particle" : "", "parse-names" : false, "suffix" : "" } ], "container-title" : "Neuroscience Letters", "id" : "ITEM-2", "issued" : { "date-parts" : [ [ "2007" ] ] }, "page" : "142-146", "title" : "Covert unimanual response preparation triggers attention shifts to effectors rather than goal locations", "type" : "article-journal", "volume" : "419" }, "uris" : [ "http://www.mendeley.com/documents/?uuid=d0b841b5-55c3-4fee-afc6-ef364ed4afe1" ] }, { "id" : "ITEM-3", "itemData" : { "DOI" : "10.1007/s00221-009-1819-0", "author" : [ { "dropping-particle" : "", "family" : "Juravle", "given" : "Georgiana", "non-dropping-particle" : "", "parse-names" : false, "suffix" : "" }, { "dropping-particle" : "", "family" : "Deubel", "given" : "H", "non-dropping-particle" : "", "parse-names" : false, "suffix" : "" } ], "container-title" : "Experimental Brain Research", "id" : "ITEM-3", "issue" : "2-3", "issued" : { "date-parts" : [ [ "2009" ] ] }, "page" : "301-311", "title" : "Action preparation enhances the processing of tactile targets", "type" : "article-journal", "volume" : "198" }, "uris" : [ "http://www.mendeley.com/documents/?uuid=62ef3be9-88b4-4f18-a0c6-58b591f295b5" ] } ], "mendeley" : { "manualFormatting" : "Eimer, Forster, Van Velzen, J, &amp; Prabhu, 2005; Forster &amp; Eimer, 2007; Juravle &amp; Deubel, 2009", "previouslyFormattedCitation" : "(Eimer, Forster, Van Velzen, J, &amp; Prabhu, 2005; Forster &amp; Eimer, 2007; Juravle &amp; Deubel, 2009)" }, "properties" : { "noteIndex" : 0 }, "schema" : "https://github.com/citation-style-language/schema/raw/master/csl-citation.json" }</w:instrText>
      </w:r>
      <w:r w:rsidRPr="006769D4">
        <w:fldChar w:fldCharType="separate"/>
      </w:r>
      <w:r w:rsidR="00C8472B" w:rsidRPr="00C8472B">
        <w:rPr>
          <w:noProof/>
          <w:lang w:val="sv-SE"/>
        </w:rPr>
        <w:t>Eimer, Forster, Van Velzen, J, &amp; Prabhu, 2005; Forster &amp; Eimer, 2007; Juravle &amp; Deubel, 2009</w:t>
      </w:r>
      <w:r w:rsidRPr="006769D4">
        <w:fldChar w:fldCharType="end"/>
      </w:r>
      <w:r>
        <w:t xml:space="preserve">; and </w:t>
      </w:r>
      <w:r w:rsidR="008D6FE5">
        <w:fldChar w:fldCharType="begin" w:fldLock="1"/>
      </w:r>
      <w:r w:rsidR="00173758">
        <w:instrText>ADDIN CSL_CITATION { "citationItems" : [ { "id" : "ITEM-1", "itemData" : { "DOI" : "10.1016/j.actpsy.2011.08.001", "ISSN" : "1873-6297", "PMID" : "21872190", "abstract" : "Reaching with the hand is characterized by a decrease in sensitivity to tactile stimuli presented to the moving hand. Here, we investigated whether tactile suppression can be canceled by attentional orienting. In a first experiment, participants performed a dual-task involving a goal-directed movement paired with the speeded detection of a tactile pulse. The pulse was either delivered to the moving or stationary hand, during movement preparation, execution, or the post-movement phase. Furthermore, stimulation was delivered with equal probability to either hand, or with a higher probability to either the moving or resting hand. The results highlighted faster RTs under conditions of higher probability of stimulation delivery to both moving and resting hands, thus indicating an attentional effect. For the motor preparation period, RTs were faster only at the resting hand under conditions where tactile stimulation was more likely to be delivered there. In a second experiment, a non-speeded perceptual task was used as a secondary task and tactile discrimination thresholds were recorded. Tactile stimulation was delivered concomitantly at both index fingers either in the movement preparation period (both before and after the selection of the movement effector had taken place), in the motor execution period, or, in a control condition, in the time-window of motor execution, but the movement of the hand was restrained. In the preparation period, tactile thresholds were comparable for the two timings of stimulation delivery; i.e., before and after the selection of the movement effector had taken place. These results therefore suggest that shortly prior to, and during, the execution of goal-directed movements, a combined facilitatory and inhibitory influence acts on tactile perception.", "author" : [ { "dropping-particle" : "", "family" : "Juravle", "given" : "Georgiana", "non-dropping-particle" : "", "parse-names" : false, "suffix" : "" }, { "dropping-particle" : "", "family" : "Deubel", "given" : "H", "non-dropping-particle" : "", "parse-names" : false, "suffix" : "" }, { "dropping-particle" : "", "family" : "Spence", "given" : "Charles", "non-dropping-particle" : "", "parse-names" : false, "suffix" : "" } ], "container-title" : "Acta psychologica", "id" : "ITEM-1", "issue" : "2", "issued" : { "date-parts" : [ [ "2011", "10" ] ] }, "page" : "302-10", "publisher" : "Elsevier B.V.", "title" : "Attention and suppression affect tactile perception in reach-to-grasp movements.", "type" : "article-journal", "volume" : "138" }, "uris" : [ "http://www.mendeley.com/documents/?uuid=604d37da-5ce4-4cb7-afbb-831dc2810fbf" ] } ], "mendeley" : { "previouslyFormattedCitation" : "(Juravle, Deubel, &amp; Spence, 2011)" }, "properties" : { "noteIndex" : 0 }, "schema" : "https://github.com/citation-style-language/schema/raw/master/csl-citation.json" }</w:instrText>
      </w:r>
      <w:r w:rsidR="008D6FE5">
        <w:fldChar w:fldCharType="separate"/>
      </w:r>
      <w:r w:rsidR="00803158" w:rsidRPr="00803158">
        <w:rPr>
          <w:noProof/>
        </w:rPr>
        <w:t>Juravle, Deubel, &amp; Spence, 2011</w:t>
      </w:r>
      <w:r w:rsidR="008D6FE5">
        <w:fldChar w:fldCharType="end"/>
      </w:r>
      <w:r w:rsidR="008D6FE5">
        <w:t xml:space="preserve"> </w:t>
      </w:r>
      <w:r>
        <w:t>for somatosensory processing on the hand</w:t>
      </w:r>
      <w:r>
        <w:rPr>
          <w:noProof/>
        </w:rPr>
        <w:t>)</w:t>
      </w:r>
      <w:r w:rsidRPr="006769D4">
        <w:t xml:space="preserve">, which in turn has led to </w:t>
      </w:r>
      <w:r>
        <w:t>potentially</w:t>
      </w:r>
      <w:r w:rsidRPr="006769D4">
        <w:t xml:space="preserve"> simplistic modelling of the effects of movement preparation on sensory processing</w:t>
      </w:r>
      <w:r>
        <w:t xml:space="preserve"> with an undue focus on goal locations</w:t>
      </w:r>
      <w:r w:rsidRPr="006769D4">
        <w:t xml:space="preserve">. </w:t>
      </w:r>
    </w:p>
    <w:p w14:paraId="4A5BA478" w14:textId="2A356713" w:rsidR="007E1F67" w:rsidRPr="006769D4" w:rsidRDefault="007E1F67" w:rsidP="007E1F67">
      <w:r w:rsidRPr="00240D4B">
        <w:t xml:space="preserve">The Premotor Theory of Attention </w:t>
      </w:r>
      <w:r w:rsidRPr="00240D4B">
        <w:fldChar w:fldCharType="begin" w:fldLock="1"/>
      </w:r>
      <w:r w:rsidR="00173758" w:rsidRPr="00240D4B">
        <w:instrText>ADDIN CSL_CITATION { "citationItems" : [ { "id" : "ITEM-1", "itemData" : { "ISSN" : "0028-3932", "PMID" : "3574648", "abstract" : "Stimuli presented in a non-attended location are responded to much slower than stimuli presented in an attended one. The hypotheses proposed to explain this effect make reference to covert movement of attention, hemifield inhibition, or attentional gradients. The experiment reported here was aimed at discriminating among these hypotheses. Subjects were cued to attend to one of four possible stimulus locations, which were arranged either horizontally or vertically, above, below, to the right or left of a fixation point. The instructions were to respond manually as fast as possible to the occurrence of a visual stimulus, regardless of whether it occurred in a cued or in a non-cued location. In 70% of the cued trials the stimulus was presented in the cued location and in 30% in one of the non-cued locations. In addition there were trials in which a non-directional cue instructed the subject to pay attention to all four locations. The results showed that the correct orienting of attention yielded a small but significant benefit; the incorrect orienting of attention yielded a large and significant cost; the cost tended to increase as a function of the distance between the attended location and the location that was actually stimulated; and an additional cost was incurred when the stimulated and attended locations were on opposite sides of the vertical or horizontal meridian. We concluded that neither the hypothesis postulating hemifield inhibition nor that postulating movement of attention with a constant time can explain the data. The hypothesis of an attention gradient and that of attention movements with a constant speed are tenable in principle, but they fail to account for the effect of crossing the horizontal and vertical meridians. A hypothesis is proposed that postulates a strict link between covert orienting of attention and programming explicit ocular movements. Attention is oriented to a given point when the oculomotor programme for moving the eyes to this point is ready to be executed. Attentional cost is the time required to erase one ocular program and prepare the next one.", "author" : [ { "dropping-particle" : "", "family" : "Rizzolatti", "given" : "Giacomo", "non-dropping-particle" : "", "parse-names" : false, "suffix" : "" }, { "dropping-particle" : "", "family" : "Riggio", "given" : "L", "non-dropping-particle" : "", "parse-names" : false, "suffix" : "" }, { "dropping-particle" : "", "family" : "Dascola", "given" : "I", "non-dropping-particle" : "", "parse-names" : false, "suffix" : "" }, { "dropping-particle" : "", "family" : "Umilt\u00e1", "given" : "C", "non-dropping-particle" : "", "parse-names" : false, "suffix" : "" } ], "container-title" : "Neuropsychologia", "id" : "ITEM-1", "issue" : "1A", "issued" : { "date-parts" : [ [ "1987", "1" ] ] }, "page" : "31-40", "title" : "Reorienting attention across the horizontal and vertical meridians: evidence in favor of a premotor theory of attention.", "type" : "article-journal", "volume" : "25" }, "uris" : [ "http://www.mendeley.com/documents/?uuid=e7d1adb8-8e2e-451c-8fde-0e071df69d9c" ] }, { "id" : "ITEM-2", "itemData" : { "author" : [ { "dropping-particle" : "", "family" : "Rizzolatti", "given" : "Giacomo", "non-dropping-particle" : "", "parse-names" : false, "suffix" : "" }, { "dropping-particle" : "", "family" : "Riggio", "given" : "L", "non-dropping-particle" : "", "parse-names" : false, "suffix" : "" }, { "dropping-particle" : "", "family" : "Sheliga", "given" : "BM", "non-dropping-particle" : "", "parse-names" : false, "suffix" : "" } ], "container-title" : "Attention and performance XV", "editor" : [ { "dropping-particle" : "", "family" : "Umilta", "given" : "C", "non-dropping-particle" : "", "parse-names" : false, "suffix" : "" }, { "dropping-particle" : "", "family" : "Moscovitch", "given" : "M", "non-dropping-particle" : "", "parse-names" : false, "suffix" : "" } ], "id" : "ITEM-2", "issued" : { "date-parts" : [ [ "1994" ] ] }, "page" : "231-265", "publisher" : "MIT", "publisher-place" : "Cambridge", "title" : "Space and selective attention", "type" : "chapter" }, "uris" : [ "http://www.mendeley.com/documents/?uuid=73c2ca18-a97d-4d4f-a785-aa4bf3dd0642" ] } ], "mendeley" : { "previouslyFormattedCitation" : "(Rizzolatti, Riggio, Dascola, &amp; Umilt\u00e1, 1987; Rizzolatti, Riggio, &amp; Sheliga, 1994)" }, "properties" : { "noteIndex" : 0 }, "schema" : "https://github.com/citation-style-language/schema/raw/master/csl-citation.json" }</w:instrText>
      </w:r>
      <w:r w:rsidRPr="00240D4B">
        <w:fldChar w:fldCharType="separate"/>
      </w:r>
      <w:r w:rsidR="00CA34D1" w:rsidRPr="00240D4B">
        <w:rPr>
          <w:noProof/>
        </w:rPr>
        <w:t>(Rizzolatti, Riggio, Dascola, &amp; Umiltá, 1987; Rizzolatti, Riggio, &amp; Sheliga, 1994)</w:t>
      </w:r>
      <w:r w:rsidRPr="00240D4B">
        <w:fldChar w:fldCharType="end"/>
      </w:r>
      <w:r w:rsidRPr="00240D4B">
        <w:t xml:space="preserve"> </w:t>
      </w:r>
      <w:r w:rsidR="00240D4B" w:rsidRPr="00C6059A">
        <w:t>and</w:t>
      </w:r>
      <w:r w:rsidR="00CE462E" w:rsidRPr="00240D4B">
        <w:t xml:space="preserve"> </w:t>
      </w:r>
      <w:r w:rsidRPr="00240D4B">
        <w:t>the Visual Attention Model</w:t>
      </w:r>
      <w:r w:rsidR="00CE462E" w:rsidRPr="00240D4B">
        <w:t xml:space="preserve"> (Schneider, 1995)</w:t>
      </w:r>
      <w:r w:rsidRPr="00435958">
        <w:t xml:space="preserve"> provide</w:t>
      </w:r>
      <w:r w:rsidRPr="000D2CB0">
        <w:t xml:space="preserve"> framework</w:t>
      </w:r>
      <w:r w:rsidR="00240D4B" w:rsidRPr="00C6059A">
        <w:t>s</w:t>
      </w:r>
      <w:r w:rsidRPr="00240D4B">
        <w:t xml:space="preserve"> for understanding the perceptual consequences of action preparation</w:t>
      </w:r>
      <w:r w:rsidR="00240D4B" w:rsidRPr="00C6059A">
        <w:t>.</w:t>
      </w:r>
      <w:r w:rsidR="00240D4B" w:rsidRPr="00240D4B">
        <w:t xml:space="preserve"> </w:t>
      </w:r>
      <w:r w:rsidR="00240D4B" w:rsidRPr="00C6059A">
        <w:t>The Premotor Theory</w:t>
      </w:r>
      <w:r w:rsidR="00240D4B" w:rsidRPr="00240D4B">
        <w:t xml:space="preserve"> </w:t>
      </w:r>
      <w:r w:rsidR="00240D4B" w:rsidRPr="00C6059A">
        <w:t>predicts</w:t>
      </w:r>
      <w:r w:rsidR="00240D4B" w:rsidRPr="00240D4B">
        <w:t xml:space="preserve"> </w:t>
      </w:r>
      <w:r w:rsidRPr="00240D4B">
        <w:t>that space is represented in the brain by effector-specific “spatial pragmatic maps” in the parietal cortex (</w:t>
      </w:r>
      <w:proofErr w:type="spellStart"/>
      <w:r w:rsidRPr="00240D4B">
        <w:t>Rizzolatti</w:t>
      </w:r>
      <w:proofErr w:type="spellEnd"/>
      <w:r w:rsidRPr="00240D4B">
        <w:t xml:space="preserve"> et al., 1994, p. 231), responsible both for the perception of space and for</w:t>
      </w:r>
      <w:r w:rsidRPr="006D2F1F">
        <w:t xml:space="preserve"> the planning of action. An intention to act upon a particular area of space causes a motor program to be set up within an effector-specific map, and until it is executed the activity of neural populations that code for the perception of that area of space</w:t>
      </w:r>
      <w:r w:rsidRPr="00C6059A">
        <w:t xml:space="preserve"> is facilitated. Whilst the theory maintains that spatial attention arises from facilitation associated with the</w:t>
      </w:r>
      <w:r w:rsidRPr="006769D4">
        <w:t xml:space="preserve"> preparation of goal-directed </w:t>
      </w:r>
      <w:r w:rsidRPr="00507621">
        <w:rPr>
          <w:i/>
        </w:rPr>
        <w:t>action</w:t>
      </w:r>
      <w:r w:rsidRPr="006769D4">
        <w:t xml:space="preserve">, it does not explicitly limit the scope of this facilitation to goal </w:t>
      </w:r>
      <w:r w:rsidRPr="00507621">
        <w:rPr>
          <w:i/>
        </w:rPr>
        <w:t>locations</w:t>
      </w:r>
      <w:r w:rsidRPr="006769D4">
        <w:t>, and the principles it establishes could equally well be expected to apply to any action-relevant locations in space, such as those of the effector.</w:t>
      </w:r>
      <w:r>
        <w:t xml:space="preserve"> </w:t>
      </w:r>
    </w:p>
    <w:p w14:paraId="38C175B9" w14:textId="168C5E80" w:rsidR="007E1F67" w:rsidRPr="006769D4" w:rsidRDefault="007E1F67" w:rsidP="007E1F67">
      <w:r w:rsidRPr="006769D4">
        <w:t>The majority of experimental tasks used to study the perceptual consequences of an intention to act were developed to investigate</w:t>
      </w:r>
      <w:r w:rsidR="008F2D3C">
        <w:t xml:space="preserve"> the programming of</w:t>
      </w:r>
      <w:r w:rsidRPr="006769D4">
        <w:t xml:space="preserve"> </w:t>
      </w:r>
      <w:r w:rsidR="008F2D3C">
        <w:t xml:space="preserve">saccades. </w:t>
      </w:r>
      <w:r w:rsidR="002D6F74">
        <w:t>The effects on perception of preparing to make a saccade</w:t>
      </w:r>
      <w:r w:rsidRPr="006769D4">
        <w:t xml:space="preserve"> are remarkably similar to </w:t>
      </w:r>
      <w:r w:rsidR="002D6F74">
        <w:t>those</w:t>
      </w:r>
      <w:r w:rsidRPr="006769D4">
        <w:t xml:space="preserve"> </w:t>
      </w:r>
      <w:r w:rsidR="002D6F74">
        <w:t>seen</w:t>
      </w:r>
      <w:r w:rsidR="002D6F74" w:rsidRPr="006769D4">
        <w:t xml:space="preserve"> </w:t>
      </w:r>
      <w:r w:rsidRPr="006769D4">
        <w:t>in tasks that manipulate covert spatial attention</w:t>
      </w:r>
      <w:r w:rsidR="002D6F74">
        <w:t xml:space="preserve">; </w:t>
      </w:r>
      <w:r>
        <w:t>d</w:t>
      </w:r>
      <w:r w:rsidRPr="006769D4">
        <w:t xml:space="preserve">iscrimination and detection of visual targets at the goal of a saccade </w:t>
      </w:r>
      <w:r w:rsidR="002D6F74">
        <w:t>are</w:t>
      </w:r>
      <w:r w:rsidRPr="006769D4">
        <w:t xml:space="preserve"> facilitated </w:t>
      </w:r>
      <w:r w:rsidRPr="006769D4">
        <w:fldChar w:fldCharType="begin" w:fldLock="1"/>
      </w:r>
      <w:r w:rsidR="00173758">
        <w:instrText>ADDIN CSL_CITATION { "citationItems" : [ { "id" : "ITEM-1", "itemData" : { "DOI" : "10.1080/14640748608401609", "author" : [ { "dropping-particle" : "", "family" : "Shepherd", "given" : "M", "non-dropping-particle" : "", "parse-names" : false, "suffix" : "" }, { "dropping-particle" : "", "family" : "Findlay", "given" : "JM", "non-dropping-particle" : "", "parse-names" : false, "suffix" : "" }, { "dropping-particle" : "", "family" : "Hockey", "given" : "RJ", "non-dropping-particle" : "", "parse-names" : false, "suffix" : "" } ], "container-title" : "The Quarterly journal of experimental psychology.", "id" : "ITEM-1", "issued" : { "date-parts" : [ [ "1986" ] ] }, "page" : "475-491", "title" : "The relationship between eye movements and spatial attention", "type" : "article-journal", "volume" : "38A" }, "uris" : [ "http://www.mendeley.com/documents/?uuid=c0f8a13a-be75-4984-a6db-8267d3e29521" ] }, { "id" : "ITEM-2", "itemData" : { "abstract" : "The relationship between saccadic eye movements and covert orienting of visual spatial attention was investigated in two experiments. In the first experiment, subjects were required to make a saccade to a specified location while also detecting a visual target presented just prior to the eye movement. Detection accuracy was highest when the location of the target coincided with the location of the sac- cade, suggesting that subjects use spatial attention in the programming and/or execution of saccadic eye movements. In the second experiment, subjects were explicitly directed to attend to a particular location and to make a saccade to the same location or to a different one. Superior target detection oc- curred at the saccade location regardless of attention instructions. This finding shows that subjects cannot move their eyes to one location and attend to a different one. The results of these experiments suggest that visuospatial attention is an important mechanism in generating voluntary saccadic eye movements.", "author" : [ { "dropping-particle" : "", "family" : "Hoffman", "given" : "J E", "non-dropping-particle" : "", "parse-names" : false, "suffix" : "" }, { "dropping-particle" : "", "family" : "Subramaniam", "given" : "B", "non-dropping-particle" : "", "parse-names" : false, "suffix" : "" } ], "container-title" : "Perception &amp; Psychophysics", "id" : "ITEM-2", "issued" : { "date-parts" : [ [ "1995" ] ] }, "page" : "787-795", "title" : "The role of visual attention in saccadic eye movements", "type" : "article-journal", "volume" : "57" }, "uris" : [ "http://www.mendeley.com/documents/?uuid=f9fa4ef9-5f30-4f7f-b257-79a0bcd299e3" ] }, { "id" : "ITEM-3", "itemData" : { "ISSN" : "0028-3932", "PMID" : "3574648", "abstract" : "Stimuli presented in a non-attended location are responded to much slower than stimuli presented in an attended one. The hypotheses proposed to explain this effect make reference to covert movement of attention, hemifield inhibition, or attentional gradients. The experiment reported here was aimed at discriminating among these hypotheses. Subjects were cued to attend to one of four possible stimulus locations, which were arranged either horizontally or vertically, above, below, to the right or left of a fixation point. The instructions were to respond manually as fast as possible to the occurrence of a visual stimulus, regardless of whether it occurred in a cued or in a non-cued location. In 70% of the cued trials the stimulus was presented in the cued location and in 30% in one of the non-cued locations. In addition there were trials in which a non-directional cue instructed the subject to pay attention to all four locations. The results showed that the correct orienting of attention yielded a small but significant benefit; the incorrect orienting of attention yielded a large and significant cost; the cost tended to increase as a function of the distance between the attended location and the location that was actually stimulated; and an additional cost was incurred when the stimulated and attended locations were on opposite sides of the vertical or horizontal meridian. We concluded that neither the hypothesis postulating hemifield inhibition nor that postulating movement of attention with a constant time can explain the data. The hypothesis of an attention gradient and that of attention movements with a constant speed are tenable in principle, but they fail to account for the effect of crossing the horizontal and vertical meridians. A hypothesis is proposed that postulates a strict link between covert orienting of attention and programming explicit ocular movements. Attention is oriented to a given point when the oculomotor programme for moving the eyes to this point is ready to be executed. Attentional cost is the time required to erase one ocular program and prepare the next one.", "author" : [ { "dropping-particle" : "", "family" : "Rizzolatti", "given" : "Giacomo", "non-dropping-particle" : "", "parse-names" : false, "suffix" : "" }, { "dropping-particle" : "", "family" : "Riggio", "given" : "L", "non-dropping-particle" : "", "parse-names" : false, "suffix" : "" }, { "dropping-particle" : "", "family" : "Dascola", "given" : "I", "non-dropping-particle" : "", "parse-names" : false, "suffix" : "" }, { "dropping-particle" : "", "family" : "Umilt\u00e1", "given" : "C", "non-dropping-particle" : "", "parse-names" : false, "suffix" : "" } ], "container-title" : "Neuropsychologia", "id" : "ITEM-3", "issue" : "1A", "issued" : { "date-parts" : [ [ "1987", "1" ] ] }, "page" : "31-40", "title" : "Reorienting attention across the horizontal and vertical meridians: evidence in favor of a premotor theory of attention.", "type" : "article-journal", "volume" : "25" }, "uris" : [ "http://www.mendeley.com/documents/?uuid=e7d1adb8-8e2e-451c-8fde-0e071df69d9c" ] }, { "id" : "ITEM-4", "itemData" : { "author" : [ { "dropping-particle" : "", "family" : "Posner", "given" : "MI", "non-dropping-particle" : "", "parse-names" : false, "suffix" : "" } ], "container-title" : "Quarterly journal of experimental psychology", "id" : "ITEM-4", "issue" : "1", "issued" : { "date-parts" : [ [ "1980" ] ] }, "page" : "3-25", "title" : "Orienting of attention", "type" : "article-journal", "volume" : "32" }, "uris" : [ "http://www.mendeley.com/documents/?uuid=edf80077-aed2-4d5d-90e7-8b55390adc45" ] }, { "id" : "ITEM-5", "itemData" : { "author" : [ { "dropping-particle" : "", "family" : "Schneider", "given" : "WX", "non-dropping-particle" : "", "parse-names" : false, "suffix" : "" }, { "dropping-particle" : "", "family" : "Deubel", "given" : "H", "non-dropping-particle" : "", "parse-names" : false, "suffix" : "" } ], "container-title" : "Studies in Visual Information Processing", "id" : "ITEM-5", "issued" : { "date-parts" : [ [ "1995" ] ] }, "title" : "Visual attention and saccadic eye movements: Evidence for obligatory and selective spatial coupling", "type" : "article-journal" }, "uris" : [ "http://www.mendeley.com/documents/?uuid=18aac0d1-bc9d-4f8f-96a5-c09ae9a4f30a" ] } ], "mendeley" : { "previouslyFormattedCitation" : "(Hoffman &amp; Subramaniam, 1995; Posner, 1980; Rizzolatti et al., 1987; Schneider &amp; Deubel, 1995; Shepherd, Findlay, &amp; Hockey, 1986)" }, "properties" : { "noteIndex" : 0 }, "schema" : "https://github.com/citation-style-language/schema/raw/master/csl-citation.json" }</w:instrText>
      </w:r>
      <w:r w:rsidRPr="006769D4">
        <w:fldChar w:fldCharType="separate"/>
      </w:r>
      <w:r w:rsidR="00CA34D1" w:rsidRPr="00CA34D1">
        <w:rPr>
          <w:noProof/>
        </w:rPr>
        <w:t>(Hoffman &amp; Subramaniam, 1995; Posner, 1980; Rizzolatti et al., 1987; Schneider &amp; Deubel, 1995; Shepherd, Findlay, &amp; Hockey, 1986)</w:t>
      </w:r>
      <w:r w:rsidRPr="006769D4">
        <w:fldChar w:fldCharType="end"/>
      </w:r>
      <w:r w:rsidRPr="006769D4">
        <w:t xml:space="preserve">. Consistent with these </w:t>
      </w:r>
      <w:r>
        <w:t xml:space="preserve">behavioural </w:t>
      </w:r>
      <w:r w:rsidRPr="006769D4">
        <w:t xml:space="preserve">observations, electrophysiological work has shown enhanced activity in </w:t>
      </w:r>
      <w:proofErr w:type="spellStart"/>
      <w:r w:rsidRPr="006769D4">
        <w:t>extrastriate</w:t>
      </w:r>
      <w:proofErr w:type="spellEnd"/>
      <w:r w:rsidRPr="006769D4">
        <w:t xml:space="preserve"> visual areas when stimuli were presented at goal locations during saccade preparation </w:t>
      </w:r>
      <w:r w:rsidRPr="006769D4">
        <w:fldChar w:fldCharType="begin" w:fldLock="1"/>
      </w:r>
      <w:r w:rsidR="00173758">
        <w:instrText>ADDIN CSL_CITATION { "citationItems" : [ { "id" : "ITEM-1", "itemData" : { "DOI" : "10.1016/j.brainr", "abstract" : "The premotor theory of attention claims that attentional shifts are triggered during response programming, regardless of which response modality is involved. To investigate this claim, event-related brain potentials (ERPs) were recorded while participants covertly prepared a left or right response, as indicated by a precue presented at the beginning of each trial. Cues signalled a left or right eye movement in the saccade task, and a left or right manual response in the manual task. The cued response had to be executed or withheld following the presentation of a Go/Nogo stimulus. Although there were systematic differences between ERPs triggered during covert manual and saccade preparation, lateralised ERP components sensitive to the direction of a cued response were very similar for both tasks, and also similar to the components previously found during cued shifts of endogenous spatial attention. This is consistent with the claim that the control of attention and of covert response preparation are closely linked. N1 components triggered by task-irrelevant visual probes presented during the covert response preparation interval were enhanced when these probes were presented close to cued response hand in the manual task, and at the saccade target location in the saccade task. This demonstrates that both manual and saccade preparation result in spatially specific modulations of visual processing, in line with the predictions of the premotor theory.", "author" : [ { "dropping-particle" : "", "family" : "Eimer", "given" : "M", "non-dropping-particle" : "", "parse-names" : false, "suffix" : "" }, { "dropping-particle" : "", "family" : "Velzen", "given" : "Jos\u00e9", "non-dropping-particle" : "Van", "parse-names" : false, "suffix" : "" }, { "dropping-particle" : "", "family" : "Gherri", "given" : "Elena", "non-dropping-particle" : "", "parse-names" : false, "suffix" : "" }, { "dropping-particle" : "", "family" : "Press", "given" : "Clare", "non-dropping-particle" : "", "parse-names" : false, "suffix" : "" } ], "container-title" : "Brain research", "id" : "ITEM-1", "issued" : { "date-parts" : [ [ "2006" ] ] }, "page" : "7-19", "title" : "Manual response preparation and saccade programming are linked to attention shifts : ERP evidence for covert attentional orienting and spatially specific modulations of visual processing", "type" : "article-journal", "volume" : "1105" }, "uris" : [ "http://www.mendeley.com/documents/?uuid=74da3468-eff9-4394-9157-351d2faeb4c1" ] } ], "mendeley" : { "previouslyFormattedCitation" : "(Eimer, Van Velzen, Gherri, &amp; Press, 2006)" }, "properties" : { "noteIndex" : 0 }, "schema" : "https://github.com/citation-style-language/schema/raw/master/csl-citation.json" }</w:instrText>
      </w:r>
      <w:r w:rsidRPr="006769D4">
        <w:fldChar w:fldCharType="separate"/>
      </w:r>
      <w:r w:rsidRPr="006769D4">
        <w:rPr>
          <w:noProof/>
        </w:rPr>
        <w:t>(Eimer, Van Velzen, Gherri, &amp; Press, 2006)</w:t>
      </w:r>
      <w:r w:rsidRPr="006769D4">
        <w:fldChar w:fldCharType="end"/>
      </w:r>
      <w:r>
        <w:t xml:space="preserve">, </w:t>
      </w:r>
      <w:r w:rsidRPr="006769D4">
        <w:t>effects highly reminiscent of th</w:t>
      </w:r>
      <w:r>
        <w:t xml:space="preserve">ose </w:t>
      </w:r>
      <w:r w:rsidRPr="006769D4">
        <w:t xml:space="preserve">observed in tasks involving cued spatial attention </w:t>
      </w:r>
      <w:r w:rsidRPr="006769D4">
        <w:fldChar w:fldCharType="begin" w:fldLock="1"/>
      </w:r>
      <w:r w:rsidR="00173758">
        <w:instrText>ADDIN CSL_CITATION { "citationItems" : [ { "id" : "ITEM-1", "itemData" : { "author" : [ { "dropping-particle" : "", "family" : "Mangun", "given" : "G.R.", "non-dropping-particle" : "", "parse-names" : false, "suffix" : "" }, { "dropping-particle" : "", "family" : "Buck", "given" : "L.A.", "non-dropping-particle" : "", "parse-names" : false, "suffix" : "" } ], "container-title" : "Neuropsychologia", "id" : "ITEM-1", "issue" : "3", "issued" : { "date-parts" : [ [ "1998" ] ] }, "page" : "189\u2013200", "publisher" : "Elsevier", "title" : "Sustained visual-spatial attention produces costs and benefits in response time and evoked neural activity", "type" : "article-journal", "volume" : "36" }, "uris" : [ "http://www.mendeley.com/documents/?uuid=afdb604f-711c-4f43-9495-e1e9c021b9c4" ] } ], "mendeley" : { "manualFormatting" : "(e.g. Mangun &amp; Buck, 1998)", "previouslyFormattedCitation" : "(Mangun &amp; Buck, 1998)" }, "properties" : { "noteIndex" : 0 }, "schema" : "https://github.com/citation-style-language/schema/raw/master/csl-citation.json" }</w:instrText>
      </w:r>
      <w:r w:rsidRPr="006769D4">
        <w:fldChar w:fldCharType="separate"/>
      </w:r>
      <w:r w:rsidRPr="006769D4">
        <w:rPr>
          <w:noProof/>
        </w:rPr>
        <w:t>(e.g. Mangun &amp; Buck, 1998)</w:t>
      </w:r>
      <w:r w:rsidRPr="006769D4">
        <w:fldChar w:fldCharType="end"/>
      </w:r>
      <w:r w:rsidRPr="006769D4">
        <w:t xml:space="preserve">. </w:t>
      </w:r>
      <w:r>
        <w:t>Similar approaches</w:t>
      </w:r>
      <w:r w:rsidRPr="006769D4">
        <w:t xml:space="preserve"> have more recently been applied to</w:t>
      </w:r>
      <w:r>
        <w:t xml:space="preserve"> </w:t>
      </w:r>
      <w:r w:rsidRPr="006769D4">
        <w:t>manual movement</w:t>
      </w:r>
      <w:r>
        <w:t>s. E</w:t>
      </w:r>
      <w:r w:rsidRPr="006769D4">
        <w:t xml:space="preserve">nhanced processing at goal locations has been demonstrated during the preparation of pointing </w:t>
      </w:r>
      <w:r w:rsidRPr="006769D4">
        <w:fldChar w:fldCharType="begin" w:fldLock="1"/>
      </w:r>
      <w:r w:rsidR="00173758">
        <w:instrText>ADDIN CSL_CITATION { "citationItems" : [ { "id" : "ITEM-1", "itemData" : { "author" : [ { "dropping-particle" : "", "family" : "Deubel", "given" : "H", "non-dropping-particle" : "", "parse-names" : false, "suffix" : "" }, { "dropping-particle" : "", "family" : "Schneider", "given" : "WX", "non-dropping-particle" : "", "parse-names" : false, "suffix" : "" }, { "dropping-particle" : "", "family" : "Paprotta", "given" : "I", "non-dropping-particle" : "", "parse-names" : false, "suffix" : "" } ], "container-title" : "Visual Cognition", "id" : "ITEM-1", "issue" : "1/2", "issued" : { "date-parts" : [ [ "1998" ] ] }, "page" : "81-107", "title" : "Selective dorsal and ventral processing: Evidence for a common attentional mechanism in reaching and perception", "type" : "article-journal", "volume" : "5" }, "uris" : [ "http://www.mendeley.com/documents/?uuid=a3297684-c2c5-43ff-a9d8-559c8239c619" ] }, { "id" : "ITEM-2", "itemData" : { "DOI" : "10.1016/j.visres.2007.11.023", "ISSN" : "0042-6989", "PMID" : "18206205", "abstract" : "We investigated the deployment of visual attention during the preparation of bimanually coordinated actions. In a dual-task paradigm participants had to execute bimanual pointing movements to different peripheral locations, and to identify target letters that had been briefly presented at various peripheral locations during the latency period before movement initialisation. The discrimination targets appeared either at the movement goal of the left or the right hand, or at other locations that were not movement-relevant in the particular trial. Performance in the letter discrimination task served as a measure for the distribution of visual attention during the action preparation. The results showed that the goal positions of both hands are selected before movement onset, revealing a superior discrimination performance at the action-relevant locations (Experiment 1). Selection-for-action in the preparation of bimanual movements involved attention being spread to both goal locations in parallel, independently of whether the targets had been cued by colour or semantically (Experiment 2). A comparison with perceptual performance in unimanual reaching suggested that the total amount of attentional resources that are distributed over the visual field depended on the demands of the primary motor task, with more attentional resources being deployed for the selection of multiple goal positions than for the selection of a single goal (Experiment 3).", "author" : [ { "dropping-particle" : "", "family" : "Baldauf", "given" : "D", "non-dropping-particle" : "", "parse-names" : false, "suffix" : "" }, { "dropping-particle" : "", "family" : "Deubel", "given" : "H", "non-dropping-particle" : "", "parse-names" : false, "suffix" : "" } ], "container-title" : "Vision research", "id" : "ITEM-2", "issue" : "4", "issued" : { "date-parts" : [ [ "2008", "3" ] ] }, "page" : "549-63", "title" : "Visual attention during the preparation of bimanual movements.", "type" : "article-journal", "volume" : "48" }, "uris" : [ "http://www.mendeley.com/documents/?uuid=5e45e359-62ec-46ea-9ffa-977999219f69" ] } ], "mendeley" : { "previouslyFormattedCitation" : "(Baldauf &amp; Deubel, 2008b; Deubel, Schneider, &amp; Paprotta, 1998)" }, "properties" : { "noteIndex" : 0 }, "schema" : "https://github.com/citation-style-language/schema/raw/master/csl-citation.json" }</w:instrText>
      </w:r>
      <w:r w:rsidRPr="006769D4">
        <w:fldChar w:fldCharType="separate"/>
      </w:r>
      <w:r w:rsidR="00CA34D1" w:rsidRPr="00CA34D1">
        <w:rPr>
          <w:noProof/>
        </w:rPr>
        <w:t>(Baldauf &amp; Deubel, 2008b; Deubel, Schneider, &amp; Paprotta, 1998)</w:t>
      </w:r>
      <w:r w:rsidRPr="006769D4">
        <w:fldChar w:fldCharType="end"/>
      </w:r>
      <w:r w:rsidRPr="006769D4">
        <w:t xml:space="preserve">, reaching </w:t>
      </w:r>
      <w:r w:rsidRPr="006769D4">
        <w:fldChar w:fldCharType="begin" w:fldLock="1"/>
      </w:r>
      <w:r w:rsidR="00173758">
        <w:instrText>ADDIN CSL_CITATION { "citationItems" : [ { "id" : "ITEM-1", "itemData" : { "DOI" : "10.1016/j.visres.2006.08.021", "ISSN" : "0042-6989", "PMID" : "17034829", "abstract" : "We examined the allocation of attention during the preparation of sequences of manual pointing movements in a dual task paradigm. As the primary task, the participants had to perform a sequence of two or three reaching movements to targets arranged on a clock face. The secondary task was a 2AFC discrimination task in which a discrimination target (digital 'E' or '3') was presented among distractors either at one of the movement goals or at any other position. The data show that discrimination performance is superior at the location of all movement targets while it is close to chance at the positions that were not relevant for the movement. Moreover, our findings demonstrate that all movement-relevant locations are selected in parallel rather than serially in time, and that selection involves spatially distinct, non-contiguous foci of visual attention. We conclude that during movement preparation--well before the actual execution of the hand movement--attention is allocated in parallel to each of the individual movement targets.", "author" : [ { "dropping-particle" : "", "family" : "Baldauf", "given" : "D", "non-dropping-particle" : "", "parse-names" : false, "suffix" : "" }, { "dropping-particle" : "", "family" : "Wolf", "given" : "Martin", "non-dropping-particle" : "", "parse-names" : false, "suffix" : "" }, { "dropping-particle" : "", "family" : "Deubel", "given" : "H", "non-dropping-particle" : "", "parse-names" : false, "suffix" : "" } ], "container-title" : "Vision research", "id" : "ITEM-1", "issue" : "26", "issued" : { "date-parts" : [ [ "2006", "12" ] ] }, "page" : "4355-74", "title" : "Deployment of visual attention before sequences of goal-directed hand movements.", "type" : "article-journal", "volume" : "46" }, "uris" : [ "http://www.mendeley.com/documents/?uuid=1f0e4b22-cc62-4740-90b5-14d6dff77b27" ] }, { "id" : "ITEM-2", "itemData" : { "author" : [ { "dropping-particle" : "", "family" : "Baldauf", "given" : "D", "non-dropping-particle" : "", "parse-names" : false, "suffix" : "" }, { "dropping-particle" : "", "family" : "Deubel", "given" : "H", "non-dropping-particle" : "", "parse-names" : false, "suffix" : "" } ], "container-title" : "Journal of Cognitive Neuroscience", "id" : "ITEM-2", "issued" : { "date-parts" : [ [ "2008" ] ] }, "page" : "18-29", "title" : "Attentional Selection of Multiple Goal Positions Before Rapid Hand Movement Sequences : An Event-related Potential Study", "type" : "article-journal" }, "uris" : [ "http://www.mendeley.com/documents/?uuid=8c754fc8-108a-4a46-ba6d-f3046589068e" ] } ], "mendeley" : { "previouslyFormattedCitation" : "(Baldauf &amp; Deubel, 2008a; Baldauf, Wolf, &amp; Deubel, 2006)" }, "properties" : { "noteIndex" : 0 }, "schema" : "https://github.com/citation-style-language/schema/raw/master/csl-citation.json" }</w:instrText>
      </w:r>
      <w:r w:rsidRPr="006769D4">
        <w:fldChar w:fldCharType="separate"/>
      </w:r>
      <w:r w:rsidR="00CA34D1" w:rsidRPr="00CA34D1">
        <w:rPr>
          <w:noProof/>
        </w:rPr>
        <w:t>(Baldauf &amp; Deubel, 2008a; Baldauf, Wolf, &amp; Deubel, 2006)</w:t>
      </w:r>
      <w:r w:rsidRPr="006769D4">
        <w:fldChar w:fldCharType="end"/>
      </w:r>
      <w:r w:rsidRPr="006769D4">
        <w:t xml:space="preserve"> and grasping </w:t>
      </w:r>
      <w:r w:rsidRPr="006769D4">
        <w:fldChar w:fldCharType="begin" w:fldLock="1"/>
      </w:r>
      <w:r w:rsidR="00173758">
        <w:instrText>ADDIN CSL_CITATION { "citationItems" : [ { "id" : "ITEM-1", "itemData" : { "DOI" : "10.1080/13506280244000140", "author" : [ { "dropping-particle" : "", "family" : "Schiegg", "given" : "Andreas", "non-dropping-particle" : "", "parse-names" : false, "suffix" : "" }, { "dropping-particle" : "", "family" : "Deubel", "given" : "H", "non-dropping-particle" : "", "parse-names" : false, "suffix" : "" }, { "dropping-particle" : "", "family" : "Schneider", "given" : "WX", "non-dropping-particle" : "", "parse-names" : false, "suffix" : "" } ], "container-title" : "Visual Cognition", "id" : "ITEM-1", "issue" : "4", "issued" : { "date-parts" : [ [ "2003" ] ] }, "page" : "409-432", "title" : "Attentional selection during preparation of prehension movements", "type" : "article-journal", "volume" : "10" }, "uris" : [ "http://www.mendeley.com/documents/?uuid=5542a69b-6c3b-49c8-9570-6d7a3e785b2e" ] }, { "id" : "ITEM-2", "itemData" : { "DOI" : "10.1007/s00221-011-2980-9", "ISSN" : "1432-1106", "PMID" : "22198529", "abstract" : "We investigated the choice of contact points during multidigit grasping of different objects. In Experiment 1, cylinders were grasped and lifted. Participants were either instructed as to the number of fingers they should use, ranging from a two-finger grasp to a five-finger grasp, or could grasp with their preferred number of fingers. We found a strong relationship between the position of the fingertips on the object and the number of fingers used. In general, variability in the choice of contact points was low within- as well as between participants. The virtual finger, defined as the geometric mean position of fingers opposing the thumb, was in almost perfect opposition to the thumb, suggesting the formation of a functional unit using all contributing fingers in the grasp. In Experiment 2, four more complex shapes (rectangle, hexagon, pentagon, curved object) were grasped. Although we found some moderate between-participant variability in the choice of contact points, the within-participant variability was again remarkably low. In both experiments, participants showed a strong preference to use four or five fingers during grasping when left with free choice. Taken together, our findings suggest a preplanning of the grasping movement and that grasping results from a coordinated interplay between the fingers contributing to the grasp that cannot be understood as independent digit movements.", "author" : [ { "dropping-particle" : "", "family" : "Gilster", "given" : "Ren\u00e9", "non-dropping-particle" : "", "parse-names" : false, "suffix" : "" }, { "dropping-particle" : "", "family" : "Hesse", "given" : "Constanze", "non-dropping-particle" : "", "parse-names" : false, "suffix" : "" }, { "dropping-particle" : "", "family" : "Deubel", "given" : "H", "non-dropping-particle" : "", "parse-names" : false, "suffix" : "" } ], "container-title" : "Experimental brain research. Experimentelle Hirnforschung. Exp\u00e9rimentation c\u00e9r\u00e9brale", "id" : "ITEM-2", "issue" : "1", "issued" : { "date-parts" : [ [ "2012", "3" ] ] }, "page" : "137-51", "title" : "Contact points during multidigit grasping of geometric objects.", "type" : "article-journal", "volume" : "217" }, "uris" : [ "http://www.mendeley.com/documents/?uuid=091ad00f-d8cf-4929-88f5-9d3f46397fb7" ] } ], "mendeley" : { "previouslyFormattedCitation" : "(Gilster, Hesse, &amp; Deubel, 2012; Schiegg, Deubel, &amp; Schneider, 2003)" }, "properties" : { "noteIndex" : 0 }, "schema" : "https://github.com/citation-style-language/schema/raw/master/csl-citation.json" }</w:instrText>
      </w:r>
      <w:r w:rsidRPr="006769D4">
        <w:fldChar w:fldCharType="separate"/>
      </w:r>
      <w:r w:rsidRPr="006769D4">
        <w:rPr>
          <w:noProof/>
        </w:rPr>
        <w:t>(Gilster, Hesse, &amp; Deubel, 2012; Schiegg, Deubel, &amp; Schneider, 2003)</w:t>
      </w:r>
      <w:r w:rsidRPr="006769D4">
        <w:fldChar w:fldCharType="end"/>
      </w:r>
      <w:r w:rsidRPr="006769D4">
        <w:t xml:space="preserve"> </w:t>
      </w:r>
      <w:r>
        <w:t>movements</w:t>
      </w:r>
      <w:r w:rsidRPr="006769D4">
        <w:t xml:space="preserve">. </w:t>
      </w:r>
    </w:p>
    <w:p w14:paraId="70CE03C9" w14:textId="3DA11F2F" w:rsidR="007E1F67" w:rsidRPr="006769D4" w:rsidRDefault="007E1F67" w:rsidP="00E36099">
      <w:r w:rsidRPr="006769D4">
        <w:t xml:space="preserve">Further, lateralisation of event-related potentials (ERP) elicited in response to </w:t>
      </w:r>
      <w:r>
        <w:t xml:space="preserve">spatial </w:t>
      </w:r>
      <w:r w:rsidRPr="006769D4">
        <w:t>cue</w:t>
      </w:r>
      <w:r>
        <w:t>s</w:t>
      </w:r>
      <w:r w:rsidRPr="006769D4">
        <w:t xml:space="preserve"> that are thought to represent the operation of a </w:t>
      </w:r>
      <w:proofErr w:type="spellStart"/>
      <w:r w:rsidRPr="006769D4">
        <w:t>frontoparietal</w:t>
      </w:r>
      <w:proofErr w:type="spellEnd"/>
      <w:r w:rsidRPr="006769D4">
        <w:t xml:space="preserve"> attentional control network </w:t>
      </w:r>
      <w:r w:rsidR="008F2D3C" w:rsidRPr="006769D4">
        <w:t xml:space="preserve">(ADAN, LDAP, </w:t>
      </w:r>
      <w:r w:rsidR="008F2D3C" w:rsidRPr="006769D4">
        <w:fldChar w:fldCharType="begin" w:fldLock="1"/>
      </w:r>
      <w:r w:rsidR="00173758">
        <w:instrText>ADDIN CSL_CITATION { "citationItems" : [ { "id" : "ITEM-1", "itemData" : { "ISSN" : "0028-3932", "PMID" : "10775707", "abstract" : "We developed a behavioral task for spatial orienting of attention in which the same physical stimulus cued covert peripheral shifts of attention to either the left or the right visual fields in different conditions. The design enabled us to record the brain activity engaged during spatial shifts of covert attention that was independent from the physical characteristics of the cueing stimulus using event-related potentials (ERPs). ERPs elicited by foveal cues differed according to the predicted target location starting ca. 160 ms, and differences persisted until the occurrence of the target stimuli. Multiple processes were linked to shifting spatial attention during the cue-target interval. The earliest effects consisted of enhanced negative potentials over the posterior scalp contralateral to the cued location. Later effects were concentrated over the right anterior scalp sites, where activity associated with shifts to the right visual field elicited larger positive potentials. The results extend our understanding of the neural system that orients spatial attention by providing valuable information about the temporal dynamics and hemispheric asymmetries of activity within its posterior and anterior regions.", "author" : [ { "dropping-particle" : "", "family" : "Nobre", "given" : "A.C.", "non-dropping-particle" : "", "parse-names" : false, "suffix" : "" }, { "dropping-particle" : "", "family" : "Sebestyen", "given" : "G.N.", "non-dropping-particle" : "", "parse-names" : false, "suffix" : "" }, { "dropping-particle" : "", "family" : "Miniussi", "given" : "C.", "non-dropping-particle" : "", "parse-names" : false, "suffix" : "" } ], "container-title" : "Neuropsychologia", "id" : "ITEM-1", "issue" : "7", "issued" : { "date-parts" : [ [ "2000", "1" ] ] }, "page" : "964-74", "title" : "The dynamics of shifting visuospatial attention revealed by event-related potentials.", "type" : "article-journal", "volume" : "38" }, "uris" : [ "http://www.mendeley.com/documents/?uuid=1332769b-01ae-4ea7-bdaa-7add6a44859c" ] }, { "id" : "ITEM-2", "itemData" : { "ISSN" : "1388-2457", "PMID" : "10880800", "abstract" : "Evidence from cortical electrophysiology and functional imaging converges on the view that visual spatial selective attention results in a facilitation of early sensory processing in visual cortical structures. Little is known, however, about the neural control processes that lead to this facilitation. The present study was aimed at further investigating these control processes and their neural correlates by analyzing high spatial resolution maps of brain activity that were evoked by attention-directing cues, but occurred prior to presentation of the target stimulus.", "author" : [ { "dropping-particle" : "", "family" : "Hopf", "given" : "J M", "non-dropping-particle" : "", "parse-names" : false, "suffix" : "" }, { "dropping-particle" : "", "family" : "Mangun", "given" : "G R", "non-dropping-particle" : "", "parse-names" : false, "suffix" : "" } ], "container-title" : "Clinical neurophysiology : official journal of the International Federation of Clinical Neurophysiology", "id" : "ITEM-2", "issue" : "7", "issued" : { "date-parts" : [ [ "2000", "7" ] ] }, "page" : "1241-57", "title" : "Shifting visual attention in space: an electrophysiological analysis using high spatial resolution mapping.", "type" : "article-journal", "volume" : "111" }, "uris" : [ "http://www.mendeley.com/documents/?uuid=d998bc6b-1bc1-487a-8595-05c02278f406" ] }, { "id" : "ITEM-3", "itemData" : { "DOI" : "10.1017.S0048577201393162", "ISSN" : "0048-5772", "PMID" : "12212636", "abstract" : "Crossmodal links in spatial attention were studied in an experiment where participants had to detect peripheral tactile or visual targets on the attended side, while ignoring all stimuli on the unattended side and in the currently irrelevant modality. Both relevant locations and relevant modalities were specified on a trial-by-trial basis by auditory precues. Spatial orienting in the cue-target interval was reflected in anterior negativities and occipital positivities contralateral to the cued side, either when vision or touch was cued as relevant. These effects resembled previously reported ERP modulations during shifts of visual attention, implicating supramodal mechanisms in the control of spatial attention and demonstrating their independence of cue modality. Early effects of spatial attention on somatosensory and visual ERPs were of equivalent size for currently relevant and irrelevant modalities. Results support the idea that crossmodal links in spatial attention are mediated by supramodal control mechanisms.", "author" : [ { "dropping-particle" : "", "family" : "Eimer", "given" : "M", "non-dropping-particle" : "", "parse-names" : false, "suffix" : "" }, { "dropping-particle" : "", "family" : "Velzen", "given" : "Jos\u00e9", "non-dropping-particle" : "Van", "parse-names" : false, "suffix" : "" } ], "container-title" : "Psychophysiology", "id" : "ITEM-3", "issue" : "4", "issued" : { "date-parts" : [ [ "2002", "7" ] ] }, "page" : "437-49", "title" : "Crossmodal links in spatial attention are mediated by supramodal control processes: evidence from event-related potentials.", "type" : "article-journal", "volume" : "39" }, "uris" : [ "http://www.mendeley.com/documents/?uuid=a7ecbc4a-6049-4106-b4ed-d293b00efb13" ] } ], "mendeley" : { "manualFormatting" : "Eimer &amp; Van Velzen, 2002; Hopf &amp; Mangun, 2000; Nobre, Sebestyen, &amp; Miniussi, 2000", "previouslyFormattedCitation" : "(Eimer &amp; Van Velzen, 2002; Hopf &amp; Mangun, 2000; Nobre, Sebestyen, &amp; Miniussi, 2000)" }, "properties" : { "noteIndex" : 0 }, "schema" : "https://github.com/citation-style-language/schema/raw/master/csl-citation.json" }</w:instrText>
      </w:r>
      <w:r w:rsidR="008F2D3C" w:rsidRPr="006769D4">
        <w:fldChar w:fldCharType="separate"/>
      </w:r>
      <w:r w:rsidR="008F2D3C" w:rsidRPr="006769D4">
        <w:rPr>
          <w:noProof/>
        </w:rPr>
        <w:t>Eimer &amp; Van Velzen, 2002; Hopf &amp; Mangun, 2000; Nobre, Sebestyen, &amp; Miniussi, 2000</w:t>
      </w:r>
      <w:r w:rsidR="008F2D3C" w:rsidRPr="006769D4">
        <w:fldChar w:fldCharType="end"/>
      </w:r>
      <w:r w:rsidR="008F2D3C" w:rsidRPr="006769D4">
        <w:t xml:space="preserve">) </w:t>
      </w:r>
      <w:r w:rsidRPr="006769D4">
        <w:t xml:space="preserve">have been observed when shifting spatial attention </w:t>
      </w:r>
      <w:r w:rsidRPr="006769D4">
        <w:fldChar w:fldCharType="begin" w:fldLock="1"/>
      </w:r>
      <w:r w:rsidR="00173758">
        <w:instrText>ADDIN CSL_CITATION { "citationItems" : [ { "id" : "ITEM-1", "itemData" : { "DOI" : "10.1017/S0048577202020140", "ISSN" : "0048-5772", "PMID" : "12462516", "abstract" : "To investigate the temporal dynamics of lateralized event-related brain potential (ERP) components elicited during covert shifts of spatial attention, ERPs were recorded in a task where central visual symbolic cues instructed participants to direct attention to their left or right hand in order to detect infrequent tactile targets presented to that hand, and to ignore tactile stimuli presented to the other hand, as well as all randomly intermingled peripheral visual stimuli. In different blocks, the stimulus onset asynchrony (SOA) between cue and target was 300 ms, 700 ms, or 1,100 ms. Anterior and posterior ERP modulations sensitive to the direction of an attentional shift were time-locked to the attentional cue, rather than to the anticipated arrival of a task-relevant stimulus. These components thus appear to reflect central attentional control rather than the anticipatory preparation of sensory areas. In addition, attentional modulations of ERPs to task-irrelevant visual stimuli were found, providing further evidence for crossmodal links in spatial attention between touch and vision.", "author" : [ { "dropping-particle" : "", "family" : "Velzen", "given" : "Jos\u00e9", "non-dropping-particle" : "Van", "parse-names" : false, "suffix" : "" }, { "dropping-particle" : "", "family" : "Forster", "given" : "B", "non-dropping-particle" : "", "parse-names" : false, "suffix" : "" }, { "dropping-particle" : "", "family" : "Eimer", "given" : "M", "non-dropping-particle" : "", "parse-names" : false, "suffix" : "" } ], "container-title" : "Psychophysiology", "id" : "ITEM-1", "issue" : "6", "issued" : { "date-parts" : [ [ "2002", "11" ] ] }, "page" : "874-8", "title" : "Temporal dynamics of lateralized ERP components elicited during endogenous attentional shifts to relevant tactile events.", "type" : "article-journal", "volume" : "39" }, "uris" : [ "http://www.mendeley.com/documents/?uuid=1420638d-c35f-402e-9acb-16582c2f5e31" ] }, { "id" : "ITEM-2", "itemData" : { "DOI" : "10.1017.S0048577201393162", "ISSN" : "0048-5772", "PMID" : "12212636", "abstract" : "Crossmodal links in spatial attention were studied in an experiment where participants had to detect peripheral tactile or visual targets on the attended side, while ignoring all stimuli on the unattended side and in the currently irrelevant modality. Both relevant locations and relevant modalities were specified on a trial-by-trial basis by auditory precues. Spatial orienting in the cue-target interval was reflected in anterior negativities and occipital positivities contralateral to the cued side, either when vision or touch was cued as relevant. These effects resembled previously reported ERP modulations during shifts of visual attention, implicating supramodal mechanisms in the control of spatial attention and demonstrating their independence of cue modality. Early effects of spatial attention on somatosensory and visual ERPs were of equivalent size for currently relevant and irrelevant modalities. Results support the idea that crossmodal links in spatial attention are mediated by supramodal control mechanisms.", "author" : [ { "dropping-particle" : "", "family" : "Eimer", "given" : "M", "non-dropping-particle" : "", "parse-names" : false, "suffix" : "" }, { "dropping-particle" : "", "family" : "Velzen", "given" : "Jos\u00e9", "non-dropping-particle" : "Van", "parse-names" : false, "suffix" : "" } ], "container-title" : "Psychophysiology", "id" : "ITEM-2", "issue" : "4", "issued" : { "date-parts" : [ [ "2002", "7" ] ] }, "page" : "437-49", "title" : "Crossmodal links in spatial attention are mediated by supramodal control processes: evidence from event-related potentials.", "type" : "article-journal", "volume" : "39" }, "uris" : [ "http://www.mendeley.com/documents/?uuid=a7ecbc4a-6049-4106-b4ed-d293b00efb13" ] } ], "mendeley" : { "previouslyFormattedCitation" : "(Eimer &amp; Van Velzen, 2002; Van Velzen, Forster, &amp; Eimer, 2002)" }, "properties" : { "noteIndex" : 0 }, "schema" : "https://github.com/citation-style-language/schema/raw/master/csl-citation.json" }</w:instrText>
      </w:r>
      <w:r w:rsidRPr="006769D4">
        <w:fldChar w:fldCharType="separate"/>
      </w:r>
      <w:r w:rsidRPr="006769D4">
        <w:rPr>
          <w:noProof/>
        </w:rPr>
        <w:t>(Eimer &amp; Van Velzen, 2002; Van Velzen, Forster, &amp; Eimer, 2002)</w:t>
      </w:r>
      <w:r w:rsidRPr="006769D4">
        <w:fldChar w:fldCharType="end"/>
      </w:r>
      <w:r w:rsidRPr="006769D4">
        <w:t xml:space="preserve"> but also when preparing saccades </w:t>
      </w:r>
      <w:r w:rsidRPr="006769D4">
        <w:fldChar w:fldCharType="begin" w:fldLock="1"/>
      </w:r>
      <w:r w:rsidR="00173758">
        <w:instrText>ADDIN CSL_CITATION { "citationItems" : [ { "id" : "ITEM-1", "itemData" : { "DOI" : "10.1016/j.brainres.2006.12.007", "ISSN" : "0006-8993", "PMID" : "17198687", "abstract" : "We investigated whether attention shifts and eye movement preparation are mediated by shared control mechanisms, as claimed by the premotor theory of attention. ERPs were recorded in three tasks where directional cues presented at the beginning of each trial instructed participants to direct their attention to the cued side without eye movements (Covert task), to prepare an eye movement in the cued direction without attention shifts (Saccade task) or both (Combined task). A peripheral visual Go/Nogo stimulus that was presented 800 ms after cue onset signalled whether responses had to be executed or withheld. Lateralised ERP components triggered during the cue-target interval, which are assumed to reflect preparatory control mechanisms that mediate attentional orienting, were very similar across tasks. They were also present in the Saccade task, which was designed to discourage any concomitant covert attention shifts. These results support the hypothesis that saccade preparation and attentional orienting are implemented by common control structures. There were however systematic differences in the impact of eye movement programming and covert attention on ERPs triggered in response to visual stimuli at cued versus uncued locations. It is concluded that, although the preparatory processes underlying saccade programming and covert attentional orienting may be based on common mechanisms, they nevertheless differ in their spatially specific effects on visual information processing.", "author" : [ { "dropping-particle" : "", "family" : "Eimer", "given" : "M", "non-dropping-particle" : "", "parse-names" : false, "suffix" : "" }, { "dropping-particle" : "", "family" : "Velzen", "given" : "Jos\u00e9", "non-dropping-particle" : "Van", "parse-names" : false, "suffix" : "" }, { "dropping-particle" : "", "family" : "Gherri", "given" : "Elena", "non-dropping-particle" : "", "parse-names" : false, "suffix" : "" }, { "dropping-particle" : "", "family" : "Press", "given" : "Clare", "non-dropping-particle" : "", "parse-names" : false, "suffix" : "" } ], "container-title" : "Brain research", "id" : "ITEM-1", "issue" : "1", "issued" : { "date-parts" : [ [ "2007", "3", "2" ] ] }, "page" : "154-66", "title" : "ERP correlates of shared control mechanisms involved in saccade preparation and in covert attention.", "type" : "article-journal", "volume" : "1135" }, "uris" : [ "http://www.mendeley.com/documents/?uuid=b055cf6f-6795-4bdc-a669-3eabf700d5e6" ] }, { "id" : "ITEM-2", "itemData" : { "DOI" : "10.1016/j.clinph.2008.07.214", "ISSN" : "1388-2457", "PMID" : "18786857", "abstract" : "OBJECTIVE: We investigated whether the covert preparation of saccadic eye movements results in spatially specific modulations of somatosensory processing. METHODS: ERPs were recorded in a spatial cueing experiment where auditory cues preceded tactile stimuli delivered to the left or right hand. In the Saccade task, cues signalled that an eye movement towards the left or right hand had to be prepared. In the Covert Attention task, cues signalled the direction of a covert shift of tactile attention. RESULTS: A lateralized component previously observed during cued shifts of spatial attention (ADAN) was elicited in the cue-target interval in both tasks. The somatosensory N140 component was enhanced for tactile stimuli presented to the hand on the cued side. This modulation was present not just in the Covert Attention task, but also in the Saccade task. Longer-latency effects of spatial cueing were only present in the Covert Attention task. CONCLUSIONS: Covert shifts of attention and saccade preparation have similar effects on early stages of tactile processing, suggesting that both are mediated by overlapping control processes. SIGNIFICANCE: These findings support the premotor theory of attention by demonstrating that the programming of eye movements has spatially selective effects on somatosensory processing.", "author" : [ { "dropping-particle" : "", "family" : "Gherri", "given" : "Elena", "non-dropping-particle" : "", "parse-names" : false, "suffix" : "" }, { "dropping-particle" : "", "family" : "Eimer", "given" : "M", "non-dropping-particle" : "", "parse-names" : false, "suffix" : "" } ], "container-title" : "Clinical neurophysiology : official journal of the International Federation of Clinical Neurophysiology", "id" : "ITEM-2", "issue" : "11", "issued" : { "date-parts" : [ [ "2008", "11" ] ] }, "page" : "2587-97", "publisher" : "International Federation of Clinical Neurophysiology", "title" : "Links between eye movement preparation and the attentional processing of tactile events: an event-related brain potential study.", "type" : "article-journal", "volume" : "119" }, "uris" : [ "http://www.mendeley.com/documents/?uuid=227f5d70-de1b-4344-9e45-e1720e7639f3" ] }, { "id" : "ITEM-3", "itemData" : { "DOI" : "10.1016/j.brainres.2005.11.087", "ISSN" : "0006-8993", "PMID" : "16427618", "abstract" : "Recent brain imaging studies provided evidence that the brain areas involved with attentional orienting and the preparation of saccades largely overlap, which may indicate that focusing attention at a specific location can be considered as an unexecuted saccade towards that location (i.e. the premotor theory of attention). Alternatively, it may be proposed that attentional orienting is simply relevant for preparing saccades, but the two processes may also be completely unrelated. In two experiments, we examined temporal activation of brain areas by measuring the electroencephalogram. Central cues indicated the likely side (left or right) at which a to-be-attended target would occur, or to which a saccade had to be prepared. Cue direction-related activity was determined, time-locked to cue onset. In addition, in our second experiment, delayed saccades had to be carried out, which allows to focus on processes strongly related to saccade execution. In nearly all tasks, an early directing attention negativity (EDAN), an anterior directing attention negativity (ADAN), and a late directing attention positivity (LDAP) were observed, time-locked to cue onset. Source analyses supported the view that this activity probably originates from areas within the ventral intraparietal sulcus (vIPS) and the frontal eye fields (FEF). The saccade-locked analysis also indicated that the FEF plays an important role in triggering saccades, but the role of vIPS appears to be minimal. The latter finding disfavors the premotor theory of attention, as it suggests that the relation between attention and action is less direct.", "author" : [ { "dropping-particle" : "", "family" : "Lubbe", "given" : "Rob H J", "non-dropping-particle" : "van der", "parse-names" : false, "suffix" : "" }, { "dropping-particle" : "", "family" : "Neggers", "given" : "Sebastiaan F W", "non-dropping-particle" : "", "parse-names" : false, "suffix" : "" }, { "dropping-particle" : "", "family" : "Verleger", "given" : "Rolf", "non-dropping-particle" : "", "parse-names" : false, "suffix" : "" }, { "dropping-particle" : "", "family" : "Kenemans", "given" : "J Leon", "non-dropping-particle" : "", "parse-names" : false, "suffix" : "" } ], "container-title" : "Brain research", "id" : "ITEM-3", "issue" : "1", "issued" : { "date-parts" : [ [ "2006", "2", "9" ] ] }, "page" : "133-52", "title" : "Spatiotemporal overlap between brain activation related to saccade preparation and attentional orienting.", "type" : "article-journal", "volume" : "1072" }, "uris" : [ "http://www.mendeley.com/documents/?uuid=35765897-f9f7-4acc-986b-31463b8a9dbd" ] }, { "id" : "ITEM-4", "itemData" : { "ISSN" : "0022-3077", "PMID" : "9862894", "abstract" : "Lateralized human cortical activity for shifting visuospatial attention and initiating saccades. J. Neurophysiol. 80: 2900-2910, 1998. The relation between shifts of visual attention and saccade preparation was investigated by studying their electrophysiological correlates in human scalp-recorded electroencephalogram (EEG). Participants had to make saccades either to a saliently colored or to a gray circle, simultaneously presented in opposite visual hemifields, under different task instructions. EEG was measured within the short interval between stimulus onset and saccade, focusing on lateralized activity, contralateral either to the side of the relevant stimulus or to the direction of the saccade. Three components of lateralization were found: 1) activity contralateral to the relevant stimulus irrespective of saccade direction, peaking 250 ms after stimulus onset, largest above lateral parietal sites, 2) activity contralateral to the relevant stimulus if the stimulus was also the target of the saccade, largest 330-480 ms after stimulus onset, widespread over the scalp but with a focus again above lateral parietal sites, and 3) activity contralateral to saccade direction, beginning about 100 ms before the saccade, largest above mesial parietal sites, with some task-dependent fronto-central contribution. Because of their sensitivity to task variables, component 1 is interpreted as the shifting of attention to the relevant stimulus, component 2 is interpreted as reflecting the enhancement of the attentional shift if the relevant stimulus is also the saccade target, and component 3 is interpreted as the triggering signal for saccade execution. Thus human neurophysiological data provided evidence both for independent and interdependent processes of saccade preparation and shifts of visual attention.", "author" : [ { "dropping-particle" : "", "family" : "Wauschkuhn", "given" : "B", "non-dropping-particle" : "", "parse-names" : false, "suffix" : "" }, { "dropping-particle" : "", "family" : "Verleger", "given" : "R", "non-dropping-particle" : "", "parse-names" : false, "suffix" : "" }, { "dropping-particle" : "", "family" : "Wascher", "given" : "E", "non-dropping-particle" : "", "parse-names" : false, "suffix" : "" }, { "dropping-particle" : "", "family" : "Klostermann", "given" : "W", "non-dropping-particle" : "", "parse-names" : false, "suffix" : "" }, { "dropping-particle" : "", "family" : "Burk", "given" : "M", "non-dropping-particle" : "", "parse-names" : false, "suffix" : "" }, { "dropping-particle" : "", "family" : "Heide", "given" : "W", "non-dropping-particle" : "", "parse-names" : false, "suffix" : "" }, { "dropping-particle" : "", "family" : "K\u00f6mpf", "given" : "D", "non-dropping-particle" : "", "parse-names" : false, "suffix" : "" } ], "container-title" : "Journal of neurophysiology", "id" : "ITEM-4", "issue" : "6", "issued" : { "date-parts" : [ [ "1998", "12" ] ] }, "page" : "2900-10", "title" : "Lateralized human cortical activity for shifting visuospatial attention and initiating saccades.", "type" : "article-journal", "volume" : "80" }, "uris" : [ "http://www.mendeley.com/documents/?uuid=daac9114-a827-46ec-8212-dab875b59219" ] } ], "mendeley" : { "manualFormatting" : "(Eimer, Van Velzen, Gherri, &amp; Press, 2007; Gherri &amp; Eimer, 2008; Wauschkuhn et al., 1998; Van der Lubbe, Neggers, Verleger, &amp; Kenemans, 2006)", "previouslyFormattedCitation" : "(Eimer, Van Velzen, Gherri, &amp; Press, 2007; Gherri &amp; Eimer, 2008; van der Lubbe, Neggers, Verleger, &amp; Kenemans, 2006; Wauschkuhn et al., 1998)" }, "properties" : { "noteIndex" : 0 }, "schema" : "https://github.com/citation-style-language/schema/raw/master/csl-citation.json" }</w:instrText>
      </w:r>
      <w:r w:rsidRPr="006769D4">
        <w:fldChar w:fldCharType="separate"/>
      </w:r>
      <w:r w:rsidRPr="006769D4">
        <w:rPr>
          <w:noProof/>
        </w:rPr>
        <w:t>(Eimer, Van Velzen, Gherri, &amp; Press, 2007; Gherri &amp; Eimer, 2008; Wauschkuhn et al., 1998; Van der Lubbe, Neggers, Verleger, &amp; Kenemans, 2006)</w:t>
      </w:r>
      <w:r w:rsidRPr="006769D4">
        <w:fldChar w:fldCharType="end"/>
      </w:r>
      <w:r w:rsidRPr="006769D4">
        <w:t xml:space="preserve"> and manual movements </w:t>
      </w:r>
      <w:r w:rsidR="00E36099">
        <w:fldChar w:fldCharType="begin" w:fldLock="1"/>
      </w:r>
      <w:r w:rsidR="00173758">
        <w:instrText>ADDIN CSL_CITATION { "citationItems" : [ { "id" : "ITEM-1", "itemData" : { "DOI" : "10.1016/j.neuropsychologia.2009.11.017.Manual", "author" : [ { "dropping-particle" : "", "family" : "Gherri", "given" : "Elena", "non-dropping-particle" : "", "parse-names" : false, "suffix" : "" }, { "dropping-particle" : "", "family" : "Eimer", "given" : "M", "non-dropping-particle" : "", "parse-names" : false, "suffix" : "" } ], "id" : "ITEM-1", "issue" : "4", "issued" : { "date-parts" : [ [ "2010" ] ] }, "page" : "961-969", "title" : "Manual response preparation disrupts spatial attention : an electrophysiological investigation of links between action and attention", "type" : "article-journal", "volume" : "48" }, "uris" : [ "http://www.mendeley.com/documents/?uuid=64917e1a-fe4a-42a4-89fa-a13a39bec0da" ] }, { "id" : "ITEM-2", "itemData" : { "DOI" : "10.1016/j.clinph.2007.06.003", "ISSN" : "1388-2457", "PMID" : "17646131", "abstract" : "OBJECTIVE: The present study investigated whether lateralized ERP components triggered during covert manual response preparation (ADAN, LDAP) reflect effector selection, the selection of movement direction, or both. METHODS: Event-related brain potentials were recorded during a response precueing paradigm where visual cues provided either partial (Experiment 1) or full (Experiment 2) information about the response hand and the direction for a subsequent reaching movement. RESULTS: ADAN and LDAP components were elicited even when only partial response information was available, demonstrating that they do not require the presence of a fully specified motor program. The ADAN was elicited in a similar fashion regardless of whether effector or movement direction information was provided, suggesting that the underlying mechanisms are equally sensitive to both types of response-related information. In contrast, the LDAP was larger in response to cues providing effector information, but was also reliably present when movement direction was available. CONCLUSIONS: ADAN and LDAP components reflect preparatory activity within anterior and posterior parts of the parieto-premotor sensorimotor network where different parameters for manual reaching movements are programmed independently. SIGNIFICANCE: These results support the claim of the premotor theory of attention that shared sensorimotor control mechanisms are involved in attention and motor programming.", "author" : [ { "dropping-particle" : "", "family" : "Gherri", "given" : "Elena", "non-dropping-particle" : "", "parse-names" : false, "suffix" : "" }, { "dropping-particle" : "", "family" : "Velzen", "given" : "Jos\u00e9", "non-dropping-particle" : "Van", "parse-names" : false, "suffix" : "" }, { "dropping-particle" : "", "family" : "Eimer", "given" : "M", "non-dropping-particle" : "", "parse-names" : false, "suffix" : "" } ], "container-title" : "Clinical neurophysiology : official journal of the International Federation of Clinical Neurophysiology", "id" : "ITEM-2", "issue" : "9", "issued" : { "date-parts" : [ [ "2007", "9" ] ] }, "page" : "2031-49", "title" : "Dissociating effector and movement direction selection during the preparation of manual reaching movements: evidence from lateralized ERP components.", "type" : "article-journal", "volume" : "118" }, "uris" : [ "http://www.mendeley.com/documents/?uuid=4d706e51-71e8-47e7-8913-2b056ac3630b" ] }, { "id" : "ITEM-3", "itemData" : { "DOI" : "10.1016/j.clinph.2006.08.001", "author" : [ { "dropping-particle" : "", "family" : "Mathews", "given" : "Simon", "non-dropping-particle" : "", "parse-names" : false, "suffix" : "" }, { "dropping-particle" : "", "family" : "John", "given" : "Phil", "non-dropping-particle" : "", "parse-names" : false, "suffix" : "" }, { "dropping-particle" : "", "family" : "Dean", "given" : "Ainsley", "non-dropping-particle" : "", "parse-names" : false, "suffix" : "" }, { "dropping-particle" : "", "family" : "Sterr", "given" : "Annette", "non-dropping-particle" : "", "parse-names" : false, "suffix" : "" } ], "id" : "ITEM-3", "issued" : { "date-parts" : [ [ "2006" ] ] }, "page" : "2675-2683", "title" : "EEG dipole analysis of motor-priming foreperiod activity reveals separate sources for motor and spatial attention components", "type" : "article-journal", "volume" : "117" }, "uris" : [ "http://www.mendeley.com/documents/?uuid=3d2dd2f1-dffb-4d6a-9763-c233bddd56b6" ] }, { "id" : "ITEM-4", "itemData" : { "DOI" : "10.1152/jn.01052.2004", "ISSN" : "0022-3077", "PMID" : "15744008", "abstract" : "Relations between spatial attention and motor intention were investigated by means of an EEG potential elicited by shifting attention to a location in space as well as by the selection of a hand for responding. High-density recordings traced this potential to a common frontoparietal network activated by attentional orienting and by response selection. Within this network, parietal and frontal cortex were activated sequentially, followed by an anterior-to-posterior migration of activity culminating in the lateral occipital cortex. Based on temporal and polarity information provided by EEG, we hypothesize that the frontoparietal activation, evoked by directional information, updates a task-defined preparatory state by deselecting or inhibiting the behavioral option competing with the cued response side or the cued direction of attention. These results from human EEG demonstrate a direct EEG manifestation of the frontoparietal attention network previously identified in functional imaging. EEG reveals the time-course of activation within this network and elucidates the generation and function of associated directing-attention EEG potentials. The results emphasize transient activation and a decision-related function of the frontoparietal attention network, contrasting with the sustained preparatory activation that is commonly inferred from neuroimaging.", "author" : [ { "dropping-particle" : "", "family" : "Praamstra", "given" : "Peter", "non-dropping-particle" : "", "parse-names" : false, "suffix" : "" }, { "dropping-particle" : "", "family" : "Boutsen", "given" : "Luc", "non-dropping-particle" : "", "parse-names" : false, "suffix" : "" }, { "dropping-particle" : "", "family" : "Humphreys", "given" : "Glyn W", "non-dropping-particle" : "", "parse-names" : false, "suffix" : "" } ], "container-title" : "Journal of neurophysiology", "id" : "ITEM-4", "issue" : "1", "issued" : { "date-parts" : [ [ "2005", "7" ] ] }, "page" : "764-74", "title" : "Frontoparietal control of spatial attention and motor intention in human EEG.", "type" : "article-journal", "volume" : "94" }, "uris" : [ "http://www.mendeley.com/documents/?uuid=27168134-1fbf-44cf-b656-56d5402b096e" ] }, { "id" : "ITEM-5", "itemData" : { "author" : [ { "dropping-particle" : "", "family" : "Wascher", "given" : "Edmund", "non-dropping-particle" : "", "parse-names" : false, "suffix" : "" }, { "dropping-particle" : "", "family" : "Verleger", "given" : "Rolf", "non-dropping-particle" : "", "parse-names" : false, "suffix" : "" } ], "container-title" : "Electroencephalography and Clinical Neurophysiology", "id" : "ITEM-5", "issued" : { "date-parts" : [ [ "1997" ] ] }, "page" : "114-124", "title" : "Lateralised cortical activity due to preparation of saccades and finger movements: a comparative study", "type" : "article-journal", "volume" : "102" }, "uris" : [ "http://www.mendeley.com/documents/?uuid=4358efde-150a-48a8-946a-67ee492aa33b" ] } ], "mendeley" : { "previouslyFormattedCitation" : "(Gherri &amp; Eimer, 2010; Gherri, Van Velzen, &amp; Eimer, 2007; Mathews, John, Dean, &amp; Sterr, 2006; Praamstra, Boutsen, &amp; Humphreys, 2005; Wascher &amp; Verleger, 1997)" }, "properties" : { "noteIndex" : 0 }, "schema" : "https://github.com/citation-style-language/schema/raw/master/csl-citation.json" }</w:instrText>
      </w:r>
      <w:r w:rsidR="00E36099">
        <w:fldChar w:fldCharType="separate"/>
      </w:r>
      <w:r w:rsidR="00E36099" w:rsidRPr="00E36099">
        <w:rPr>
          <w:noProof/>
        </w:rPr>
        <w:t>(Gherri &amp; Eimer, 2010; Gherri, Van Velzen, &amp; Eimer, 2007; Mathews, John, Dean, &amp; Sterr, 2006; Praamstra, Boutsen, &amp; Humphreys, 2005; Wascher &amp; Verleger, 1997)</w:t>
      </w:r>
      <w:r w:rsidR="00E36099">
        <w:fldChar w:fldCharType="end"/>
      </w:r>
      <w:r w:rsidRPr="006769D4">
        <w:t xml:space="preserve">. </w:t>
      </w:r>
      <w:r w:rsidRPr="00C6059A">
        <w:rPr>
          <w:highlight w:val="green"/>
        </w:rPr>
        <w:t xml:space="preserve">These findings suggest shared sensorimotor control mechanisms involved in attentional orienting and in programming motor responses and are consistent with fMRI evidence showing a considerable overlap in activated brain regions during both types of task </w:t>
      </w:r>
      <w:r w:rsidR="00E36099" w:rsidRPr="00C6059A">
        <w:rPr>
          <w:highlight w:val="green"/>
        </w:rPr>
        <w:fldChar w:fldCharType="begin" w:fldLock="1"/>
      </w:r>
      <w:r w:rsidR="00173758" w:rsidRPr="00C6059A">
        <w:rPr>
          <w:highlight w:val="green"/>
        </w:rPr>
        <w:instrText>ADDIN CSL_CITATION { "citationItems" : [ { "id" : "ITEM-1", "itemData" : { "author" : [ { "dropping-particle" : "V", "family" : "Astafiev", "given" : "Serguei", "non-dropping-particle" : "", "parse-names" : false, "suffix" : "" }, { "dropping-particle" : "", "family" : "Shulman", "given" : "Gordon L", "non-dropping-particle" : "", "parse-names" : false, "suffix" : "" }, { "dropping-particle" : "", "family" : "Stanley", "given" : "Christine M", "non-dropping-particle" : "", "parse-names" : false, "suffix" : "" }, { "dropping-particle" : "", "family" : "Snyder", "given" : "Abraham Z", "non-dropping-particle" : "", "parse-names" : false, "suffix" : "" }, { "dropping-particle" : "Van", "family" : "Essen", "given" : "David C", "non-dropping-particle" : "", "parse-names" : false, "suffix" : "" }, { "dropping-particle" : "", "family" : "Corbetta", "given" : "Maurizio", "non-dropping-particle" : "", "parse-names" : false, "suffix" : "" } ], "id" : "ITEM-1", "issue" : "11", "issued" : { "date-parts" : [ [ "2003" ] ] }, "page" : "4689-4699", "title" : "Functional Organization of Human Intraparietal and Frontal Cortex for Attending , Looking , and Pointing", "type" : "article-journal", "volume" : "23" }, "uris" : [ "http://www.mendeley.com/documents/?uuid=31132c14-d8fa-4c1b-b708-f57d770bd44b" ] }, { "id" : "ITEM-2", "itemData" : { "ISSN" : "0896-6273", "PMID" : "9808463", "abstract" : "Functional magnetic resonance imaging (fMRI) and surface-based representations of brain activity were used to compare the functional anatomy of two tasks, one involving covert shifts of attention to peripheral visual stimuli, the other involving both attentional and saccadic shifts to the same stimuli. Overlapping regional networks in parietal, frontal, and temporal lobes were active in both tasks. This anatomical overlap is consistent with the hypothesis that attentional and oculomotor processes are tightly integrated at the neural level.", "author" : [ { "dropping-particle" : "", "family" : "Corbetta", "given" : "M", "non-dropping-particle" : "", "parse-names" : false, "suffix" : "" }, { "dropping-particle" : "", "family" : "Akbudak", "given" : "E", "non-dropping-particle" : "", "parse-names" : false, "suffix" : "" }, { "dropping-particle" : "", "family" : "Conturo", "given" : "T E", "non-dropping-particle" : "", "parse-names" : false, "suffix" : "" }, { "dropping-particle" : "", "family" : "Snyder", "given" : "a Z", "non-dropping-particle" : "", "parse-names" : false, "suffix" : "" }, { "dropping-particle" : "", "family" : "Ollinger", "given" : "J M", "non-dropping-particle" : "", "parse-names" : false, "suffix" : "" }, { "dropping-particle" : "", "family" : "Drury", "given" : "H a", "non-dropping-particle" : "", "parse-names" : false, "suffix" : "" }, { "dropping-particle" : "", "family" : "Linenweber", "given" : "M R", "non-dropping-particle" : "", "parse-names" : false, "suffix" : "" }, { "dropping-particle" : "", "family" : "Petersen", "given" : "S E", "non-dropping-particle" : "", "parse-names" : false, "suffix" : "" }, { "dropping-particle" : "", "family" : "Raichle", "given" : "M E", "non-dropping-particle" : "", "parse-names" : false, "suffix" : "" }, { "dropping-particle" : "", "family" : "Essen", "given" : "D C", "non-dropping-particle" : "Van", "parse-names" : false, "suffix" : "" }, { "dropping-particle" : "", "family" : "Shulman", "given" : "G L", "non-dropping-particle" : "", "parse-names" : false, "suffix" : "" } ], "container-title" : "Neuron", "id" : "ITEM-2", "issue" : "4", "issued" : { "date-parts" : [ [ "1998", "10" ] ] }, "page" : "761-73", "title" : "A common network of functional areas for attention and eye movements.", "type" : "article-journal", "volume" : "21" }, "uris" : [ "http://www.mendeley.com/documents/?uuid=d1c5fbcd-65c7-45cb-96ac-6f225e6be29b" ] }, { "id" : "ITEM-3", "itemData" : { "ISSN" : "0006-8950", "PMID" : "11050027", "abstract" : "Visual neglect occurs most frequently and persistently after lesions that include the right supramarginal gyrus (SMG), a part of the inferior parietal lobule. Patients with this syndrome make very few saccades to the left, and show abnormal performance on tasks in which they must covertly shift their attention to the left, suggesting that the right SMG is involved in the generation of saccades and attention shifts. Functional imaging studies of saccades and covert attention shifts in the normal brain, however, have shown weak or absent responses in both SMGs. We used event-related functional MRI to re-examine the responses to saccades and attention shifts within a single experiment, and to assess responses to left- and right-sided stimuli independently. When subjects made saccades to peripheral stimuli, the expected responses were seen in striate and prestriate cortex, the superior parietal lobules, the frontal eye fields, the supplementary motor area and the anterior insulae. In addition there was a response in the right SMG but not in the left SMG, as predicted from the clinical literature. When subjects made a covert visual assessment of the peripheral stimulus without any saccade, greater activity was seen in all of the areas in the frontoparietal network. Each area showed a bias towards contralateral stimuli, with two exceptions: the anterior insulae gave mainly ipsilateral responses, whilst the right SMG gave equal responses to right- and left-sided stimuli. These findings are discussed in the context of current theories pertaining to the clinical syndrome of neglect.", "author" : [ { "dropping-particle" : "", "family" : "Perry", "given" : "R J", "non-dropping-particle" : "", "parse-names" : false, "suffix" : "" }, { "dropping-particle" : "", "family" : "Zeki", "given" : "S", "non-dropping-particle" : "", "parse-names" : false, "suffix" : "" } ], "container-title" : "Brain : a journal of neurology", "id" : "ITEM-3", "issued" : { "date-parts" : [ [ "2000", "11" ] ] }, "page" : "2273-88", "title" : "The neurology of saccades and covert shifts in spatial attention: an event-related fMRI study.", "type" : "article-journal", "volume" : "123 ( Pt 1" }, "uris" : [ "http://www.mendeley.com/documents/?uuid=3718579d-6571-4364-a52b-bd33ef0ed91d" ] } ], "mendeley" : { "previouslyFormattedCitation" : "(Astafiev et al., 2003; Corbetta et al., 1998; Perry &amp; Zeki, 2000)" }, "properties" : { "noteIndex" : 0 }, "schema" : "https://github.com/citation-style-language/schema/raw/master/csl-citation.json" }</w:instrText>
      </w:r>
      <w:r w:rsidR="00E36099" w:rsidRPr="00C6059A">
        <w:rPr>
          <w:highlight w:val="green"/>
        </w:rPr>
        <w:fldChar w:fldCharType="separate"/>
      </w:r>
      <w:r w:rsidR="00E36099" w:rsidRPr="00C6059A">
        <w:rPr>
          <w:noProof/>
          <w:highlight w:val="green"/>
        </w:rPr>
        <w:t>(Astafiev et al., 2003; Corbetta et al., 1998; Perry &amp; Zeki, 2000)</w:t>
      </w:r>
      <w:r w:rsidR="00E36099" w:rsidRPr="00C6059A">
        <w:rPr>
          <w:highlight w:val="green"/>
        </w:rPr>
        <w:fldChar w:fldCharType="end"/>
      </w:r>
      <w:r w:rsidR="00E36099" w:rsidRPr="00C6059A">
        <w:rPr>
          <w:highlight w:val="green"/>
        </w:rPr>
        <w:t>.</w:t>
      </w:r>
    </w:p>
    <w:p w14:paraId="2A741E19" w14:textId="4CB68240" w:rsidR="007E1F67" w:rsidRPr="006769D4" w:rsidRDefault="007E1F67" w:rsidP="007E1F67">
      <w:r w:rsidRPr="006769D4">
        <w:t xml:space="preserve">Studies that have used measures of visual perception during goal directed action show that task instructions that emphasise either the goal or the effector can alter the balance of processing priorities between the two </w:t>
      </w:r>
      <w:r w:rsidRPr="006769D4">
        <w:fldChar w:fldCharType="begin" w:fldLock="1"/>
      </w:r>
      <w:r w:rsidR="00173758">
        <w:instrText>ADDIN CSL_CITATION { "citationItems" : [ { "id" : "ITEM-1", "itemData" : { "DOI" : "10.1007/s10339-006-0089-z", "ISSN" : "1612-4782", "author" : [ { "dropping-particle" : "", "family" : "Velzen", "given" : "Jos\u00e9", "non-dropping-particle" : "Van", "parse-names" : false, "suffix" : "" }, { "dropping-particle" : "", "family" : "Gherri", "given" : "Elena", "non-dropping-particle" : "", "parse-names" : false, "suffix" : "" }, { "dropping-particle" : "", "family" : "Eimer", "given" : "M", "non-dropping-particle" : "", "parse-names" : false, "suffix" : "" } ], "container-title" : "Cognitive Processing", "id" : "ITEM-1", "issue" : "S1", "issued" : { "date-parts" : [ [ "2006", "7" ] ] }, "page" : "100\u2013101", "publisher" : "Springer", "title" : "ERP effects of movement preparation on visual processing: attention shifts to the hand, not the goal", "type" : "article-journal", "volume" : "7" }, "uris" : [ "http://www.mendeley.com/documents/?uuid=89209f7e-f22f-43c0-8f5a-5d23ac51341d" ] }, { "id" : "ITEM-2", "itemData" : { "DOI" : "10.1111/j.1469-8986.2009.00800.x", "ISSN" : "00485772", "author" : [ { "dropping-particle" : "", "family" : "Gherri", "given" : "Elena", "non-dropping-particle" : "", "parse-names" : false, "suffix" : "" }, { "dropping-particle" : "", "family" : "Velzen", "given" : "Jos\u00e9", "non-dropping-particle" : "Van", "parse-names" : false, "suffix" : "" }, { "dropping-particle" : "", "family" : "Eimer", "given" : "M", "non-dropping-particle" : "", "parse-names" : false, "suffix" : "" } ], "container-title" : "Psychophysiology", "id" : "ITEM-2", "issue" : "3", "issued" : { "date-parts" : [ [ "2009", "5" ] ] }, "page" : "655-667", "title" : "The instructed context of a motor task modulates covert response preparation and shifts of spatial attention", "type" : "article-journal", "volume" : "46" }, "uris" : [ "http://www.mendeley.com/documents/?uuid=098bdabe-4e36-4588-a76c-88dca9360621" ] } ], "mendeley" : { "previouslyFormattedCitation" : "(Gherri, Van Velzen, &amp; Eimer, 2009; Van Velzen, Gherri, &amp; Eimer, 2006)" }, "properties" : { "noteIndex" : 0 }, "schema" : "https://github.com/citation-style-language/schema/raw/master/csl-citation.json" }</w:instrText>
      </w:r>
      <w:r w:rsidRPr="006769D4">
        <w:fldChar w:fldCharType="separate"/>
      </w:r>
      <w:r w:rsidRPr="006769D4">
        <w:rPr>
          <w:noProof/>
        </w:rPr>
        <w:t>(Gherri, Van Velzen, &amp; Eimer, 2009; Van Velzen, Gherri, &amp; Eimer, 2006)</w:t>
      </w:r>
      <w:r w:rsidRPr="006769D4">
        <w:fldChar w:fldCharType="end"/>
      </w:r>
      <w:r w:rsidRPr="006769D4">
        <w:t xml:space="preserve">. Whilst </w:t>
      </w:r>
      <w:r>
        <w:t>this work shows</w:t>
      </w:r>
      <w:r w:rsidRPr="006769D4">
        <w:t xml:space="preserve"> that perceptual enhancement </w:t>
      </w:r>
      <w:r w:rsidR="00B0143E">
        <w:t>at</w:t>
      </w:r>
      <w:r w:rsidR="00B0143E" w:rsidRPr="006769D4">
        <w:t xml:space="preserve"> </w:t>
      </w:r>
      <w:r w:rsidRPr="006769D4">
        <w:t xml:space="preserve">the effector location can happen in principle, their pattern of results suggests that this effect may be limited to either goals </w:t>
      </w:r>
      <w:r w:rsidRPr="006769D4">
        <w:rPr>
          <w:i/>
        </w:rPr>
        <w:t xml:space="preserve">or </w:t>
      </w:r>
      <w:r w:rsidRPr="006769D4">
        <w:t xml:space="preserve">effectors, dependent upon top down factors such as task instructions. This interpretation is inconsistent with findings that suggest that the coupling between action and perception at the goal location is obligatory </w:t>
      </w:r>
      <w:r w:rsidRPr="006769D4">
        <w:fldChar w:fldCharType="begin" w:fldLock="1"/>
      </w:r>
      <w:r w:rsidR="00173758">
        <w:instrText>ADDIN CSL_CITATION { "citationItems" : [ { "id" : "ITEM-1", "itemData" : { "author" : [ { "dropping-particle" : "", "family" : "Schneider", "given" : "WX", "non-dropping-particle" : "", "parse-names" : false, "suffix" : "" }, { "dropping-particle" : "", "family" : "Deubel", "given" : "H", "non-dropping-particle" : "", "parse-names" : false, "suffix" : "" } ], "container-title" : "Studies in Visual Information Processing", "id" : "ITEM-1", "issued" : { "date-parts" : [ [ "1995" ] ] }, "title" : "Visual attention and saccadic eye movements: Evidence for obligatory and selective spatial coupling", "type" : "article-journal" }, "uris" : [ "http://www.mendeley.com/documents/?uuid=18aac0d1-bc9d-4f8f-96a5-c09ae9a4f30a" ] }, { "id" : "ITEM-2", "itemData" : { "abstract" : "The relationship between saccadic eye movements and covert orienting of visual spatial attention was investigated in two experiments. In the first experiment, subjects were required to make a saccade to a specified location while also detecting a visual target presented just prior to the eye movement. Detection accuracy was highest when the location of the target coincided with the location of the sac- cade, suggesting that subjects use spatial attention in the programming and/or execution of saccadic eye movements. In the second experiment, subjects were explicitly directed to attend to a particular location and to make a saccade to the same location or to a different one. Superior target detection oc- curred at the saccade location regardless of attention instructions. This finding shows that subjects cannot move their eyes to one location and attend to a different one. The results of these experiments suggest that visuospatial attention is an important mechanism in generating voluntary saccadic eye movements.", "author" : [ { "dropping-particle" : "", "family" : "Hoffman", "given" : "J E", "non-dropping-particle" : "", "parse-names" : false, "suffix" : "" }, { "dropping-particle" : "", "family" : "Subramaniam", "given" : "B", "non-dropping-particle" : "", "parse-names" : false, "suffix" : "" } ], "container-title" : "Perception &amp; Psychophysics", "id" : "ITEM-2", "issued" : { "date-parts" : [ [ "1995" ] ] }, "page" : "787-795", "title" : "The role of visual attention in saccadic eye movements", "type" : "article-journal", "volume" : "57" }, "uris" : [ "http://www.mendeley.com/documents/?uuid=f9fa4ef9-5f30-4f7f-b257-79a0bcd299e3" ] }, { "id" : "ITEM-3", "itemData" : { "ISSN" : "0042-6989", "PMID" : "8759451", "abstract" : "The spatial interaction of visual attention and saccadic eye movements was investigated in a dual-task paradigm that required a target-directed saccade in combination with a letter discrimination task. Subjects had to saccade to locations within horizontal letter strings left and right of a central fixation cross. The performance in discriminating between the symbols \"E\" and \"E\", presented tachistoscopically before the saccade within the surrounding distractors was taken as a measure of visual attention. The data show that visual discrimination is best when discrimination stimulus and saccade target refer to the same object; discrimination at neighboring items is close to chance level. Also, it is not possible, in spite of prior knowledge of discrimination target position, to direct attention to the discrimination target while saccading to a spatially close saccade target. The data strongly argue for an obligatory and selective coupling of saccade programming and visual attention to one common target object. The results favor a model in which a single attentional mechanism selects objects for perceptual processing and recognition, and also provides the information necessary for motor action.", "author" : [ { "dropping-particle" : "", "family" : "Deubel", "given" : "H", "non-dropping-particle" : "", "parse-names" : false, "suffix" : "" }, { "dropping-particle" : "", "family" : "Schneider", "given" : "WX", "non-dropping-particle" : "", "parse-names" : false, "suffix" : "" } ], "container-title" : "Vision research", "id" : "ITEM-3", "issue" : "12", "issued" : { "date-parts" : [ [ "1996", "6" ] ] }, "page" : "1827-37", "title" : "Saccade target selection and object recognition: evidence for a common attentional mechanism.", "type" : "article-journal", "volume" : "36" }, "uris" : [ "http://www.mendeley.com/documents/?uuid=eb63bea4-b662-44fd-b38c-4c1bc5f8c8cf" ] }, { "id" : "ITEM-4", "itemData" : { "author" : [ { "dropping-particle" : "", "family" : "Schneider", "given" : "WX", "non-dropping-particle" : "", "parse-names" : false, "suffix" : "" }, { "dropping-particle" : "", "family" : "Deubel", "given" : "H", "non-dropping-particle" : "", "parse-names" : false, "suffix" : "" } ], "container-title" : "Attention and Performance XIX: Common Mechanisms in Perception and Action", "editor" : [ { "dropping-particle" : "", "family" : "Prinz", "given" : "W", "non-dropping-particle" : "", "parse-names" : false, "suffix" : "" }, { "dropping-particle" : "", "family" : "Hommel", "given" : "B", "non-dropping-particle" : "", "parse-names" : false, "suffix" : "" } ], "id" : "ITEM-4", "issued" : { "date-parts" : [ [ "2002" ] ] }, "publisher" : "OUP", "publisher-place" : "Oxford", "title" : "Select-for-perception and selection-for-spatial-motor-action are coupled by visual attention: a review of recent findings and new evidence from stimulus-driven saccade control", "type" : "chapter" }, "uris" : [ "http://www.mendeley.com/documents/?uuid=83bf3148-0e9d-4c50-9256-b48048ee6bd8" ] }, { "id" : "ITEM-5", "itemData" : { "DOI" : "10.1080/13506280244000140", "author" : [ { "dropping-particle" : "", "family" : "Schiegg", "given" : "Andreas", "non-dropping-particle" : "", "parse-names" : false, "suffix" : "" }, { "dropping-particle" : "", "family" : "Deubel", "given" : "H", "non-dropping-particle" : "", "parse-names" : false, "suffix" : "" }, { "dropping-particle" : "", "family" : "Schneider", "given" : "WX", "non-dropping-particle" : "", "parse-names" : false, "suffix" : "" } ], "container-title" : "Visual Cognition", "id" : "ITEM-5", "issue" : "4", "issued" : { "date-parts" : [ [ "2003" ] ] }, "page" : "409-432", "title" : "Attentional selection during preparation of prehension movements", "type" : "article-journal", "volume" : "10" }, "uris" : [ "http://www.mendeley.com/documents/?uuid=5542a69b-6c3b-49c8-9570-6d7a3e785b2e" ] } ], "mendeley" : { "manualFormatting" : "(Deubel &amp; Schneider, 1996; Hoffman &amp; Subramaniam, 1995; Schiegg et al., 2003; Schneider &amp; Deubel, 1995, 2002", "previouslyFormattedCitation" : "(Deubel &amp; Schneider, 1996; Hoffman &amp; Subramaniam, 1995; Schiegg et al., 2003; Schneider &amp; Deubel, 1995, 2002)" }, "properties" : { "noteIndex" : 0 }, "schema" : "https://github.com/citation-style-language/schema/raw/master/csl-citation.json" }</w:instrText>
      </w:r>
      <w:r w:rsidRPr="006769D4">
        <w:fldChar w:fldCharType="separate"/>
      </w:r>
      <w:r w:rsidRPr="006769D4">
        <w:rPr>
          <w:noProof/>
        </w:rPr>
        <w:t>(Deubel &amp; Schneider, 1996; Hoffman &amp; Subramaniam, 1995; Schiegg et al., 2003; Schneider &amp; Deubel, 1995, 2002</w:t>
      </w:r>
      <w:r w:rsidRPr="006769D4">
        <w:fldChar w:fldCharType="end"/>
      </w:r>
      <w:r w:rsidRPr="006769D4">
        <w:t xml:space="preserve">, though see also </w:t>
      </w:r>
      <w:r w:rsidRPr="006769D4">
        <w:fldChar w:fldCharType="begin" w:fldLock="1"/>
      </w:r>
      <w:r w:rsidR="00173758">
        <w:instrText>ADDIN CSL_CITATION { "citationItems" : [ { "id" : "ITEM-1", "itemData" : { "DOI" : "10.1016/j.cogbrainres.2003.08.006", "ISSN" : "09266410", "author" : [ { "dropping-particle" : "", "family" : "Hunt", "given" : "A.R.", "non-dropping-particle" : "", "parse-names" : false, "suffix" : "" }, { "dropping-particle" : "", "family" : "Kingstone", "given" : "A", "non-dropping-particle" : "", "parse-names" : false, "suffix" : "" } ], "container-title" : "Cognitive Brain Research", "id" : "ITEM-1", "issue" : "1", "issued" : { "date-parts" : [ [ "2003", "12" ] ] }, "page" : "102-105", "title" : "Covert and overt voluntary attention: linked or independent?", "type" : "article-journal", "volume" : "18" }, "uris" : [ "http://www.mendeley.com/documents/?uuid=339565ad-955f-4296-81fa-ed94369b2473" ] }, { "id" : "ITEM-2", "itemData" : { "DOI" : "10.1007/s00426-008-0165-3", "ISSN" : "0340-0727", "PMID" : "18839208", "abstract" : "The dynamics of the allocation of attention during the preparation of saccadic eye movements was studied in a dual task paradigm. As the primary task, participants had to perform a saccade to letter-like items arranged on a clock face. The secondary task was a 2AFC discrimination task in which a discrimination target (DT) ('E' or '3') was presented among distractors, either at the saccade goal, or at a spatially separate, precued location. In the first experiment, the position of the DT was kept constant within an experimental block, while the saccade target location varied. In the second experiment, the location of the DT was varied while the saccade target remained the same within a block. The data demonstrate that attentional dynamics differs between the experiments--attention can shift to the saccade goal early or late during the saccade preparation period, depending on the task. Immediately before saccade onset, however, discrimination performance at the location of the saccade target is always superior to other locations, arguing for a strict and selective coupling between saccade preparation and attention.", "author" : [ { "dropping-particle" : "", "family" : "Deubel", "given" : "H", "non-dropping-particle" : "", "parse-names" : false, "suffix" : "" } ], "container-title" : "Psychological research", "id" : "ITEM-2", "issue" : "6", "issued" : { "date-parts" : [ [ "2008", "11" ] ] }, "page" : "630-40", "title" : "The time course of presaccadic attention shifts.", "type" : "article-journal", "volume" : "72" }, "uris" : [ "http://www.mendeley.com/documents/?uuid=967de051-588b-4695-bbf2-6b6f46512006" ] }, { "id" : "ITEM-3", "itemData" : { "author" : [ { "dropping-particle" : "", "family" : "Belopolsky", "given" : "A.V.", "non-dropping-particle" : "", "parse-names" : false, "suffix" : "" }, { "dropping-particle" : "", "family" : "Theeuwes", "given" : "J.", "non-dropping-particle" : "", "parse-names" : false, "suffix" : "" } ], "container-title" : "Psychological Science", "id" : "ITEM-3", "issue" : "11", "issued" : { "date-parts" : [ [ "2009" ] ] }, "page" : "1340", "publisher" : "SAGE Publications", "title" : "When are attention and saccade preparation dissociated?", "type" : "article-journal", "volume" : "20" }, "uris" : [ "http://www.mendeley.com/documents/?uuid=28224064-9c98-4a6f-967b-5be2e08b4707" ] } ], "mendeley" : { "manualFormatting" : "Belopolsky &amp; Theeuwes, 2009; Deubel, 2008; Hunt &amp; Kingstone, 2003, for arguments to the contrary)", "previouslyFormattedCitation" : "(Belopolsky &amp; Theeuwes, 2009; Deubel, 2008; Hunt &amp; Kingstone, 2003)" }, "properties" : { "noteIndex" : 0 }, "schema" : "https://github.com/citation-style-language/schema/raw/master/csl-citation.json" }</w:instrText>
      </w:r>
      <w:r w:rsidRPr="006769D4">
        <w:fldChar w:fldCharType="separate"/>
      </w:r>
      <w:r w:rsidRPr="006769D4">
        <w:rPr>
          <w:noProof/>
        </w:rPr>
        <w:t>Belopolsky &amp; Theeuwes, 2009; Deubel, 2008; Hunt &amp; Kingstone, 2003</w:t>
      </w:r>
      <w:r>
        <w:rPr>
          <w:noProof/>
        </w:rPr>
        <w:t>,</w:t>
      </w:r>
      <w:r w:rsidRPr="006769D4">
        <w:rPr>
          <w:noProof/>
        </w:rPr>
        <w:t xml:space="preserve"> for arguments to the contrary)</w:t>
      </w:r>
      <w:r w:rsidRPr="006769D4">
        <w:fldChar w:fldCharType="end"/>
      </w:r>
      <w:r w:rsidRPr="006769D4">
        <w:t>. A possible explanation may be found in terms of the time course of motor preparation: if the temporal sequence of goal and effector processing differs</w:t>
      </w:r>
      <w:r w:rsidR="00B0143E">
        <w:t xml:space="preserve"> (perhaps due to differing underlying mechanisms, </w:t>
      </w:r>
      <w:r w:rsidR="00B0143E" w:rsidRPr="00EE3F8B">
        <w:t xml:space="preserve">e.g. </w:t>
      </w:r>
      <w:r w:rsidR="00224514" w:rsidRPr="00EE3F8B">
        <w:fldChar w:fldCharType="begin" w:fldLock="1"/>
      </w:r>
      <w:r w:rsidR="00173758">
        <w:instrText>ADDIN CSL_CITATION { "citationItems" : [ { "id" : "ITEM-1", "itemData" : { "DOI" : "10.1146/annurev.neuro.051508.135409", "author" : [ { "dropping-particle" : "", "family" : "Cisek", "given" : "Paul", "non-dropping-particle" : "", "parse-names" : false, "suffix" : "" }, { "dropping-particle" : "", "family" : "Kalaska", "given" : "John F", "non-dropping-particle" : "", "parse-names" : false, "suffix" : "" } ], "id" : "ITEM-1", "issue" : "March", "issued" : { "date-parts" : [ [ "2010" ] ] }, "page" : "269-298", "title" : "Neural Mechanisms for Interacting with a World Full of Action Choices", "type" : "article-journal" }, "uris" : [ "http://www.mendeley.com/documents/?uuid=b6cd1ede-302c-407c-8671-77e158840aa5" ] } ], "mendeley" : { "manualFormatting" : "Cisek &amp; Kalaska, 2010)", "previouslyFormattedCitation" : "(Cisek &amp; Kalaska, 2010)" }, "properties" : { "noteIndex" : 0 }, "schema" : "https://github.com/citation-style-language/schema/raw/master/csl-citation.json" }</w:instrText>
      </w:r>
      <w:r w:rsidR="00224514" w:rsidRPr="00EE3F8B">
        <w:fldChar w:fldCharType="separate"/>
      </w:r>
      <w:r w:rsidR="00224514" w:rsidRPr="00EE3F8B">
        <w:rPr>
          <w:noProof/>
        </w:rPr>
        <w:t>Cisek &amp; Kalaska, 2010)</w:t>
      </w:r>
      <w:r w:rsidR="00224514" w:rsidRPr="00EE3F8B">
        <w:fldChar w:fldCharType="end"/>
      </w:r>
      <w:r w:rsidRPr="00EE3F8B">
        <w:t xml:space="preserve"> then</w:t>
      </w:r>
      <w:r w:rsidRPr="006769D4">
        <w:t xml:space="preserve"> the discrepancies in terms of enhancement at goal and effector locations in previous studies may be due to perceptual processing being measured at a point in time when </w:t>
      </w:r>
      <w:r w:rsidRPr="006769D4">
        <w:rPr>
          <w:i/>
        </w:rPr>
        <w:t xml:space="preserve">either </w:t>
      </w:r>
      <w:r w:rsidRPr="006769D4">
        <w:t xml:space="preserve">goal </w:t>
      </w:r>
      <w:r w:rsidRPr="006769D4">
        <w:rPr>
          <w:i/>
        </w:rPr>
        <w:t xml:space="preserve">or </w:t>
      </w:r>
      <w:r w:rsidRPr="006769D4">
        <w:t xml:space="preserve">effector processing is occurring, thus ‘missing’ the perceptual enhancement of the other component of action. </w:t>
      </w:r>
    </w:p>
    <w:p w14:paraId="43B36419" w14:textId="74B13DEE" w:rsidR="007E1F67" w:rsidRPr="006769D4" w:rsidRDefault="007E1F67" w:rsidP="007E1F67">
      <w:r>
        <w:t xml:space="preserve">Making use of the </w:t>
      </w:r>
      <w:r w:rsidR="002941E5">
        <w:t>excellent</w:t>
      </w:r>
      <w:r>
        <w:t xml:space="preserve"> temporal resolution of e</w:t>
      </w:r>
      <w:r w:rsidRPr="006769D4">
        <w:t>vent-related potential</w:t>
      </w:r>
      <w:r>
        <w:t>s</w:t>
      </w:r>
      <w:r w:rsidRPr="006769D4">
        <w:t xml:space="preserve"> (ERP</w:t>
      </w:r>
      <w:r>
        <w:t>s</w:t>
      </w:r>
      <w:r w:rsidRPr="006769D4">
        <w:t>)</w:t>
      </w:r>
      <w:r>
        <w:t>, electrophysiological</w:t>
      </w:r>
      <w:r w:rsidRPr="006769D4">
        <w:t xml:space="preserve"> studies</w:t>
      </w:r>
      <w:r>
        <w:t xml:space="preserve"> into effects of movement preparation on visual processing</w:t>
      </w:r>
      <w:r w:rsidR="002941E5">
        <w:t xml:space="preserve"> </w:t>
      </w:r>
      <w:r w:rsidRPr="006769D4">
        <w:t>typically use a delayed response paradigm</w:t>
      </w:r>
      <w:r w:rsidR="002941E5">
        <w:t xml:space="preserve">. </w:t>
      </w:r>
      <w:r w:rsidRPr="006769D4">
        <w:t xml:space="preserve"> </w:t>
      </w:r>
      <w:r w:rsidR="002941E5">
        <w:t>In this approach</w:t>
      </w:r>
      <w:r w:rsidRPr="006769D4">
        <w:t xml:space="preserve"> the participant receives instruction from</w:t>
      </w:r>
      <w:r w:rsidR="002941E5">
        <w:t xml:space="preserve"> two separate symbolic cues</w:t>
      </w:r>
      <w:r w:rsidR="007E3528">
        <w:t>,</w:t>
      </w:r>
      <w:r w:rsidR="002941E5">
        <w:t xml:space="preserve"> the </w:t>
      </w:r>
      <w:r w:rsidRPr="006769D4">
        <w:t>first (S1) instructing them which locati</w:t>
      </w:r>
      <w:r w:rsidR="002941E5">
        <w:t>on to prepare a movement toward;</w:t>
      </w:r>
      <w:r w:rsidRPr="006769D4">
        <w:t xml:space="preserve"> and the second (S2) instructing them to actually execute it (or in some cases to withhold execution). </w:t>
      </w:r>
      <w:r w:rsidR="007E3528">
        <w:t>Task i</w:t>
      </w:r>
      <w:r w:rsidRPr="006769D4">
        <w:t xml:space="preserve">rrelevant probe stimuli are presented in the delay between the two. The advantage of this method is that it allows temporal separation of movement preparation and </w:t>
      </w:r>
      <w:r w:rsidR="007E3528">
        <w:t xml:space="preserve">the concomitant </w:t>
      </w:r>
      <w:r w:rsidRPr="006769D4">
        <w:t>effect on sensory processing</w:t>
      </w:r>
      <w:r>
        <w:t xml:space="preserve">, </w:t>
      </w:r>
      <w:r w:rsidR="007E3528">
        <w:t>but a disadvantage is that</w:t>
      </w:r>
      <w:r w:rsidR="007E3528" w:rsidRPr="006769D4">
        <w:t xml:space="preserve"> </w:t>
      </w:r>
      <w:r w:rsidRPr="006769D4">
        <w:t xml:space="preserve">the delay causes the participant to be in a somewhat artificial state of anticipation, having planned an action but waiting to execute it. In contrast, most behavioural studies have used immediate response paradigms in which one cue instructs the participants where to move and </w:t>
      </w:r>
      <w:r w:rsidR="007E3528">
        <w:t xml:space="preserve">also serves as a signal </w:t>
      </w:r>
      <w:r w:rsidRPr="006769D4">
        <w:t>to execute the movement.</w:t>
      </w:r>
      <w:r>
        <w:t xml:space="preserve"> </w:t>
      </w:r>
      <w:r w:rsidR="007E3528">
        <w:t>However these designs require participants to</w:t>
      </w:r>
      <w:r>
        <w:t xml:space="preserve"> </w:t>
      </w:r>
      <w:r w:rsidR="007E3528">
        <w:t xml:space="preserve">make a response </w:t>
      </w:r>
      <w:r>
        <w:t>to probe stimuli</w:t>
      </w:r>
      <w:r w:rsidR="007E3528">
        <w:t xml:space="preserve">, thus introducing a secondary task and reducing ecological validity.  </w:t>
      </w:r>
    </w:p>
    <w:p w14:paraId="1A135B51" w14:textId="33062AB7" w:rsidR="00D46302" w:rsidRPr="006769D4" w:rsidRDefault="007E3528" w:rsidP="00D46302">
      <w:r>
        <w:t>In the present study we made</w:t>
      </w:r>
      <w:r w:rsidR="007E1F67">
        <w:t xml:space="preserve"> use of the strengths of both approaches to </w:t>
      </w:r>
      <w:r w:rsidR="007E1F67" w:rsidRPr="006769D4">
        <w:t xml:space="preserve">investigate the interaction between action planning and visual processing at both the goal and the effector location during movement preparation. To achieve this we used the amplitude of the N1 component of the visual ERP as an index of </w:t>
      </w:r>
      <w:proofErr w:type="spellStart"/>
      <w:r w:rsidR="007E1F67" w:rsidRPr="006769D4">
        <w:t>extrastriate</w:t>
      </w:r>
      <w:proofErr w:type="spellEnd"/>
      <w:r w:rsidR="007E1F67" w:rsidRPr="006769D4">
        <w:t xml:space="preserve"> </w:t>
      </w:r>
      <w:r w:rsidR="007E1F67">
        <w:t>cortical</w:t>
      </w:r>
      <w:r w:rsidR="007E1F67" w:rsidRPr="006769D4">
        <w:t xml:space="preserve"> activity in response to task-irrelevant visual probe stimuli presented at effector and goal locations. Unlike previous ERP studies that used a delayed-response paradigm, our participants executed </w:t>
      </w:r>
      <w:r w:rsidR="007E1F67">
        <w:t>a</w:t>
      </w:r>
      <w:r w:rsidR="007E1F67" w:rsidRPr="006769D4">
        <w:t xml:space="preserve"> reaching movement as soon </w:t>
      </w:r>
      <w:r>
        <w:t>as a</w:t>
      </w:r>
      <w:r w:rsidR="007E1F67" w:rsidRPr="006769D4">
        <w:t xml:space="preserve"> cue instructed them where to move, allowing us to measure the neural correlates of action planning on perception in a temporally sensitive manner</w:t>
      </w:r>
      <w:r w:rsidR="00C6059A">
        <w:t xml:space="preserve">. </w:t>
      </w:r>
      <w:r w:rsidR="0098014E">
        <w:t xml:space="preserve">By assessing perceptual processing </w:t>
      </w:r>
      <w:r w:rsidR="00764AC4">
        <w:t xml:space="preserve">at multiple time points we </w:t>
      </w:r>
      <w:r>
        <w:t xml:space="preserve">were able </w:t>
      </w:r>
      <w:r w:rsidR="00764AC4">
        <w:t xml:space="preserve">to investigate whether the effects on visual processing at goals and effectors is specific to each location, and whether such processing can occur in parallel. </w:t>
      </w:r>
    </w:p>
    <w:p w14:paraId="73A2ED9E" w14:textId="4B1839A7" w:rsidR="00CC0834" w:rsidRPr="006769D4" w:rsidRDefault="006769D4" w:rsidP="00626137">
      <w:pPr>
        <w:pStyle w:val="Heading1"/>
        <w:rPr>
          <w:rFonts w:ascii="Times New Roman" w:hAnsi="Times New Roman"/>
        </w:rPr>
      </w:pPr>
      <w:r w:rsidRPr="006769D4">
        <w:rPr>
          <w:rFonts w:ascii="Times New Roman" w:hAnsi="Times New Roman"/>
        </w:rPr>
        <w:t>2</w:t>
      </w:r>
      <w:r w:rsidR="00DF2EBF">
        <w:rPr>
          <w:rFonts w:ascii="Times New Roman" w:hAnsi="Times New Roman"/>
        </w:rPr>
        <w:t>.</w:t>
      </w:r>
      <w:r w:rsidRPr="006769D4">
        <w:rPr>
          <w:rFonts w:ascii="Times New Roman" w:hAnsi="Times New Roman"/>
        </w:rPr>
        <w:t xml:space="preserve"> </w:t>
      </w:r>
      <w:r w:rsidR="00626137" w:rsidRPr="006769D4">
        <w:rPr>
          <w:rFonts w:ascii="Times New Roman" w:hAnsi="Times New Roman"/>
        </w:rPr>
        <w:t>Method</w:t>
      </w:r>
    </w:p>
    <w:p w14:paraId="4C82B345" w14:textId="77777777" w:rsidR="00626137" w:rsidRPr="006769D4" w:rsidRDefault="006769D4" w:rsidP="00626137">
      <w:pPr>
        <w:pStyle w:val="Heading2"/>
      </w:pPr>
      <w:r>
        <w:t xml:space="preserve">2.1 </w:t>
      </w:r>
      <w:r w:rsidR="00626137" w:rsidRPr="006769D4">
        <w:t>Participants</w:t>
      </w:r>
    </w:p>
    <w:p w14:paraId="4D24350F" w14:textId="0DA8E1C2" w:rsidR="00626137" w:rsidRPr="006769D4" w:rsidRDefault="00626137" w:rsidP="00626137">
      <w:r w:rsidRPr="006769D4">
        <w:t>A sample of 14 participants (12 females) took part in the experiment after giving informed consent. Some were paid in cash, and some received course credit as payment for participation. Participants ranged in age from 19 to 29 (mean age was 23.4 years), all were right handed</w:t>
      </w:r>
      <w:r w:rsidR="00F0398C">
        <w:t xml:space="preserve"> by self report</w:t>
      </w:r>
      <w:r w:rsidRPr="006769D4">
        <w:t xml:space="preserve">, had normal or corrected-to-normal vision and none had been diagnosed with any movement disorders. One participant was excluded from ERP analyses due to </w:t>
      </w:r>
      <w:r w:rsidR="002655C9" w:rsidRPr="006769D4">
        <w:t>excessive eye movements</w:t>
      </w:r>
      <w:r w:rsidRPr="006769D4">
        <w:t xml:space="preserve">, leaving a total of 13 participants. </w:t>
      </w:r>
      <w:r w:rsidR="006769D4" w:rsidRPr="006769D4">
        <w:t>The study was approved by Goldsmiths’ ethics committee and informed consent was obtained from all participants.</w:t>
      </w:r>
    </w:p>
    <w:p w14:paraId="011455DF" w14:textId="77777777" w:rsidR="00626137" w:rsidRPr="006769D4" w:rsidRDefault="006769D4" w:rsidP="00143A70">
      <w:pPr>
        <w:pStyle w:val="Heading2"/>
      </w:pPr>
      <w:r>
        <w:t xml:space="preserve">2.2 </w:t>
      </w:r>
      <w:r w:rsidR="00143A70" w:rsidRPr="006769D4">
        <w:t>Apparatus</w:t>
      </w:r>
    </w:p>
    <w:p w14:paraId="042F0230" w14:textId="5CF8F2D4" w:rsidR="00143A70" w:rsidRPr="006769D4" w:rsidRDefault="00143A70" w:rsidP="00143A70">
      <w:r w:rsidRPr="006769D4">
        <w:t>The experiment was conducted on a movement console which consisted of</w:t>
      </w:r>
      <w:r w:rsidR="00157A1D" w:rsidRPr="006769D4">
        <w:t xml:space="preserve"> a gently sloped surface with</w:t>
      </w:r>
      <w:r w:rsidRPr="006769D4">
        <w:t xml:space="preserve"> a separate </w:t>
      </w:r>
      <w:proofErr w:type="spellStart"/>
      <w:r w:rsidR="0078786A">
        <w:t>haptically</w:t>
      </w:r>
      <w:proofErr w:type="spellEnd"/>
      <w:r w:rsidR="0078786A">
        <w:t xml:space="preserve">-defined </w:t>
      </w:r>
      <w:r w:rsidRPr="006769D4">
        <w:t>starting position for the left and right hand nearest to the partic</w:t>
      </w:r>
      <w:r w:rsidR="008C23A7" w:rsidRPr="006769D4">
        <w:t>ipant</w:t>
      </w:r>
      <w:r w:rsidR="00B416ED" w:rsidRPr="006769D4">
        <w:t xml:space="preserve">, </w:t>
      </w:r>
      <w:r w:rsidR="008C23A7" w:rsidRPr="006769D4">
        <w:t>and separate goal</w:t>
      </w:r>
      <w:r w:rsidRPr="006769D4">
        <w:t xml:space="preserve"> button</w:t>
      </w:r>
      <w:r w:rsidR="008C23A7" w:rsidRPr="006769D4">
        <w:t>s</w:t>
      </w:r>
      <w:r w:rsidRPr="006769D4">
        <w:t xml:space="preserve"> for the left and right hand</w:t>
      </w:r>
      <w:r w:rsidR="008C23A7" w:rsidRPr="006769D4">
        <w:t>, measuring 4 cm in diameter</w:t>
      </w:r>
      <w:r w:rsidRPr="006769D4">
        <w:t xml:space="preserve">, located directly in front of the starting position, at a distance of </w:t>
      </w:r>
      <w:r w:rsidR="008C23A7" w:rsidRPr="006769D4">
        <w:t>23 cm</w:t>
      </w:r>
      <w:r w:rsidR="0078786A">
        <w:t xml:space="preserve"> from the starting position. </w:t>
      </w:r>
      <w:r w:rsidR="00B416ED" w:rsidRPr="006769D4">
        <w:t xml:space="preserve">Starting positions and goal buttons were positioned at 18 cm from the body midline on either side. </w:t>
      </w:r>
    </w:p>
    <w:p w14:paraId="1A73AB6E" w14:textId="77777777" w:rsidR="0062728D" w:rsidRPr="006769D4" w:rsidRDefault="00143A70" w:rsidP="00143A70">
      <w:r w:rsidRPr="006769D4">
        <w:t>A one-way mirror was positioned above the console</w:t>
      </w:r>
      <w:r w:rsidR="00BF39CE" w:rsidRPr="006769D4">
        <w:t>, between it</w:t>
      </w:r>
      <w:r w:rsidRPr="006769D4">
        <w:t xml:space="preserve"> and the participant, above </w:t>
      </w:r>
      <w:r w:rsidR="00BF39CE" w:rsidRPr="006769D4">
        <w:t xml:space="preserve">whom </w:t>
      </w:r>
      <w:r w:rsidRPr="006769D4">
        <w:t>was a 21” CRT computer monitor</w:t>
      </w:r>
      <w:r w:rsidR="00BF39CE" w:rsidRPr="006769D4">
        <w:t xml:space="preserve"> with the screen facing down</w:t>
      </w:r>
      <w:r w:rsidRPr="006769D4">
        <w:t>. The mirror was adjusted such that when the display from the monitor was reflected on the glass, it appeared to originate from the console below. Stimuli could thus be presented so that they appeared to be projected directly onto the surface where movement took place, without being obscured by each participant’s hand. By dimming the ambient light in the testing cubicle, the mirror reflected the light from the monitor above, whilst preventing light from the movement surface below from passing through, thus allowing</w:t>
      </w:r>
      <w:r w:rsidR="0062728D" w:rsidRPr="006769D4">
        <w:t xml:space="preserve"> a participant to move his or her hand without having visual access to its location.</w:t>
      </w:r>
    </w:p>
    <w:p w14:paraId="62845E94" w14:textId="77777777" w:rsidR="0062728D" w:rsidRDefault="00F30B43" w:rsidP="00143A70">
      <w:r w:rsidRPr="00F31310">
        <w:t>Circular stimuli</w:t>
      </w:r>
      <w:r w:rsidR="00BB3B13" w:rsidRPr="00F31310">
        <w:t xml:space="preserve">, of the same diameter as the buttons at the goal locations </w:t>
      </w:r>
      <w:r w:rsidR="00F31310" w:rsidRPr="0051473F">
        <w:t>were visible throughout the experiment</w:t>
      </w:r>
      <w:r w:rsidR="00F31310">
        <w:t>,</w:t>
      </w:r>
      <w:r w:rsidR="00BB3B13" w:rsidRPr="00F31310">
        <w:t xml:space="preserve"> at the both </w:t>
      </w:r>
      <w:r w:rsidR="00F31310">
        <w:t xml:space="preserve">the </w:t>
      </w:r>
      <w:r w:rsidR="00BB3B13" w:rsidRPr="00F31310">
        <w:t>goal and effector</w:t>
      </w:r>
      <w:r w:rsidR="00F31310">
        <w:t xml:space="preserve"> locations.</w:t>
      </w:r>
    </w:p>
    <w:p w14:paraId="6090BDA4" w14:textId="77777777" w:rsidR="00AD10A8" w:rsidRPr="006769D4" w:rsidRDefault="006769D4" w:rsidP="00AD10A8">
      <w:pPr>
        <w:pStyle w:val="Heading2"/>
      </w:pPr>
      <w:r>
        <w:t xml:space="preserve">2.3 </w:t>
      </w:r>
      <w:r w:rsidR="00AD10A8" w:rsidRPr="006769D4">
        <w:t>Procedure</w:t>
      </w:r>
      <w:r w:rsidR="00C12F13" w:rsidRPr="006769D4">
        <w:t xml:space="preserve"> and stimuli</w:t>
      </w:r>
    </w:p>
    <w:p w14:paraId="2BC8210F" w14:textId="1D111891" w:rsidR="00C12F13" w:rsidRPr="006769D4" w:rsidRDefault="00C12F13" w:rsidP="00C12F13">
      <w:r w:rsidRPr="006769D4">
        <w:t>The sequence of events is illustrated in</w:t>
      </w:r>
      <w:r w:rsidR="00D83B6B">
        <w:t xml:space="preserve"> Figure 2</w:t>
      </w:r>
      <w:fldSimple w:instr=" REF _Ref324345783 \h  \* MERGEFORMAT "/>
      <w:r w:rsidRPr="006769D4">
        <w:t xml:space="preserve">. Participants sat in front of the movement console in a dimly lit cubicle, with their gaze on a fixation cross </w:t>
      </w:r>
      <w:r w:rsidR="00B416ED" w:rsidRPr="006769D4">
        <w:t>presented centrally</w:t>
      </w:r>
      <w:r w:rsidRPr="006769D4">
        <w:t>, equidistant between the starting position and the goal</w:t>
      </w:r>
      <w:r w:rsidR="00393BA3">
        <w:t>, and the topmost part of the fingers of each hand resting on the starting position</w:t>
      </w:r>
      <w:r w:rsidRPr="006769D4">
        <w:t xml:space="preserve">. </w:t>
      </w:r>
      <w:r w:rsidR="00393BA3">
        <w:t xml:space="preserve">They were asked to maintain their gaze on the fixation cross through each block. </w:t>
      </w:r>
      <w:r w:rsidR="006F767D">
        <w:t xml:space="preserve">In order to prevent vision of the hand biasing our comparisons between effector and goal locations, participants’ hands were occluded behind a one-way mirror. </w:t>
      </w:r>
      <w:r w:rsidR="0053591D" w:rsidRPr="006769D4">
        <w:t>At the start of each</w:t>
      </w:r>
      <w:r w:rsidR="002655C9" w:rsidRPr="006769D4">
        <w:t xml:space="preserve"> trial, an</w:t>
      </w:r>
      <w:r w:rsidRPr="006769D4">
        <w:t xml:space="preserve"> auditory cue sounded for a duration of 100</w:t>
      </w:r>
      <w:r w:rsidR="001621F6" w:rsidRPr="006769D4">
        <w:t>ms, comprised of a tone of either 1000 Hz or 1500 Hz</w:t>
      </w:r>
      <w:r w:rsidR="002655C9" w:rsidRPr="006769D4">
        <w:t xml:space="preserve"> indicating </w:t>
      </w:r>
      <w:r w:rsidR="003B6FD9">
        <w:t>which target button to press</w:t>
      </w:r>
      <w:r w:rsidR="001621F6" w:rsidRPr="006769D4">
        <w:t>.</w:t>
      </w:r>
      <w:r w:rsidRPr="006769D4">
        <w:t xml:space="preserve"> The </w:t>
      </w:r>
      <w:r w:rsidR="00AC69F7" w:rsidRPr="006769D4">
        <w:t xml:space="preserve">pitch to </w:t>
      </w:r>
      <w:r w:rsidR="003B6FD9">
        <w:t>target</w:t>
      </w:r>
      <w:r w:rsidR="003B6FD9" w:rsidRPr="006769D4">
        <w:t xml:space="preserve"> </w:t>
      </w:r>
      <w:r w:rsidR="00AC69F7" w:rsidRPr="006769D4">
        <w:t xml:space="preserve">mapping </w:t>
      </w:r>
      <w:r w:rsidRPr="006769D4">
        <w:t xml:space="preserve">of the cue was counterbalanced across participants, who </w:t>
      </w:r>
      <w:r w:rsidR="00AF3E4C">
        <w:t xml:space="preserve">were instructed either to move their left hand to the left button, or their right hand to the right button, </w:t>
      </w:r>
      <w:r w:rsidRPr="006769D4">
        <w:t>immediately after hearing it</w:t>
      </w:r>
      <w:r w:rsidR="00AF3E4C">
        <w:t>.</w:t>
      </w:r>
      <w:r w:rsidR="00D56271">
        <w:t xml:space="preserve"> </w:t>
      </w:r>
      <w:r w:rsidR="009E5CCA">
        <w:t xml:space="preserve">A total of 1440 trials were presented across ten blocks, with a break in between each block. </w:t>
      </w:r>
      <w:r w:rsidR="00D04A3B">
        <w:t>The duration of the experimental session was approximately one and a half hours.</w:t>
      </w:r>
    </w:p>
    <w:p w14:paraId="37A9062E" w14:textId="77777777" w:rsidR="00507621" w:rsidRDefault="00C12F13" w:rsidP="00507621">
      <w:r w:rsidRPr="006769D4">
        <w:t xml:space="preserve">A task-irrelevant visual ‘dot probe’ </w:t>
      </w:r>
      <w:r w:rsidR="006F767D">
        <w:t xml:space="preserve">presented in the centre of one of the circle stimuli </w:t>
      </w:r>
      <w:r w:rsidRPr="006769D4">
        <w:t>was used to measure visual processing</w:t>
      </w:r>
      <w:r w:rsidR="00A3574F">
        <w:t>;</w:t>
      </w:r>
      <w:r w:rsidRPr="006769D4">
        <w:t xml:space="preserve"> </w:t>
      </w:r>
      <w:r w:rsidR="0004230E" w:rsidRPr="006769D4">
        <w:t>Following the cue, a</w:t>
      </w:r>
      <w:r w:rsidRPr="006769D4">
        <w:t xml:space="preserve">fter an SOA of 100, 200 or 300 </w:t>
      </w:r>
      <w:proofErr w:type="spellStart"/>
      <w:r w:rsidR="00D56271" w:rsidRPr="006769D4">
        <w:t>ms</w:t>
      </w:r>
      <w:proofErr w:type="spellEnd"/>
      <w:r w:rsidR="00D56271">
        <w:t xml:space="preserve"> (chosen based upon both previously published behavioural work, e.g. </w:t>
      </w:r>
      <w:proofErr w:type="spellStart"/>
      <w:r w:rsidR="00D56271">
        <w:t>Schiegg</w:t>
      </w:r>
      <w:proofErr w:type="spellEnd"/>
      <w:r w:rsidR="00D56271">
        <w:t xml:space="preserve"> et al, 2003, and pilot data)</w:t>
      </w:r>
      <w:r w:rsidRPr="006769D4">
        <w:t>, a small white circle</w:t>
      </w:r>
      <w:r w:rsidR="008C23A7" w:rsidRPr="006769D4">
        <w:t>, measuring 2º visual angle</w:t>
      </w:r>
      <w:r w:rsidRPr="006769D4">
        <w:t xml:space="preserve"> was presented via the monitor, but </w:t>
      </w:r>
      <w:r w:rsidR="001621F6" w:rsidRPr="006769D4">
        <w:t xml:space="preserve">which appeared </w:t>
      </w:r>
      <w:r w:rsidRPr="006769D4">
        <w:t xml:space="preserve">to originate on the movement console.  </w:t>
      </w:r>
      <w:r w:rsidR="002E0606" w:rsidRPr="006769D4">
        <w:t xml:space="preserve">This probe stimulus was presented for 100 </w:t>
      </w:r>
      <w:proofErr w:type="spellStart"/>
      <w:r w:rsidR="002E0606" w:rsidRPr="006769D4">
        <w:t>ms</w:t>
      </w:r>
      <w:proofErr w:type="spellEnd"/>
      <w:r w:rsidR="00664775">
        <w:t xml:space="preserve"> </w:t>
      </w:r>
      <w:proofErr w:type="spellStart"/>
      <w:r w:rsidR="00664775">
        <w:t>equi</w:t>
      </w:r>
      <w:proofErr w:type="spellEnd"/>
      <w:r w:rsidR="00664775">
        <w:t>-probably but</w:t>
      </w:r>
      <w:r w:rsidR="002E0606" w:rsidRPr="006769D4">
        <w:t xml:space="preserve"> </w:t>
      </w:r>
      <w:r w:rsidR="0038115D" w:rsidRPr="006769D4">
        <w:t xml:space="preserve">pseudo-randomly </w:t>
      </w:r>
      <w:r w:rsidR="002E0606" w:rsidRPr="006769D4">
        <w:t xml:space="preserve">at either </w:t>
      </w:r>
      <w:r w:rsidR="0038115D" w:rsidRPr="006769D4">
        <w:t>one of the goal or one of the effector locations</w:t>
      </w:r>
      <w:r w:rsidRPr="006769D4">
        <w:t xml:space="preserve">. </w:t>
      </w:r>
    </w:p>
    <w:p w14:paraId="6A5EE25C" w14:textId="164E5A28" w:rsidR="00507621" w:rsidRDefault="0038115D" w:rsidP="00507621">
      <w:r w:rsidRPr="006769D4">
        <w:t>P</w:t>
      </w:r>
      <w:r w:rsidR="00C12F13" w:rsidRPr="006769D4">
        <w:t>articipant</w:t>
      </w:r>
      <w:r w:rsidRPr="006769D4">
        <w:t>s received</w:t>
      </w:r>
      <w:r w:rsidR="00C12F13" w:rsidRPr="006769D4">
        <w:t xml:space="preserve"> </w:t>
      </w:r>
      <w:r w:rsidR="00671703">
        <w:t xml:space="preserve">immediate </w:t>
      </w:r>
      <w:r w:rsidRPr="006769D4">
        <w:t xml:space="preserve">auditory </w:t>
      </w:r>
      <w:r w:rsidR="00C12F13" w:rsidRPr="006769D4">
        <w:t xml:space="preserve">feedback </w:t>
      </w:r>
      <w:r w:rsidRPr="006769D4">
        <w:t xml:space="preserve">if the </w:t>
      </w:r>
      <w:r w:rsidR="002655C9" w:rsidRPr="006769D4">
        <w:t>incorrect</w:t>
      </w:r>
      <w:r w:rsidR="00C12F13" w:rsidRPr="006769D4">
        <w:t xml:space="preserve"> target button was depressed</w:t>
      </w:r>
      <w:r w:rsidRPr="006769D4">
        <w:t>, in which case</w:t>
      </w:r>
      <w:r w:rsidR="00C12F13" w:rsidRPr="006769D4">
        <w:t xml:space="preserve"> a buzzer sounded and the trial was discarded. </w:t>
      </w:r>
      <w:r w:rsidR="003876D3">
        <w:t xml:space="preserve">After pressing one of the two goal buttons, participants returned their hands to the starting position, which signalled the end of a trial. </w:t>
      </w:r>
      <w:r w:rsidR="00C12F13" w:rsidRPr="006769D4">
        <w:t>After a random inter-trial interval of between 500 and 1000ms the next trial started.</w:t>
      </w:r>
      <w:r w:rsidR="009E5CCA">
        <w:t xml:space="preserve"> </w:t>
      </w:r>
    </w:p>
    <w:p w14:paraId="036D8DF5" w14:textId="16A95A55" w:rsidR="00751341" w:rsidRDefault="00751341" w:rsidP="00507621">
      <w:r>
        <w:t>&lt;FIGURE 1 HERE&gt;</w:t>
      </w:r>
    </w:p>
    <w:p w14:paraId="17CB1F74" w14:textId="55ACE36B" w:rsidR="002655C9" w:rsidRPr="006769D4" w:rsidRDefault="006769D4" w:rsidP="002655C9">
      <w:pPr>
        <w:pStyle w:val="Heading2"/>
      </w:pPr>
      <w:r>
        <w:t xml:space="preserve">2.4 </w:t>
      </w:r>
      <w:r w:rsidR="002655C9" w:rsidRPr="006769D4">
        <w:t>Data Analysis</w:t>
      </w:r>
    </w:p>
    <w:p w14:paraId="668266C7" w14:textId="77777777" w:rsidR="002655C9" w:rsidRPr="006769D4" w:rsidRDefault="002655C9" w:rsidP="002655C9">
      <w:pPr>
        <w:pStyle w:val="Heading3"/>
      </w:pPr>
      <w:r w:rsidRPr="006769D4">
        <w:t>Behavioural Analysis</w:t>
      </w:r>
    </w:p>
    <w:p w14:paraId="33ADBEA1" w14:textId="55888662" w:rsidR="002655C9" w:rsidRPr="006769D4" w:rsidRDefault="002655C9" w:rsidP="002655C9">
      <w:r w:rsidRPr="006769D4">
        <w:t xml:space="preserve">Movement time and accuracy were recorded on a trial by trial basis, and separate averages were computed for each participant, </w:t>
      </w:r>
      <w:r w:rsidR="00BF1B0A" w:rsidRPr="006769D4">
        <w:t xml:space="preserve">for each component of </w:t>
      </w:r>
      <w:r w:rsidR="007769C6" w:rsidRPr="006769D4">
        <w:t>action</w:t>
      </w:r>
      <w:r w:rsidR="00BF1B0A" w:rsidRPr="006769D4">
        <w:t xml:space="preserve"> </w:t>
      </w:r>
      <w:r w:rsidR="00DF5D33" w:rsidRPr="006769D4">
        <w:rPr>
          <w:i/>
        </w:rPr>
        <w:t>(</w:t>
      </w:r>
      <w:r w:rsidR="00BF1B0A" w:rsidRPr="006769D4">
        <w:rPr>
          <w:i/>
        </w:rPr>
        <w:t>goal, effector)</w:t>
      </w:r>
      <w:r w:rsidR="007769C6" w:rsidRPr="006769D4">
        <w:rPr>
          <w:i/>
        </w:rPr>
        <w:t xml:space="preserve"> </w:t>
      </w:r>
      <w:r w:rsidRPr="006769D4">
        <w:t xml:space="preserve">and each of the two variables </w:t>
      </w:r>
      <w:r w:rsidRPr="006769D4">
        <w:rPr>
          <w:i/>
          <w:iCs/>
        </w:rPr>
        <w:t>probe location</w:t>
      </w:r>
      <w:r w:rsidRPr="006769D4">
        <w:t xml:space="preserve"> (</w:t>
      </w:r>
      <w:r w:rsidR="00C30BC3" w:rsidRPr="006769D4">
        <w:rPr>
          <w:i/>
        </w:rPr>
        <w:t>movement-relevant</w:t>
      </w:r>
      <w:r w:rsidRPr="006769D4">
        <w:rPr>
          <w:i/>
        </w:rPr>
        <w:t xml:space="preserve">, </w:t>
      </w:r>
      <w:r w:rsidR="00C30BC3" w:rsidRPr="006769D4">
        <w:rPr>
          <w:i/>
        </w:rPr>
        <w:t>movement-irrelevant</w:t>
      </w:r>
      <w:r w:rsidRPr="006769D4">
        <w:t xml:space="preserve">), and </w:t>
      </w:r>
      <w:r w:rsidRPr="006769D4">
        <w:rPr>
          <w:i/>
          <w:iCs/>
        </w:rPr>
        <w:t>SOA</w:t>
      </w:r>
      <w:r w:rsidRPr="006769D4">
        <w:t xml:space="preserve"> (</w:t>
      </w:r>
      <w:r w:rsidRPr="006769D4">
        <w:rPr>
          <w:i/>
        </w:rPr>
        <w:t>100, 200, 300ms</w:t>
      </w:r>
      <w:r w:rsidRPr="006769D4">
        <w:t>). These were analysed with repeated measures ANOVA</w:t>
      </w:r>
      <w:r w:rsidR="00437D1B">
        <w:t>s</w:t>
      </w:r>
      <w:r w:rsidR="00BA2D57">
        <w:t xml:space="preserve">, with all post-hoc t-tests </w:t>
      </w:r>
      <w:proofErr w:type="spellStart"/>
      <w:r w:rsidR="00BA2D57">
        <w:t>Bonferroni</w:t>
      </w:r>
      <w:proofErr w:type="spellEnd"/>
      <w:r w:rsidR="00BA2D57">
        <w:t xml:space="preserve"> corrected.</w:t>
      </w:r>
    </w:p>
    <w:p w14:paraId="2B76F444" w14:textId="77777777" w:rsidR="002655C9" w:rsidRPr="006769D4" w:rsidRDefault="002655C9" w:rsidP="002655C9">
      <w:pPr>
        <w:pStyle w:val="Heading3"/>
      </w:pPr>
      <w:r w:rsidRPr="006769D4">
        <w:t>EEG recording and data analysis</w:t>
      </w:r>
    </w:p>
    <w:p w14:paraId="0D859D03" w14:textId="77777777" w:rsidR="002655C9" w:rsidRPr="006769D4" w:rsidRDefault="002655C9" w:rsidP="002655C9">
      <w:r w:rsidRPr="006769D4">
        <w:t xml:space="preserve">The EEG was filtered at a rate of 0.1 – 40 Hz using a band-pass filter, and segmented into 800ms epochs, running from 400ms before the presentation of the </w:t>
      </w:r>
      <w:r w:rsidR="00184E87" w:rsidRPr="006769D4">
        <w:t xml:space="preserve">auditory </w:t>
      </w:r>
      <w:r w:rsidRPr="006769D4">
        <w:t xml:space="preserve">cue to 400ms after. Epochs were averaged relative to a baseline period 100ms before the onset of the auditory cue. Trials with eye blinks or movements (voltage in HEOG channels exceeding +/- 30 µV) or muscle artefacts (voltage at any other electrode site exceeding +/- 80 µV) were discarded.  </w:t>
      </w:r>
    </w:p>
    <w:p w14:paraId="59E53A6E" w14:textId="71982F7F" w:rsidR="002655C9" w:rsidRPr="006769D4" w:rsidRDefault="0033538A" w:rsidP="002655C9">
      <w:r w:rsidRPr="006769D4">
        <w:t xml:space="preserve">Effects of movement preparation on sensory processing will be studied by examining modulations on </w:t>
      </w:r>
      <w:r w:rsidR="00437D1B">
        <w:t xml:space="preserve">the </w:t>
      </w:r>
      <w:r w:rsidRPr="006769D4">
        <w:t xml:space="preserve">posterior ERP </w:t>
      </w:r>
      <w:r w:rsidRPr="001E7A21">
        <w:t>component</w:t>
      </w:r>
      <w:r w:rsidR="006A2E23" w:rsidRPr="001E7A21">
        <w:t xml:space="preserve"> </w:t>
      </w:r>
      <w:r w:rsidRPr="001E7A21">
        <w:t>N1</w:t>
      </w:r>
      <w:r w:rsidR="007769C6" w:rsidRPr="001E7A21">
        <w:t xml:space="preserve"> at P7/P8</w:t>
      </w:r>
      <w:r w:rsidR="0023320E" w:rsidRPr="001E7A21">
        <w:t xml:space="preserve"> and PO7/PO8</w:t>
      </w:r>
      <w:r w:rsidRPr="001E7A21">
        <w:t xml:space="preserve">, representing visual processing in </w:t>
      </w:r>
      <w:r w:rsidR="0029130B" w:rsidRPr="001E7A21">
        <w:t>secondary</w:t>
      </w:r>
      <w:r w:rsidRPr="001E7A21">
        <w:t xml:space="preserve"> visual areas</w:t>
      </w:r>
      <w:r w:rsidR="0029130B" w:rsidRPr="001E7A21">
        <w:t xml:space="preserve"> </w:t>
      </w:r>
      <w:r w:rsidRPr="001E7A21">
        <w:t>(</w:t>
      </w:r>
      <w:r w:rsidR="0029130B" w:rsidRPr="001E7A21">
        <w:t>e.g.</w:t>
      </w:r>
      <w:r w:rsidR="00437D1B" w:rsidRPr="001E7A21">
        <w:t>,</w:t>
      </w:r>
      <w:r w:rsidR="0029130B" w:rsidRPr="001E7A21">
        <w:t xml:space="preserve"> </w:t>
      </w:r>
      <w:r w:rsidR="00EE3F8B" w:rsidRPr="001E7A21">
        <w:fldChar w:fldCharType="begin" w:fldLock="1"/>
      </w:r>
      <w:r w:rsidR="00173758">
        <w:instrText>ADDIN CSL_CITATION { "citationItems" : [ { "id" : "ITEM-1", "itemData" : { "ISSN" : "0027-8424", "PMID" : "9448241", "abstract" : "Event-related brain potentials (ERPs) provide high-resolution measures of the time course of neuronal activity patterns associated with perceptual and cognitive processes. New techniques for ERP source analysis and comparisons with data from blood-flow neuroimaging studies enable improved localization of cortical activity during visual selective attention. ERP modulations during spatial attention point toward a mechanism of gain control over information flow in extrastriate visual cortical pathways, starting about 80 ms after stimulus onset. Paying attention to nonspatial features such as color, motion, or shape is manifested by qualitatively different ERP patterns in multiple cortical areas that begin with latencies of 100-150 ms. The processing of nonspatial features seems to be contingent upon the prior selection of location, consistent with early selection theories of attention and with the hypothesis that spatial attention is \"special.\"", "author" : [ { "dropping-particle" : "", "family" : "Hillyard", "given" : "S.A.", "non-dropping-particle" : "", "parse-names" : false, "suffix" : "" }, { "dropping-particle" : "", "family" : "Anllo-Vento", "given" : "L", "non-dropping-particle" : "", "parse-names" : false, "suffix" : "" } ], "container-title" : "Proceedings of the National Academy of Sciences of the United States of America", "id" : "ITEM-1", "issue" : "3", "issued" : { "date-parts" : [ [ "1998", "2", "3" ] ] }, "page" : "781-7", "title" : "Event-related brain potentials in the study of visual selective attention.", "type" : "article-journal", "volume" : "95" }, "uris" : [ "http://www.mendeley.com/documents/?uuid=bcaba205-5585-48b1-8b0c-d6a568e16414" ] } ], "mendeley" : { "manualFormatting" : "Hillyard &amp; Anllo-Vento, 1998)", "previouslyFormattedCitation" : "(Hillyard &amp; Anllo-Vento, 1998)" }, "properties" : { "noteIndex" : 0 }, "schema" : "https://github.com/citation-style-language/schema/raw/master/csl-citation.json" }</w:instrText>
      </w:r>
      <w:r w:rsidR="00EE3F8B" w:rsidRPr="001E7A21">
        <w:fldChar w:fldCharType="separate"/>
      </w:r>
      <w:r w:rsidR="00EE3F8B" w:rsidRPr="001E7A21">
        <w:rPr>
          <w:noProof/>
        </w:rPr>
        <w:t>Hillyard &amp; Anllo-Vento, 1998)</w:t>
      </w:r>
      <w:r w:rsidR="00EE3F8B" w:rsidRPr="001E7A21">
        <w:fldChar w:fldCharType="end"/>
      </w:r>
      <w:r w:rsidRPr="001E7A21">
        <w:t xml:space="preserve">. </w:t>
      </w:r>
      <w:r w:rsidR="00D637C0" w:rsidRPr="001E7A21">
        <w:t>Mean</w:t>
      </w:r>
      <w:r w:rsidR="00D637C0" w:rsidRPr="006769D4">
        <w:t xml:space="preserve"> </w:t>
      </w:r>
      <w:r w:rsidR="002655C9" w:rsidRPr="006769D4">
        <w:t>ERP</w:t>
      </w:r>
      <w:r w:rsidR="00D637C0" w:rsidRPr="006769D4">
        <w:t xml:space="preserve"> amplitude</w:t>
      </w:r>
      <w:r w:rsidR="002655C9" w:rsidRPr="006769D4">
        <w:t xml:space="preserve">s were analysed </w:t>
      </w:r>
      <w:r w:rsidR="00D637C0" w:rsidRPr="006769D4">
        <w:t>for</w:t>
      </w:r>
      <w:r w:rsidR="002655C9" w:rsidRPr="006769D4">
        <w:t xml:space="preserve"> 40ms latency windows centred </w:t>
      </w:r>
      <w:r w:rsidR="004C7AAD" w:rsidRPr="006769D4">
        <w:t>around</w:t>
      </w:r>
      <w:r w:rsidR="002655C9" w:rsidRPr="006769D4">
        <w:t xml:space="preserve"> the peak of </w:t>
      </w:r>
      <w:r w:rsidR="00E51C0C" w:rsidRPr="006769D4">
        <w:t>the N1</w:t>
      </w:r>
      <w:r w:rsidR="002655C9" w:rsidRPr="006769D4">
        <w:t xml:space="preserve"> component</w:t>
      </w:r>
      <w:r w:rsidR="004C7AAD" w:rsidRPr="006769D4">
        <w:t xml:space="preserve"> at electrodes</w:t>
      </w:r>
      <w:r w:rsidR="00D637C0" w:rsidRPr="006769D4">
        <w:t xml:space="preserve"> </w:t>
      </w:r>
      <w:r w:rsidR="009B5AFA">
        <w:t xml:space="preserve">P7, P8, PO7 and PO8 </w:t>
      </w:r>
      <w:r w:rsidR="00D637C0" w:rsidRPr="006769D4">
        <w:t>(</w:t>
      </w:r>
      <w:r w:rsidR="00A3574F">
        <w:t>interval tested for probe at</w:t>
      </w:r>
      <w:r w:rsidR="009B5AFA">
        <w:t xml:space="preserve">: </w:t>
      </w:r>
      <w:r w:rsidR="007769C6" w:rsidRPr="006769D4">
        <w:t>goal</w:t>
      </w:r>
      <w:r w:rsidR="009B5AFA">
        <w:t>,</w:t>
      </w:r>
      <w:r w:rsidR="007769C6" w:rsidRPr="006769D4">
        <w:t xml:space="preserve"> 188-228ms, effector</w:t>
      </w:r>
      <w:r w:rsidR="009B5AFA">
        <w:t>,</w:t>
      </w:r>
      <w:r w:rsidR="007769C6" w:rsidRPr="006769D4">
        <w:t xml:space="preserve"> 175-215 </w:t>
      </w:r>
      <w:proofErr w:type="spellStart"/>
      <w:r w:rsidR="007769C6" w:rsidRPr="006769D4">
        <w:t>ms</w:t>
      </w:r>
      <w:proofErr w:type="spellEnd"/>
      <w:r w:rsidR="00D637C0" w:rsidRPr="006769D4">
        <w:t>)</w:t>
      </w:r>
      <w:r w:rsidR="007769C6" w:rsidRPr="006769D4">
        <w:t xml:space="preserve">. </w:t>
      </w:r>
      <w:r w:rsidR="002655C9" w:rsidRPr="006769D4">
        <w:t xml:space="preserve">Information about the visual </w:t>
      </w:r>
      <w:proofErr w:type="spellStart"/>
      <w:r w:rsidR="002655C9" w:rsidRPr="006769D4">
        <w:t>hemifield</w:t>
      </w:r>
      <w:proofErr w:type="spellEnd"/>
      <w:r w:rsidR="002655C9" w:rsidRPr="006769D4">
        <w:t xml:space="preserve"> of probe presentation, and the brain hemisphere over which ERP responses were measured was collapsed to indicate whether the response was contralateral or </w:t>
      </w:r>
      <w:proofErr w:type="spellStart"/>
      <w:r w:rsidR="002655C9" w:rsidRPr="006769D4">
        <w:t>ipsilateral</w:t>
      </w:r>
      <w:proofErr w:type="spellEnd"/>
      <w:r w:rsidR="002655C9" w:rsidRPr="006769D4">
        <w:t xml:space="preserve"> to the side of presentation. Separate ANOVAs were performed for probes presented at goal and effector locations, using three within-subject factors: </w:t>
      </w:r>
      <w:r w:rsidR="002655C9" w:rsidRPr="006769D4">
        <w:rPr>
          <w:i/>
          <w:iCs/>
        </w:rPr>
        <w:t>probe location</w:t>
      </w:r>
      <w:r w:rsidR="002655C9" w:rsidRPr="006769D4">
        <w:t xml:space="preserve"> (probes </w:t>
      </w:r>
      <w:r w:rsidR="00437D1B">
        <w:t xml:space="preserve">either </w:t>
      </w:r>
      <w:r w:rsidR="002655C9" w:rsidRPr="006769D4">
        <w:t>presented on the effector that was about to move</w:t>
      </w:r>
      <w:r w:rsidR="00437D1B">
        <w:t xml:space="preserve"> versus</w:t>
      </w:r>
      <w:r w:rsidR="002655C9" w:rsidRPr="006769D4">
        <w:t xml:space="preserve"> on the effector that </w:t>
      </w:r>
      <w:r w:rsidR="00437D1B">
        <w:t>w</w:t>
      </w:r>
      <w:r w:rsidR="002655C9" w:rsidRPr="006769D4">
        <w:t>as not, or on the goal that was about to be moved toward</w:t>
      </w:r>
      <w:r w:rsidR="00437D1B">
        <w:t xml:space="preserve"> versus</w:t>
      </w:r>
      <w:r w:rsidR="002655C9" w:rsidRPr="006769D4">
        <w:t xml:space="preserve"> on the goal that was not), </w:t>
      </w:r>
      <w:r w:rsidR="002655C9" w:rsidRPr="006769D4">
        <w:rPr>
          <w:i/>
          <w:iCs/>
        </w:rPr>
        <w:t>SOA</w:t>
      </w:r>
      <w:r w:rsidR="002655C9" w:rsidRPr="006769D4">
        <w:t xml:space="preserve"> (100/200/300 </w:t>
      </w:r>
      <w:proofErr w:type="spellStart"/>
      <w:r w:rsidR="002655C9" w:rsidRPr="006769D4">
        <w:t>ms</w:t>
      </w:r>
      <w:proofErr w:type="spellEnd"/>
      <w:r w:rsidR="002655C9" w:rsidRPr="006769D4">
        <w:t xml:space="preserve">) and </w:t>
      </w:r>
      <w:r w:rsidR="002655C9" w:rsidRPr="006769D4">
        <w:rPr>
          <w:i/>
          <w:iCs/>
        </w:rPr>
        <w:t>hemisphere</w:t>
      </w:r>
      <w:r w:rsidR="002655C9" w:rsidRPr="006769D4">
        <w:t xml:space="preserve"> (contralateral/</w:t>
      </w:r>
      <w:proofErr w:type="spellStart"/>
      <w:r w:rsidR="002655C9" w:rsidRPr="006769D4">
        <w:t>ipsilateral</w:t>
      </w:r>
      <w:proofErr w:type="spellEnd"/>
      <w:r w:rsidR="002655C9" w:rsidRPr="006769D4">
        <w:t xml:space="preserve"> to probe location). All results were corrected for violations of </w:t>
      </w:r>
      <w:proofErr w:type="spellStart"/>
      <w:r w:rsidR="002655C9" w:rsidRPr="006769D4">
        <w:t>sphericity</w:t>
      </w:r>
      <w:proofErr w:type="spellEnd"/>
      <w:r w:rsidR="002655C9" w:rsidRPr="006769D4">
        <w:t xml:space="preserve"> using the Greenhouse-</w:t>
      </w:r>
      <w:proofErr w:type="spellStart"/>
      <w:r w:rsidR="002655C9" w:rsidRPr="006769D4">
        <w:t>Geisser</w:t>
      </w:r>
      <w:proofErr w:type="spellEnd"/>
      <w:r w:rsidR="002655C9" w:rsidRPr="006769D4">
        <w:t xml:space="preserve"> method where appropriate</w:t>
      </w:r>
      <w:r w:rsidR="00BA2D57">
        <w:t xml:space="preserve">, and all post-hoc t-tests were </w:t>
      </w:r>
      <w:proofErr w:type="spellStart"/>
      <w:r w:rsidR="00BA2D57">
        <w:t>Bonferroni</w:t>
      </w:r>
      <w:proofErr w:type="spellEnd"/>
      <w:r w:rsidR="00BA2D57">
        <w:t xml:space="preserve"> corrected.</w:t>
      </w:r>
    </w:p>
    <w:p w14:paraId="49FF6C98" w14:textId="77777777" w:rsidR="002655C9" w:rsidRPr="006769D4" w:rsidRDefault="002655C9" w:rsidP="002655C9">
      <w:r w:rsidRPr="006769D4">
        <w:t xml:space="preserve">Where ERPs are presented visually they are plotted relative to the onset of the visual probe. Due to three different SOAs being used, the relative timing of the cue onset and thus the baseline differs depending on probe timing. Where ERPs are presented collapsed over the variable SOA, the baselines plotted represent an averaging of 100ms baseline calculations taken across the three time windows.  </w:t>
      </w:r>
    </w:p>
    <w:p w14:paraId="4E4D7795" w14:textId="7B68A457" w:rsidR="00781FA4" w:rsidRPr="006769D4" w:rsidRDefault="006769D4" w:rsidP="00781FA4">
      <w:pPr>
        <w:pStyle w:val="Heading1"/>
        <w:rPr>
          <w:rFonts w:ascii="Times New Roman" w:hAnsi="Times New Roman"/>
        </w:rPr>
      </w:pPr>
      <w:bookmarkStart w:id="0" w:name="_GoBack"/>
      <w:bookmarkEnd w:id="0"/>
      <w:r>
        <w:rPr>
          <w:rFonts w:ascii="Times New Roman" w:hAnsi="Times New Roman"/>
        </w:rPr>
        <w:t>3</w:t>
      </w:r>
      <w:r w:rsidR="00DF2EBF">
        <w:rPr>
          <w:rFonts w:ascii="Times New Roman" w:hAnsi="Times New Roman"/>
        </w:rPr>
        <w:t>.</w:t>
      </w:r>
      <w:r>
        <w:rPr>
          <w:rFonts w:ascii="Times New Roman" w:hAnsi="Times New Roman"/>
        </w:rPr>
        <w:t xml:space="preserve"> </w:t>
      </w:r>
      <w:r w:rsidR="00781FA4" w:rsidRPr="006769D4">
        <w:rPr>
          <w:rFonts w:ascii="Times New Roman" w:hAnsi="Times New Roman"/>
        </w:rPr>
        <w:t>Results</w:t>
      </w:r>
    </w:p>
    <w:p w14:paraId="0CF15FAE" w14:textId="77777777" w:rsidR="00232DF7" w:rsidRPr="006769D4" w:rsidRDefault="006769D4" w:rsidP="00232DF7">
      <w:pPr>
        <w:pStyle w:val="Heading2"/>
      </w:pPr>
      <w:r>
        <w:t xml:space="preserve">3.1 </w:t>
      </w:r>
      <w:r w:rsidR="00232DF7" w:rsidRPr="006769D4">
        <w:t xml:space="preserve">Behavioural measures </w:t>
      </w:r>
    </w:p>
    <w:p w14:paraId="22F053CE" w14:textId="1BF1BBB6" w:rsidR="00101785" w:rsidRPr="006769D4" w:rsidRDefault="00232DF7" w:rsidP="00232DF7">
      <w:r w:rsidRPr="006769D4">
        <w:t xml:space="preserve">Behavioural measures of </w:t>
      </w:r>
      <w:r w:rsidR="006C59BD">
        <w:t>reaction</w:t>
      </w:r>
      <w:r w:rsidR="006C59BD" w:rsidRPr="006769D4">
        <w:t xml:space="preserve"> </w:t>
      </w:r>
      <w:r w:rsidRPr="006769D4">
        <w:t xml:space="preserve">time and reaching accuracy were recorded. Trials with </w:t>
      </w:r>
      <w:r w:rsidR="006C59BD">
        <w:t>RTs</w:t>
      </w:r>
      <w:r w:rsidRPr="006769D4">
        <w:t xml:space="preserve"> longer than 1500ms or shorter than 400ms (3.9%) were discarded. The mean time from </w:t>
      </w:r>
      <w:r w:rsidR="006C59BD">
        <w:t>cue onset</w:t>
      </w:r>
      <w:r w:rsidRPr="006769D4">
        <w:t xml:space="preserve"> to </w:t>
      </w:r>
      <w:r w:rsidR="006C59BD">
        <w:t xml:space="preserve">reaching </w:t>
      </w:r>
      <w:r w:rsidRPr="006769D4">
        <w:t xml:space="preserve">the target was </w:t>
      </w:r>
      <w:r w:rsidR="00101785" w:rsidRPr="006769D4">
        <w:t xml:space="preserve">825 </w:t>
      </w:r>
      <w:proofErr w:type="spellStart"/>
      <w:r w:rsidR="00101785" w:rsidRPr="006769D4">
        <w:t>ms</w:t>
      </w:r>
      <w:proofErr w:type="spellEnd"/>
      <w:r w:rsidR="00101785" w:rsidRPr="006769D4">
        <w:t xml:space="preserve"> (SD=210</w:t>
      </w:r>
      <w:r w:rsidRPr="006769D4">
        <w:t>ms)</w:t>
      </w:r>
      <w:r w:rsidR="00101785" w:rsidRPr="006769D4">
        <w:t xml:space="preserve">, 826 </w:t>
      </w:r>
      <w:proofErr w:type="spellStart"/>
      <w:r w:rsidR="00101785" w:rsidRPr="006769D4">
        <w:t>ms</w:t>
      </w:r>
      <w:proofErr w:type="spellEnd"/>
      <w:r w:rsidR="00101785" w:rsidRPr="006769D4">
        <w:t xml:space="preserve"> (SD=218 </w:t>
      </w:r>
      <w:proofErr w:type="spellStart"/>
      <w:r w:rsidR="00101785" w:rsidRPr="006769D4">
        <w:t>ms</w:t>
      </w:r>
      <w:proofErr w:type="spellEnd"/>
      <w:r w:rsidR="00101785" w:rsidRPr="006769D4">
        <w:t xml:space="preserve">) and 825 </w:t>
      </w:r>
      <w:proofErr w:type="spellStart"/>
      <w:r w:rsidR="00101785" w:rsidRPr="006769D4">
        <w:t>ms</w:t>
      </w:r>
      <w:proofErr w:type="spellEnd"/>
      <w:r w:rsidR="00101785" w:rsidRPr="006769D4">
        <w:t xml:space="preserve"> (SD=217 </w:t>
      </w:r>
      <w:proofErr w:type="spellStart"/>
      <w:r w:rsidR="00101785" w:rsidRPr="006769D4">
        <w:t>ms</w:t>
      </w:r>
      <w:proofErr w:type="spellEnd"/>
      <w:r w:rsidR="00101785" w:rsidRPr="006769D4">
        <w:t>) for the 100, 200 and 300 SOA conditions respectively. T</w:t>
      </w:r>
      <w:r w:rsidR="0029130B" w:rsidRPr="006769D4">
        <w:t xml:space="preserve">he mean accuracy rate </w:t>
      </w:r>
      <w:r w:rsidR="00101785" w:rsidRPr="006769D4">
        <w:t xml:space="preserve">for the three SOA conditions </w:t>
      </w:r>
      <w:r w:rsidR="0029130B" w:rsidRPr="006769D4">
        <w:t xml:space="preserve">was </w:t>
      </w:r>
      <w:r w:rsidR="00101785" w:rsidRPr="006769D4">
        <w:t>99.8</w:t>
      </w:r>
      <w:r w:rsidR="003D6628" w:rsidRPr="006769D4">
        <w:t>% (SD=</w:t>
      </w:r>
      <w:r w:rsidR="00101785" w:rsidRPr="006769D4">
        <w:t>3.81</w:t>
      </w:r>
      <w:r w:rsidR="003D6628" w:rsidRPr="006769D4">
        <w:t>%)</w:t>
      </w:r>
      <w:r w:rsidR="00101785" w:rsidRPr="006769D4">
        <w:t>, 99.7% (SD=14.8%) and 99.2% (SD=8.81%).</w:t>
      </w:r>
    </w:p>
    <w:p w14:paraId="78CBC526" w14:textId="50E55777" w:rsidR="00232DF7" w:rsidRPr="006769D4" w:rsidRDefault="00232DF7" w:rsidP="00232DF7">
      <w:r w:rsidRPr="006769D4">
        <w:t xml:space="preserve">Movements to the goal upon which the probe was presented were </w:t>
      </w:r>
      <w:r w:rsidR="003D1A99" w:rsidRPr="006769D4">
        <w:t xml:space="preserve">both more </w:t>
      </w:r>
      <w:r w:rsidRPr="006769D4">
        <w:t>accurate</w:t>
      </w:r>
      <w:r w:rsidR="003D1A99" w:rsidRPr="006769D4">
        <w:t xml:space="preserve"> </w:t>
      </w:r>
      <w:r w:rsidRPr="006769D4">
        <w:t>than those to the un-prob</w:t>
      </w:r>
      <w:r w:rsidR="00990E19" w:rsidRPr="006769D4">
        <w:t>ed goal, F(1,12)=9.628, p=.009, and</w:t>
      </w:r>
      <w:r w:rsidR="003D1A99" w:rsidRPr="006769D4">
        <w:t xml:space="preserve"> also faster toward the probed than the </w:t>
      </w:r>
      <w:proofErr w:type="spellStart"/>
      <w:r w:rsidR="003D1A99" w:rsidRPr="006769D4">
        <w:t>unprobed</w:t>
      </w:r>
      <w:proofErr w:type="spellEnd"/>
      <w:r w:rsidR="003D1A99" w:rsidRPr="006769D4">
        <w:t xml:space="preserve"> goal</w:t>
      </w:r>
      <w:r w:rsidRPr="006769D4">
        <w:t xml:space="preserve">, F(34.164), p&lt;.001. </w:t>
      </w:r>
      <w:r w:rsidRPr="006769D4">
        <w:rPr>
          <w:i/>
          <w:iCs/>
        </w:rPr>
        <w:t>Probe location</w:t>
      </w:r>
      <w:r w:rsidRPr="006769D4">
        <w:t xml:space="preserve"> interacted with </w:t>
      </w:r>
      <w:r w:rsidRPr="006769D4">
        <w:rPr>
          <w:i/>
          <w:iCs/>
        </w:rPr>
        <w:t xml:space="preserve">SOA </w:t>
      </w:r>
      <w:r w:rsidRPr="006769D4">
        <w:rPr>
          <w:iCs/>
        </w:rPr>
        <w:t>for movement times</w:t>
      </w:r>
      <w:r w:rsidRPr="006769D4">
        <w:t xml:space="preserve">, F(2,24)=31.509, p&lt;.001. Post-hoc t-tests compared </w:t>
      </w:r>
      <w:r w:rsidR="006C59BD">
        <w:t>RTs</w:t>
      </w:r>
      <w:r w:rsidRPr="006769D4">
        <w:t xml:space="preserve"> for probed and un-probed goal trials, separately for each SOA. </w:t>
      </w:r>
      <w:r w:rsidR="006C59BD">
        <w:t>RTs</w:t>
      </w:r>
      <w:r w:rsidR="006C59BD" w:rsidRPr="006769D4">
        <w:t xml:space="preserve"> </w:t>
      </w:r>
      <w:r w:rsidRPr="006769D4">
        <w:t xml:space="preserve">were </w:t>
      </w:r>
      <w:r w:rsidR="006C59BD">
        <w:t>shorter</w:t>
      </w:r>
      <w:r w:rsidR="006C59BD" w:rsidRPr="006769D4">
        <w:t xml:space="preserve"> </w:t>
      </w:r>
      <w:r w:rsidRPr="006769D4">
        <w:t xml:space="preserve">for trials </w:t>
      </w:r>
      <w:r w:rsidR="006C59BD">
        <w:t>in</w:t>
      </w:r>
      <w:r w:rsidR="006C59BD" w:rsidRPr="006769D4">
        <w:t xml:space="preserve"> </w:t>
      </w:r>
      <w:r w:rsidRPr="006769D4">
        <w:t xml:space="preserve">which the goal was probed at 100 </w:t>
      </w:r>
      <w:proofErr w:type="spellStart"/>
      <w:r w:rsidRPr="006769D4">
        <w:t>ms</w:t>
      </w:r>
      <w:proofErr w:type="spellEnd"/>
      <w:r w:rsidRPr="006769D4">
        <w:t>, t(12)=8.209, p&lt;.</w:t>
      </w:r>
      <w:r w:rsidR="00492E71" w:rsidRPr="006769D4">
        <w:t>00</w:t>
      </w:r>
      <w:r w:rsidR="00492E71">
        <w:t>3</w:t>
      </w:r>
      <w:r w:rsidRPr="006769D4">
        <w:t xml:space="preserve">, 200 </w:t>
      </w:r>
      <w:proofErr w:type="spellStart"/>
      <w:r w:rsidRPr="006769D4">
        <w:t>ms</w:t>
      </w:r>
      <w:proofErr w:type="spellEnd"/>
      <w:r w:rsidRPr="006769D4">
        <w:t>, t(12)=2.939, p=.</w:t>
      </w:r>
      <w:r w:rsidR="00492E71" w:rsidRPr="006769D4">
        <w:t>0</w:t>
      </w:r>
      <w:r w:rsidR="00492E71">
        <w:t>36</w:t>
      </w:r>
      <w:r w:rsidRPr="006769D4">
        <w:t xml:space="preserve">, and 300 </w:t>
      </w:r>
      <w:proofErr w:type="spellStart"/>
      <w:r w:rsidRPr="006769D4">
        <w:t>ms</w:t>
      </w:r>
      <w:proofErr w:type="spellEnd"/>
      <w:r w:rsidRPr="006769D4">
        <w:t>, t(12)=2.615, p=.</w:t>
      </w:r>
      <w:r w:rsidR="00492E71" w:rsidRPr="006769D4">
        <w:t>0</w:t>
      </w:r>
      <w:r w:rsidR="00492E71">
        <w:t>69</w:t>
      </w:r>
      <w:r w:rsidRPr="006769D4">
        <w:t>.</w:t>
      </w:r>
    </w:p>
    <w:p w14:paraId="3C572F4D" w14:textId="0959401C" w:rsidR="00232DF7" w:rsidRPr="006769D4" w:rsidRDefault="00232DF7" w:rsidP="00232DF7">
      <w:r w:rsidRPr="006769D4">
        <w:t xml:space="preserve">Movements </w:t>
      </w:r>
      <w:r w:rsidR="0029130B" w:rsidRPr="006769D4">
        <w:t>executed using</w:t>
      </w:r>
      <w:r w:rsidRPr="006769D4">
        <w:t xml:space="preserve"> the effector that was probed were more accurate than those using an un-probed effector, F(1,12)=8.540, p=.013; they were also faster, F(1,12)=23.825, p&lt;.001. </w:t>
      </w:r>
      <w:r w:rsidRPr="006769D4">
        <w:rPr>
          <w:i/>
          <w:iCs/>
        </w:rPr>
        <w:t>Probe location</w:t>
      </w:r>
      <w:r w:rsidRPr="006769D4">
        <w:t xml:space="preserve"> interacted with </w:t>
      </w:r>
      <w:r w:rsidRPr="006769D4">
        <w:rPr>
          <w:i/>
          <w:iCs/>
        </w:rPr>
        <w:t>SOA</w:t>
      </w:r>
      <w:r w:rsidRPr="006769D4">
        <w:t xml:space="preserve"> for movement times, F(2,24)=7.398, p=.003. Post-hoc t-tests compared movement times using the probed </w:t>
      </w:r>
      <w:r w:rsidR="0038115D" w:rsidRPr="006769D4">
        <w:t>and</w:t>
      </w:r>
      <w:r w:rsidRPr="006769D4">
        <w:t xml:space="preserve"> the un-probed effector separately for each SOA. Trials in which the probe was presented at 100 </w:t>
      </w:r>
      <w:proofErr w:type="spellStart"/>
      <w:r w:rsidRPr="006769D4">
        <w:t>ms</w:t>
      </w:r>
      <w:proofErr w:type="spellEnd"/>
      <w:r w:rsidRPr="006769D4">
        <w:t xml:space="preserve"> were faster when using the probed </w:t>
      </w:r>
      <w:proofErr w:type="spellStart"/>
      <w:r w:rsidRPr="006769D4">
        <w:t>vs</w:t>
      </w:r>
      <w:proofErr w:type="spellEnd"/>
      <w:r w:rsidRPr="006769D4">
        <w:t xml:space="preserve"> the un-probed effect, t(12)=5.885, p&lt;.</w:t>
      </w:r>
      <w:r w:rsidR="00492E71" w:rsidRPr="006769D4">
        <w:t>00</w:t>
      </w:r>
      <w:r w:rsidR="00492E71">
        <w:t>3</w:t>
      </w:r>
      <w:r w:rsidRPr="006769D4">
        <w:t xml:space="preserve">, but not at 200 or 300 </w:t>
      </w:r>
      <w:proofErr w:type="spellStart"/>
      <w:r w:rsidRPr="006769D4">
        <w:t>ms.</w:t>
      </w:r>
      <w:proofErr w:type="spellEnd"/>
      <w:r w:rsidRPr="006769D4">
        <w:t xml:space="preserve">  </w:t>
      </w:r>
    </w:p>
    <w:p w14:paraId="77BE7768" w14:textId="77777777" w:rsidR="007769C6" w:rsidRPr="006769D4" w:rsidRDefault="007769C6" w:rsidP="00E108A1">
      <w:pPr>
        <w:pStyle w:val="Heading2"/>
      </w:pPr>
    </w:p>
    <w:p w14:paraId="60F7DA33" w14:textId="77777777" w:rsidR="001F3FC1" w:rsidRPr="006769D4" w:rsidRDefault="006769D4" w:rsidP="00E108A1">
      <w:pPr>
        <w:pStyle w:val="Heading2"/>
      </w:pPr>
      <w:r>
        <w:t xml:space="preserve">3.2 </w:t>
      </w:r>
      <w:r w:rsidR="00E108A1" w:rsidRPr="006769D4">
        <w:t>Electrophysiological results</w:t>
      </w:r>
    </w:p>
    <w:p w14:paraId="1F7AB577" w14:textId="38221DD6" w:rsidR="00E33B26" w:rsidRPr="006769D4" w:rsidRDefault="00F95066" w:rsidP="00E108A1">
      <w:r w:rsidRPr="00450FF0">
        <w:t xml:space="preserve">Figures </w:t>
      </w:r>
      <w:r w:rsidR="00D83B6B">
        <w:t>2</w:t>
      </w:r>
      <w:r w:rsidRPr="00450FF0">
        <w:t xml:space="preserve"> and </w:t>
      </w:r>
      <w:r w:rsidR="00D83B6B">
        <w:t>3</w:t>
      </w:r>
      <w:r w:rsidRPr="00450FF0">
        <w:t xml:space="preserve"> show the ERPs elicited by </w:t>
      </w:r>
      <w:r w:rsidR="00F9624B" w:rsidRPr="00450FF0">
        <w:t>task-</w:t>
      </w:r>
      <w:r w:rsidR="00E33B26" w:rsidRPr="00450FF0">
        <w:t xml:space="preserve">irrelevant </w:t>
      </w:r>
      <w:r w:rsidRPr="00450FF0">
        <w:t xml:space="preserve">visual probes presented </w:t>
      </w:r>
      <w:r w:rsidR="00F9624B" w:rsidRPr="00450FF0">
        <w:t xml:space="preserve">at </w:t>
      </w:r>
      <w:r w:rsidRPr="00450FF0">
        <w:t>the goal</w:t>
      </w:r>
      <w:r w:rsidRPr="006769D4">
        <w:t xml:space="preserve"> and effector locations respectively.</w:t>
      </w:r>
      <w:r w:rsidR="00CA7838" w:rsidRPr="006769D4">
        <w:t xml:space="preserve"> Bold black </w:t>
      </w:r>
      <w:r w:rsidR="00E33B26" w:rsidRPr="006769D4">
        <w:t xml:space="preserve">lines </w:t>
      </w:r>
      <w:r w:rsidR="00CA7838" w:rsidRPr="006769D4">
        <w:t>represent ERPs elicited by probes presented at a movement relevant location, grey lines show ERPs elicited by probes presented at locations that were not relevant to the movement</w:t>
      </w:r>
      <w:r w:rsidR="00E33B26" w:rsidRPr="006769D4">
        <w:t xml:space="preserve">. </w:t>
      </w:r>
      <w:r w:rsidRPr="006769D4">
        <w:t xml:space="preserve"> </w:t>
      </w:r>
      <w:r w:rsidR="00E108A1" w:rsidRPr="006769D4">
        <w:t xml:space="preserve">The </w:t>
      </w:r>
      <w:r w:rsidR="00643214" w:rsidRPr="006769D4">
        <w:t>task-</w:t>
      </w:r>
      <w:r w:rsidR="00E33B26" w:rsidRPr="006769D4">
        <w:t xml:space="preserve">irrelevant </w:t>
      </w:r>
      <w:r w:rsidR="00E108A1" w:rsidRPr="006769D4">
        <w:t>visual probe stimuli elicited  clear visual N1 ERP component</w:t>
      </w:r>
      <w:r w:rsidR="0023320E" w:rsidRPr="006769D4">
        <w:t>s</w:t>
      </w:r>
      <w:r w:rsidR="00E108A1" w:rsidRPr="006769D4">
        <w:t xml:space="preserve"> </w:t>
      </w:r>
      <w:r w:rsidR="00432C57" w:rsidRPr="006769D4">
        <w:t xml:space="preserve">that </w:t>
      </w:r>
      <w:r w:rsidR="00DB67D4" w:rsidRPr="006769D4">
        <w:t>we</w:t>
      </w:r>
      <w:r w:rsidR="00432C57" w:rsidRPr="006769D4">
        <w:t xml:space="preserve">re </w:t>
      </w:r>
      <w:r w:rsidR="00E108A1" w:rsidRPr="006769D4">
        <w:t>maximal at electrode sites P7/8 and PO7/8 over the hemisphere contralateral to the side of presentation</w:t>
      </w:r>
      <w:r w:rsidR="00C30BC3" w:rsidRPr="006769D4">
        <w:t xml:space="preserve"> (</w:t>
      </w:r>
      <w:r w:rsidR="006F4D0E" w:rsidRPr="006769D4">
        <w:t xml:space="preserve">see </w:t>
      </w:r>
      <w:r w:rsidR="00D83B6B">
        <w:t>F</w:t>
      </w:r>
      <w:r w:rsidR="006F4D0E" w:rsidRPr="006769D4">
        <w:t>igure</w:t>
      </w:r>
      <w:r w:rsidR="00DB67D4" w:rsidRPr="006769D4">
        <w:t xml:space="preserve"> </w:t>
      </w:r>
      <w:r w:rsidR="00D83B6B">
        <w:t>2</w:t>
      </w:r>
      <w:r w:rsidR="00C30BC3" w:rsidRPr="006769D4">
        <w:t>)</w:t>
      </w:r>
      <w:r w:rsidR="00E33B26" w:rsidRPr="006769D4">
        <w:t xml:space="preserve"> </w:t>
      </w:r>
      <w:r w:rsidR="00E108A1" w:rsidRPr="006769D4">
        <w:t>.</w:t>
      </w:r>
      <w:r w:rsidR="00E33B26" w:rsidRPr="006769D4">
        <w:t xml:space="preserve"> The location at which the probe was presented had a clear effect on th</w:t>
      </w:r>
      <w:r w:rsidR="00DB67D4" w:rsidRPr="006769D4">
        <w:t>e amplitude of the N1 component</w:t>
      </w:r>
      <w:r w:rsidR="00643214" w:rsidRPr="006769D4">
        <w:t>:</w:t>
      </w:r>
      <w:r w:rsidR="00E33B26" w:rsidRPr="006769D4">
        <w:t xml:space="preserve"> N1 components show enlarged amplitudes when the probe was presented at a location relevant to the movement that was being prepared</w:t>
      </w:r>
      <w:r w:rsidR="00643214" w:rsidRPr="006769D4">
        <w:t xml:space="preserve"> and this was most pronounced over the contralateral scalp</w:t>
      </w:r>
      <w:r w:rsidR="00E33B26" w:rsidRPr="006769D4">
        <w:t>. Crucially, whereas clear modulations can be observed for all SOAs when the probe was presented near the goal of an upcoming movement, when the probe was presented near the effector this seemed to depend on the time between the movement cue and the probe onset (SOA)</w:t>
      </w:r>
      <w:r w:rsidR="00ED6A84" w:rsidRPr="006769D4">
        <w:t xml:space="preserve"> and </w:t>
      </w:r>
      <w:r w:rsidR="00DB67D4" w:rsidRPr="006769D4">
        <w:t xml:space="preserve">was </w:t>
      </w:r>
      <w:r w:rsidR="00643214" w:rsidRPr="006769D4">
        <w:t>most pronounced</w:t>
      </w:r>
      <w:r w:rsidR="00ED6A84" w:rsidRPr="006769D4">
        <w:t xml:space="preserve"> for the 200 </w:t>
      </w:r>
      <w:proofErr w:type="spellStart"/>
      <w:r w:rsidR="00ED6A84" w:rsidRPr="006769D4">
        <w:t>ms</w:t>
      </w:r>
      <w:proofErr w:type="spellEnd"/>
      <w:r w:rsidR="00ED6A84" w:rsidRPr="006769D4">
        <w:t xml:space="preserve"> SOA</w:t>
      </w:r>
      <w:r w:rsidR="00E33B26" w:rsidRPr="006769D4">
        <w:t xml:space="preserve">. </w:t>
      </w:r>
    </w:p>
    <w:p w14:paraId="41904F07" w14:textId="77777777" w:rsidR="00E33B26" w:rsidRDefault="00E33B26" w:rsidP="00E108A1">
      <w:r w:rsidRPr="006769D4">
        <w:t xml:space="preserve">These informal observations were substantiated by statistical analysis of the N1 mean amplitude, carried out separately for probes presented at goal and effector locations using the variables </w:t>
      </w:r>
      <w:r w:rsidRPr="006769D4">
        <w:rPr>
          <w:i/>
          <w:iCs/>
        </w:rPr>
        <w:t>probe location</w:t>
      </w:r>
      <w:r w:rsidRPr="006769D4">
        <w:t xml:space="preserve">, </w:t>
      </w:r>
      <w:r w:rsidRPr="006769D4">
        <w:rPr>
          <w:i/>
          <w:iCs/>
        </w:rPr>
        <w:t>SOA</w:t>
      </w:r>
      <w:r w:rsidRPr="006769D4">
        <w:t xml:space="preserve"> and </w:t>
      </w:r>
      <w:r w:rsidRPr="006769D4">
        <w:rPr>
          <w:i/>
          <w:iCs/>
        </w:rPr>
        <w:t>hemisphere</w:t>
      </w:r>
      <w:r w:rsidRPr="006769D4">
        <w:t>.</w:t>
      </w:r>
    </w:p>
    <w:p w14:paraId="0841CC14" w14:textId="77777777" w:rsidR="00751341" w:rsidRDefault="00751341" w:rsidP="00E108A1"/>
    <w:p w14:paraId="5F3ED2DC" w14:textId="082C3996" w:rsidR="00751341" w:rsidRDefault="00751341" w:rsidP="00E108A1">
      <w:r>
        <w:t>&lt;FIGURES 2 AND 3 HERE&gt;</w:t>
      </w:r>
    </w:p>
    <w:p w14:paraId="2655C3EE" w14:textId="434A52FC" w:rsidR="003936A7" w:rsidRDefault="003936A7">
      <w:pPr>
        <w:spacing w:after="0" w:line="240" w:lineRule="auto"/>
      </w:pPr>
      <w:r>
        <w:br w:type="page"/>
      </w:r>
    </w:p>
    <w:p w14:paraId="58348D3E" w14:textId="77777777" w:rsidR="00E108A1" w:rsidRPr="006769D4" w:rsidRDefault="00E108A1" w:rsidP="00E108A1">
      <w:pPr>
        <w:pStyle w:val="Heading3"/>
        <w:rPr>
          <w:i w:val="0"/>
        </w:rPr>
      </w:pPr>
      <w:r w:rsidRPr="006769D4">
        <w:t>ERP measures of visual processing at the goal</w:t>
      </w:r>
      <w:r w:rsidR="004F77C1" w:rsidRPr="006769D4">
        <w:t xml:space="preserve">. </w:t>
      </w:r>
    </w:p>
    <w:p w14:paraId="731B6B39" w14:textId="6488DD0E" w:rsidR="00CE1CC7" w:rsidRPr="006769D4" w:rsidRDefault="006F4D0E" w:rsidP="00CE1CC7">
      <w:r w:rsidRPr="006769D4">
        <w:t>T</w:t>
      </w:r>
      <w:r w:rsidR="00232DF7" w:rsidRPr="006769D4">
        <w:t>he</w:t>
      </w:r>
      <w:r w:rsidRPr="006769D4">
        <w:t xml:space="preserve"> observed</w:t>
      </w:r>
      <w:r w:rsidR="00232DF7" w:rsidRPr="006769D4">
        <w:t xml:space="preserve"> lateralised nature of the visual N1</w:t>
      </w:r>
      <w:r w:rsidRPr="006769D4">
        <w:t xml:space="preserve"> was confirmed by a main effect of </w:t>
      </w:r>
      <w:r w:rsidRPr="006769D4">
        <w:rPr>
          <w:i/>
          <w:iCs/>
        </w:rPr>
        <w:t>hemisphere</w:t>
      </w:r>
      <w:r w:rsidRPr="006769D4">
        <w:t xml:space="preserve"> (F(1,12)=12.777, p=.004</w:t>
      </w:r>
      <w:r w:rsidR="00DE1162">
        <w:t>, η</w:t>
      </w:r>
      <w:r w:rsidR="00DE1162" w:rsidRPr="00C6059A">
        <w:rPr>
          <w:vertAlign w:val="subscript"/>
        </w:rPr>
        <w:t>p</w:t>
      </w:r>
      <w:r w:rsidR="00DE1162" w:rsidRPr="004E4743">
        <w:rPr>
          <w:vertAlign w:val="superscript"/>
        </w:rPr>
        <w:t>2</w:t>
      </w:r>
      <w:r w:rsidR="00DE1162">
        <w:t>=.516</w:t>
      </w:r>
      <w:r w:rsidRPr="006769D4">
        <w:t>)</w:t>
      </w:r>
      <w:r w:rsidR="00232DF7" w:rsidRPr="006769D4">
        <w:t xml:space="preserve">. </w:t>
      </w:r>
      <w:r w:rsidR="00E25878" w:rsidRPr="006769D4">
        <w:t>The</w:t>
      </w:r>
      <w:r w:rsidR="00F95066" w:rsidRPr="006769D4">
        <w:t xml:space="preserve"> </w:t>
      </w:r>
      <w:r w:rsidR="00241F25" w:rsidRPr="006769D4">
        <w:t>observation that</w:t>
      </w:r>
      <w:r w:rsidR="00E25878" w:rsidRPr="006769D4">
        <w:t xml:space="preserve"> the N1 amplitude elicited by probes that were presented close to the goal of the movement</w:t>
      </w:r>
      <w:r w:rsidR="00F95066" w:rsidRPr="006769D4">
        <w:t xml:space="preserve"> </w:t>
      </w:r>
      <w:r w:rsidR="00241F25" w:rsidRPr="006769D4">
        <w:t>was enhanced, and more strongly so over the contralateral hemisphere</w:t>
      </w:r>
      <w:r w:rsidR="0043217F">
        <w:t>,</w:t>
      </w:r>
      <w:r w:rsidR="00241F25" w:rsidRPr="006769D4">
        <w:t xml:space="preserve"> was confirmed </w:t>
      </w:r>
      <w:r w:rsidR="00F95066" w:rsidRPr="006769D4">
        <w:t>by a</w:t>
      </w:r>
      <w:r w:rsidR="00E108A1" w:rsidRPr="006769D4">
        <w:t xml:space="preserve"> </w:t>
      </w:r>
      <w:r w:rsidR="00E108A1" w:rsidRPr="006769D4">
        <w:rPr>
          <w:i/>
          <w:iCs/>
        </w:rPr>
        <w:t>probe location</w:t>
      </w:r>
      <w:r w:rsidR="00E108A1" w:rsidRPr="006769D4">
        <w:t xml:space="preserve"> </w:t>
      </w:r>
      <w:r w:rsidR="00F95066" w:rsidRPr="006769D4">
        <w:t>by</w:t>
      </w:r>
      <w:r w:rsidR="00E108A1" w:rsidRPr="006769D4">
        <w:t xml:space="preserve"> </w:t>
      </w:r>
      <w:r w:rsidR="00E108A1" w:rsidRPr="006769D4">
        <w:rPr>
          <w:i/>
          <w:iCs/>
        </w:rPr>
        <w:t>hemisphere</w:t>
      </w:r>
      <w:r w:rsidR="00F95066" w:rsidRPr="006769D4">
        <w:rPr>
          <w:i/>
          <w:iCs/>
        </w:rPr>
        <w:t xml:space="preserve"> </w:t>
      </w:r>
      <w:r w:rsidR="00F95066" w:rsidRPr="006769D4">
        <w:rPr>
          <w:iCs/>
        </w:rPr>
        <w:t>interaction</w:t>
      </w:r>
      <w:r w:rsidR="00F95066" w:rsidRPr="006769D4">
        <w:rPr>
          <w:i/>
          <w:iCs/>
        </w:rPr>
        <w:t xml:space="preserve"> (</w:t>
      </w:r>
      <w:r w:rsidR="00E108A1" w:rsidRPr="006769D4">
        <w:t>F(1,12)=11.339, p=.006</w:t>
      </w:r>
      <w:r w:rsidR="00DE1162">
        <w:t>, η</w:t>
      </w:r>
      <w:r w:rsidR="00DE1162" w:rsidRPr="004E4743">
        <w:rPr>
          <w:vertAlign w:val="subscript"/>
        </w:rPr>
        <w:t>p</w:t>
      </w:r>
      <w:r w:rsidR="00DE1162" w:rsidRPr="004E4743">
        <w:rPr>
          <w:vertAlign w:val="superscript"/>
        </w:rPr>
        <w:t>2</w:t>
      </w:r>
      <w:r w:rsidR="00DE1162">
        <w:t>=.486</w:t>
      </w:r>
      <w:r w:rsidR="00F95066" w:rsidRPr="006769D4">
        <w:t>)</w:t>
      </w:r>
      <w:r w:rsidR="007D06B5" w:rsidRPr="006769D4">
        <w:t>, while a main effect of probe location was not observed (F(1,12)=.2-4, p=.803</w:t>
      </w:r>
      <w:r w:rsidR="00DE1162">
        <w:t>, η</w:t>
      </w:r>
      <w:r w:rsidR="00DE1162" w:rsidRPr="004E4743">
        <w:rPr>
          <w:vertAlign w:val="subscript"/>
        </w:rPr>
        <w:t>p</w:t>
      </w:r>
      <w:r w:rsidR="00DE1162" w:rsidRPr="004E4743">
        <w:rPr>
          <w:vertAlign w:val="superscript"/>
        </w:rPr>
        <w:t>2</w:t>
      </w:r>
      <w:r w:rsidR="00DE1162">
        <w:t>=.005</w:t>
      </w:r>
      <w:r w:rsidR="007D06B5" w:rsidRPr="006769D4">
        <w:t>)</w:t>
      </w:r>
      <w:r w:rsidR="00CE1CC7" w:rsidRPr="006769D4">
        <w:t xml:space="preserve">. Post-hoc t-tests showed that </w:t>
      </w:r>
      <w:r w:rsidR="00F95066" w:rsidRPr="006769D4">
        <w:t xml:space="preserve">the N1 </w:t>
      </w:r>
      <w:r w:rsidR="00E25878" w:rsidRPr="006769D4">
        <w:t>amplitude</w:t>
      </w:r>
      <w:r w:rsidR="007D06B5" w:rsidRPr="006769D4">
        <w:t xml:space="preserve"> </w:t>
      </w:r>
      <w:r w:rsidR="00CE1CC7" w:rsidRPr="006769D4">
        <w:t xml:space="preserve">elicited by probes presented at the </w:t>
      </w:r>
      <w:r w:rsidR="00E25878" w:rsidRPr="006769D4">
        <w:t>movement</w:t>
      </w:r>
      <w:r w:rsidR="00CE1CC7" w:rsidRPr="006769D4">
        <w:t xml:space="preserve"> goal </w:t>
      </w:r>
      <w:r w:rsidR="00E25878" w:rsidRPr="006769D4">
        <w:t xml:space="preserve">was </w:t>
      </w:r>
      <w:r w:rsidR="00CE1CC7" w:rsidRPr="006769D4">
        <w:t xml:space="preserve">larger than for </w:t>
      </w:r>
      <w:r w:rsidR="00E25878" w:rsidRPr="006769D4">
        <w:t xml:space="preserve">probes </w:t>
      </w:r>
      <w:r w:rsidR="00CE1CC7" w:rsidRPr="006769D4">
        <w:t>presented at the goal that was not being moved to when measured over the contralateral hemisphere, t(12)=-4.345, p=.</w:t>
      </w:r>
      <w:r w:rsidR="00492E71" w:rsidRPr="006769D4">
        <w:t>00</w:t>
      </w:r>
      <w:r w:rsidR="00492E71">
        <w:t>2</w:t>
      </w:r>
      <w:r w:rsidR="00825086">
        <w:t>, d=.180</w:t>
      </w:r>
      <w:r w:rsidR="00CE1CC7" w:rsidRPr="006769D4">
        <w:t xml:space="preserve">. This effect was </w:t>
      </w:r>
      <w:r w:rsidR="00492E71">
        <w:t>not</w:t>
      </w:r>
      <w:r w:rsidR="00CE1CC7" w:rsidRPr="006769D4">
        <w:t xml:space="preserve"> significant when measured over the </w:t>
      </w:r>
      <w:proofErr w:type="spellStart"/>
      <w:r w:rsidR="00CE1CC7" w:rsidRPr="006769D4">
        <w:t>ipsilateral</w:t>
      </w:r>
      <w:proofErr w:type="spellEnd"/>
      <w:r w:rsidR="00CE1CC7" w:rsidRPr="006769D4">
        <w:t xml:space="preserve"> hemisphere, t(12)=1.922, p=.</w:t>
      </w:r>
      <w:r w:rsidR="00492E71">
        <w:t>158</w:t>
      </w:r>
      <w:r w:rsidR="00825086">
        <w:t>, d=.533</w:t>
      </w:r>
      <w:r w:rsidR="00F95066" w:rsidRPr="006769D4">
        <w:t>.</w:t>
      </w:r>
      <w:r w:rsidR="00903A50" w:rsidRPr="006769D4">
        <w:t xml:space="preserve">The main effect of </w:t>
      </w:r>
      <w:r w:rsidR="00903A50" w:rsidRPr="006769D4">
        <w:rPr>
          <w:i/>
          <w:iCs/>
        </w:rPr>
        <w:t>SOA</w:t>
      </w:r>
      <w:r w:rsidR="00903A50" w:rsidRPr="006769D4">
        <w:t xml:space="preserve"> was not significant, F(2,24)=1.881, p=.174</w:t>
      </w:r>
      <w:r w:rsidR="007C582B">
        <w:t>, η</w:t>
      </w:r>
      <w:r w:rsidR="007C582B" w:rsidRPr="004E4743">
        <w:rPr>
          <w:vertAlign w:val="subscript"/>
        </w:rPr>
        <w:t>p</w:t>
      </w:r>
      <w:r w:rsidR="007C582B" w:rsidRPr="004E4743">
        <w:rPr>
          <w:vertAlign w:val="superscript"/>
        </w:rPr>
        <w:t>2</w:t>
      </w:r>
      <w:r w:rsidR="007C582B">
        <w:t>=.136</w:t>
      </w:r>
      <w:r w:rsidR="00903A50" w:rsidRPr="006769D4">
        <w:t>, and nor did it interact with any other variables, all F(2,24)&lt;.347, all p &gt; .690</w:t>
      </w:r>
      <w:r w:rsidR="007C582B">
        <w:t>, all η</w:t>
      </w:r>
      <w:r w:rsidR="007C582B" w:rsidRPr="004E4743">
        <w:rPr>
          <w:vertAlign w:val="subscript"/>
        </w:rPr>
        <w:t>p</w:t>
      </w:r>
      <w:r w:rsidR="007C582B" w:rsidRPr="004E4743">
        <w:rPr>
          <w:vertAlign w:val="superscript"/>
        </w:rPr>
        <w:t>2</w:t>
      </w:r>
      <w:r w:rsidR="00825086">
        <w:t>&lt;</w:t>
      </w:r>
      <w:r w:rsidR="007C582B">
        <w:t>.030</w:t>
      </w:r>
      <w:r w:rsidR="00903A50" w:rsidRPr="006769D4">
        <w:t>.</w:t>
      </w:r>
    </w:p>
    <w:p w14:paraId="7DED5287" w14:textId="77777777" w:rsidR="00903A50" w:rsidRPr="006769D4" w:rsidRDefault="00903A50" w:rsidP="00903A50">
      <w:pPr>
        <w:pStyle w:val="Heading3"/>
      </w:pPr>
      <w:r w:rsidRPr="006769D4">
        <w:t>ERP measures of visual processing at the effector</w:t>
      </w:r>
    </w:p>
    <w:p w14:paraId="148409BE" w14:textId="1D9E4A0E" w:rsidR="00903A50" w:rsidRPr="006769D4" w:rsidRDefault="00F95066" w:rsidP="00E108A1">
      <w:r w:rsidRPr="00DF7DE2">
        <w:t xml:space="preserve">Figure </w:t>
      </w:r>
      <w:r w:rsidR="00D83B6B">
        <w:t>3</w:t>
      </w:r>
      <w:r w:rsidRPr="00DF7DE2">
        <w:t xml:space="preserve"> shows </w:t>
      </w:r>
      <w:r w:rsidR="007D06B5" w:rsidRPr="00DF7DE2">
        <w:t>an enhanced N1 component when the probe was presented near the effector</w:t>
      </w:r>
      <w:r w:rsidR="007D06B5" w:rsidRPr="006769D4">
        <w:t xml:space="preserve"> that </w:t>
      </w:r>
      <w:r w:rsidR="00432C57" w:rsidRPr="006769D4">
        <w:t xml:space="preserve">was used to make the movement, </w:t>
      </w:r>
      <w:r w:rsidR="007D06B5" w:rsidRPr="006769D4">
        <w:t xml:space="preserve">and that this was more pronounced at contralateral electrodes. This was reflected in a </w:t>
      </w:r>
      <w:r w:rsidR="007D06B5" w:rsidRPr="00C6059A">
        <w:rPr>
          <w:i/>
        </w:rPr>
        <w:t>probe location</w:t>
      </w:r>
      <w:r w:rsidR="007D06B5" w:rsidRPr="006769D4">
        <w:t xml:space="preserve"> by </w:t>
      </w:r>
      <w:r w:rsidR="007D06B5" w:rsidRPr="00C6059A">
        <w:rPr>
          <w:i/>
        </w:rPr>
        <w:t>hemisphere</w:t>
      </w:r>
      <w:r w:rsidR="007D06B5" w:rsidRPr="006769D4">
        <w:t xml:space="preserve"> interaction (F(1,16)=15.686, p=.002</w:t>
      </w:r>
      <w:r w:rsidR="007C582B">
        <w:t>, η</w:t>
      </w:r>
      <w:r w:rsidR="007C582B" w:rsidRPr="004E4743">
        <w:rPr>
          <w:vertAlign w:val="subscript"/>
        </w:rPr>
        <w:t>p</w:t>
      </w:r>
      <w:r w:rsidR="007C582B" w:rsidRPr="004E4743">
        <w:rPr>
          <w:vertAlign w:val="superscript"/>
        </w:rPr>
        <w:t>2</w:t>
      </w:r>
      <w:r w:rsidR="007C582B">
        <w:t>=.567</w:t>
      </w:r>
      <w:r w:rsidR="007D06B5" w:rsidRPr="006769D4">
        <w:t xml:space="preserve">), in the absence of a main effect of </w:t>
      </w:r>
      <w:r w:rsidR="007D06B5" w:rsidRPr="00C6059A">
        <w:rPr>
          <w:i/>
        </w:rPr>
        <w:t>probe location</w:t>
      </w:r>
      <w:r w:rsidR="007D06B5" w:rsidRPr="006769D4">
        <w:t xml:space="preserve"> (F(1,12)=.402, p=.538</w:t>
      </w:r>
      <w:r w:rsidR="007C582B">
        <w:t>, η</w:t>
      </w:r>
      <w:r w:rsidR="007C582B" w:rsidRPr="004E4743">
        <w:rPr>
          <w:vertAlign w:val="subscript"/>
        </w:rPr>
        <w:t>p</w:t>
      </w:r>
      <w:r w:rsidR="007C582B" w:rsidRPr="004E4743">
        <w:rPr>
          <w:vertAlign w:val="superscript"/>
        </w:rPr>
        <w:t>2</w:t>
      </w:r>
      <w:r w:rsidR="007C582B">
        <w:t>=.032</w:t>
      </w:r>
      <w:r w:rsidR="007D06B5" w:rsidRPr="006769D4">
        <w:t xml:space="preserve">). </w:t>
      </w:r>
      <w:r w:rsidRPr="006769D4">
        <w:t>The</w:t>
      </w:r>
      <w:r w:rsidR="00232DF7" w:rsidRPr="006769D4">
        <w:t xml:space="preserve"> lateralised nature of the visual N1 was </w:t>
      </w:r>
      <w:r w:rsidRPr="006769D4">
        <w:t xml:space="preserve">again reflected </w:t>
      </w:r>
      <w:r w:rsidR="00232DF7" w:rsidRPr="006769D4">
        <w:t xml:space="preserve">by </w:t>
      </w:r>
      <w:r w:rsidRPr="006769D4">
        <w:t xml:space="preserve">a </w:t>
      </w:r>
      <w:r w:rsidR="00232DF7" w:rsidRPr="006769D4">
        <w:t xml:space="preserve">significant main effect of </w:t>
      </w:r>
      <w:r w:rsidR="00232DF7" w:rsidRPr="006769D4">
        <w:rPr>
          <w:i/>
          <w:iCs/>
        </w:rPr>
        <w:t>hemisphere</w:t>
      </w:r>
      <w:r w:rsidR="00232DF7" w:rsidRPr="006769D4">
        <w:t>, F(12)=32.290, p&lt;.001</w:t>
      </w:r>
      <w:r w:rsidR="007C582B">
        <w:t>, η</w:t>
      </w:r>
      <w:r w:rsidR="007C582B" w:rsidRPr="004E4743">
        <w:rPr>
          <w:vertAlign w:val="subscript"/>
        </w:rPr>
        <w:t>p</w:t>
      </w:r>
      <w:r w:rsidR="007C582B" w:rsidRPr="004E4743">
        <w:rPr>
          <w:vertAlign w:val="superscript"/>
        </w:rPr>
        <w:t>2</w:t>
      </w:r>
      <w:r w:rsidR="007C582B">
        <w:t>=.729</w:t>
      </w:r>
      <w:r w:rsidR="00232DF7" w:rsidRPr="006769D4">
        <w:t>.</w:t>
      </w:r>
      <w:r w:rsidR="00903A50" w:rsidRPr="006769D4">
        <w:t xml:space="preserve"> Post-hoc t-tests showed that probes presented on the moving effector were larger than those on the effector that was not moving when measured over the contralateral, t(12)=-3.353, p=.</w:t>
      </w:r>
      <w:r w:rsidR="00492E71" w:rsidRPr="006769D4">
        <w:t>0</w:t>
      </w:r>
      <w:r w:rsidR="00492E71">
        <w:t>12</w:t>
      </w:r>
      <w:r w:rsidR="00825086">
        <w:t>, d=.396</w:t>
      </w:r>
      <w:r w:rsidR="00903A50" w:rsidRPr="006769D4">
        <w:t xml:space="preserve">, but not </w:t>
      </w:r>
      <w:r w:rsidR="00232DF7" w:rsidRPr="006769D4">
        <w:t xml:space="preserve">the </w:t>
      </w:r>
      <w:proofErr w:type="spellStart"/>
      <w:r w:rsidR="00903A50" w:rsidRPr="006769D4">
        <w:t>ipsilateral</w:t>
      </w:r>
      <w:proofErr w:type="spellEnd"/>
      <w:r w:rsidR="00903A50" w:rsidRPr="006769D4">
        <w:t xml:space="preserve"> </w:t>
      </w:r>
      <w:r w:rsidR="00232DF7" w:rsidRPr="006769D4">
        <w:t>hemisphere</w:t>
      </w:r>
      <w:r w:rsidR="00903A50" w:rsidRPr="006769D4">
        <w:t>, t(12)=1.387, p=.</w:t>
      </w:r>
      <w:r w:rsidR="00492E71">
        <w:t>382</w:t>
      </w:r>
      <w:r w:rsidR="00825086">
        <w:t>, d=.385</w:t>
      </w:r>
      <w:r w:rsidR="00903A50" w:rsidRPr="006769D4">
        <w:t xml:space="preserve">.  </w:t>
      </w:r>
    </w:p>
    <w:p w14:paraId="1EA29635" w14:textId="7A75A7E5" w:rsidR="00BA2D57" w:rsidRDefault="007A744A" w:rsidP="006F7EF3">
      <w:r w:rsidRPr="00D7243D">
        <w:rPr>
          <w:iCs/>
        </w:rPr>
        <w:t xml:space="preserve">The observation that N1 modulations were dependent on SOA for effector probes was confirmed by a </w:t>
      </w:r>
      <w:r w:rsidR="007C582B" w:rsidRPr="00D7243D">
        <w:rPr>
          <w:i/>
          <w:iCs/>
        </w:rPr>
        <w:t xml:space="preserve">probe </w:t>
      </w:r>
      <w:r w:rsidR="006F7EF3" w:rsidRPr="00D7243D">
        <w:rPr>
          <w:i/>
          <w:iCs/>
        </w:rPr>
        <w:t>location</w:t>
      </w:r>
      <w:r w:rsidR="006F7EF3" w:rsidRPr="00D7243D">
        <w:t xml:space="preserve"> </w:t>
      </w:r>
      <w:r w:rsidRPr="00D7243D">
        <w:t xml:space="preserve">by </w:t>
      </w:r>
      <w:r w:rsidR="006F7EF3" w:rsidRPr="00D7243D">
        <w:rPr>
          <w:i/>
          <w:iCs/>
        </w:rPr>
        <w:t>SOA</w:t>
      </w:r>
      <w:r w:rsidRPr="00D7243D">
        <w:rPr>
          <w:i/>
          <w:iCs/>
        </w:rPr>
        <w:t xml:space="preserve"> interaction (</w:t>
      </w:r>
      <w:r w:rsidR="006F7EF3" w:rsidRPr="00D7243D">
        <w:t>F(2,24)=3.940, p=.047</w:t>
      </w:r>
      <w:r w:rsidR="007C582B" w:rsidRPr="00D7243D">
        <w:t xml:space="preserve">, </w:t>
      </w:r>
      <w:r w:rsidR="007C582B" w:rsidRPr="00CF49F0">
        <w:t>η</w:t>
      </w:r>
      <w:r w:rsidR="007C582B" w:rsidRPr="00CF49F0">
        <w:rPr>
          <w:vertAlign w:val="subscript"/>
        </w:rPr>
        <w:t>p</w:t>
      </w:r>
      <w:r w:rsidR="007C582B" w:rsidRPr="00CF49F0">
        <w:rPr>
          <w:vertAlign w:val="superscript"/>
        </w:rPr>
        <w:t>2</w:t>
      </w:r>
      <w:r w:rsidR="007C582B" w:rsidRPr="00CF49F0">
        <w:t>=.225</w:t>
      </w:r>
      <w:r w:rsidRPr="00D7243D">
        <w:t>)</w:t>
      </w:r>
      <w:r w:rsidR="006F7EF3" w:rsidRPr="00D7243D">
        <w:t xml:space="preserve">. </w:t>
      </w:r>
      <w:r w:rsidR="00BA2D57" w:rsidRPr="00D7243D">
        <w:t>Over the contralateral hemisphere, p</w:t>
      </w:r>
      <w:r w:rsidR="0090786D" w:rsidRPr="00D7243D">
        <w:t xml:space="preserve">robes presented on the moving effector elicited larger N1s than those on the effector that was not moving </w:t>
      </w:r>
      <w:r w:rsidR="00BA2D57" w:rsidRPr="00D7243D">
        <w:t xml:space="preserve">at </w:t>
      </w:r>
      <w:r w:rsidR="00CF49F0">
        <w:t xml:space="preserve">the </w:t>
      </w:r>
      <w:r w:rsidR="00BA2D57" w:rsidRPr="00D7243D">
        <w:t xml:space="preserve">200 </w:t>
      </w:r>
      <w:proofErr w:type="spellStart"/>
      <w:r w:rsidR="00BA2D57" w:rsidRPr="00D7243D">
        <w:t>ms</w:t>
      </w:r>
      <w:proofErr w:type="spellEnd"/>
      <w:r w:rsidR="00BA2D57" w:rsidRPr="00D7243D" w:rsidDel="0090786D">
        <w:t xml:space="preserve"> </w:t>
      </w:r>
      <w:r w:rsidR="00CF49F0">
        <w:t xml:space="preserve">SOA </w:t>
      </w:r>
      <w:r w:rsidR="0090786D" w:rsidRPr="00D7243D">
        <w:t>(t(12)=-4.366, p=.003</w:t>
      </w:r>
      <w:r w:rsidR="00825086" w:rsidRPr="00D7243D">
        <w:t>, d=.826</w:t>
      </w:r>
      <w:r w:rsidR="0090786D" w:rsidRPr="00D7243D">
        <w:t xml:space="preserve">) but not at </w:t>
      </w:r>
      <w:r w:rsidR="00CF49F0">
        <w:t xml:space="preserve">the </w:t>
      </w:r>
      <w:r w:rsidR="0090786D" w:rsidRPr="00D7243D">
        <w:t xml:space="preserve">100 or 300 </w:t>
      </w:r>
      <w:proofErr w:type="spellStart"/>
      <w:r w:rsidR="0090786D" w:rsidRPr="00D7243D">
        <w:t>ms</w:t>
      </w:r>
      <w:proofErr w:type="spellEnd"/>
      <w:r w:rsidR="00CF49F0">
        <w:t xml:space="preserve"> SOAs</w:t>
      </w:r>
      <w:r w:rsidR="0090786D" w:rsidRPr="00D7243D">
        <w:t>, both t(12)&gt;-1.195, both p &gt; .255</w:t>
      </w:r>
      <w:r w:rsidR="00825086" w:rsidRPr="00D7243D">
        <w:t>, both d&lt;.331</w:t>
      </w:r>
      <w:r w:rsidR="0090786D" w:rsidRPr="00D7243D">
        <w:t>.</w:t>
      </w:r>
    </w:p>
    <w:p w14:paraId="4A048784" w14:textId="77777777" w:rsidR="00BA2D57" w:rsidRDefault="00BA2D57" w:rsidP="006F7EF3"/>
    <w:p w14:paraId="5E692F2B" w14:textId="77777777" w:rsidR="00BA2D57" w:rsidRDefault="00BA2D57" w:rsidP="006F7EF3"/>
    <w:p w14:paraId="66E0DFA6" w14:textId="1DB530A7" w:rsidR="001F3FC1" w:rsidRDefault="006769D4" w:rsidP="00C937C5">
      <w:pPr>
        <w:pStyle w:val="Heading2"/>
      </w:pPr>
      <w:r>
        <w:t>4</w:t>
      </w:r>
      <w:r w:rsidR="00DF2EBF">
        <w:t>.</w:t>
      </w:r>
      <w:r>
        <w:t xml:space="preserve"> </w:t>
      </w:r>
      <w:r w:rsidR="00C937C5" w:rsidRPr="006769D4">
        <w:t>Discussion</w:t>
      </w:r>
    </w:p>
    <w:p w14:paraId="5BF0C3E3" w14:textId="77777777" w:rsidR="009A35F7" w:rsidRDefault="001A067C" w:rsidP="008374A1">
      <w:r>
        <w:t>We used ERP measures of visual processing to investigate the effect of action preparation on perception</w:t>
      </w:r>
      <w:r w:rsidR="00965FD2">
        <w:t xml:space="preserve"> </w:t>
      </w:r>
      <w:r>
        <w:t xml:space="preserve">during a manual reaching task, </w:t>
      </w:r>
      <w:r w:rsidR="00F92865" w:rsidRPr="006769D4">
        <w:t>separately</w:t>
      </w:r>
      <w:r w:rsidR="00266E53" w:rsidRPr="006769D4">
        <w:t xml:space="preserve"> at both the location of the goal of the movement, and </w:t>
      </w:r>
      <w:r>
        <w:t>the location of</w:t>
      </w:r>
      <w:r w:rsidRPr="006769D4">
        <w:t xml:space="preserve"> </w:t>
      </w:r>
      <w:r w:rsidR="00266E53" w:rsidRPr="006769D4">
        <w:t>the effector used to execute</w:t>
      </w:r>
      <w:r w:rsidR="004C2A7B" w:rsidRPr="006769D4">
        <w:t xml:space="preserve"> it</w:t>
      </w:r>
      <w:r w:rsidR="00266E53" w:rsidRPr="006769D4">
        <w:t xml:space="preserve">. We used an immediate-response paradigm whilst recording participants’ EEG as they performed </w:t>
      </w:r>
      <w:r w:rsidR="00697657">
        <w:t>the</w:t>
      </w:r>
      <w:r w:rsidR="00266E53" w:rsidRPr="006769D4">
        <w:t xml:space="preserve"> reaching task. Task-irrelevant visual probe</w:t>
      </w:r>
      <w:r w:rsidR="00697657">
        <w:t xml:space="preserve"> stimuli </w:t>
      </w:r>
      <w:r w:rsidR="00266E53" w:rsidRPr="006769D4">
        <w:t xml:space="preserve">were </w:t>
      </w:r>
      <w:r w:rsidR="00697657">
        <w:t xml:space="preserve">presented on the movement space, and the amplitude of the neural response to these probes was </w:t>
      </w:r>
      <w:r w:rsidR="00266E53" w:rsidRPr="006769D4">
        <w:t xml:space="preserve">used to measure visual processing at the goal and the effector, at three different </w:t>
      </w:r>
      <w:r w:rsidR="008A4CAB" w:rsidRPr="006769D4">
        <w:t xml:space="preserve">cue-probe </w:t>
      </w:r>
      <w:r w:rsidR="00266E53" w:rsidRPr="006769D4">
        <w:t>SOAs</w:t>
      </w:r>
      <w:r w:rsidR="003D77AF">
        <w:t xml:space="preserve"> (100, 200 and 300ms post cue-onset)</w:t>
      </w:r>
      <w:r w:rsidR="00266E53" w:rsidRPr="006769D4">
        <w:t xml:space="preserve">. </w:t>
      </w:r>
    </w:p>
    <w:p w14:paraId="4E0E28C2" w14:textId="77777777" w:rsidR="00E31E33" w:rsidRDefault="003D77AF" w:rsidP="0065582E">
      <w:r>
        <w:t>Our results show, for the first time, simultaneous enhancement of visual processing at both goal and effector locations, suggesting that both are important fu</w:t>
      </w:r>
      <w:r w:rsidR="00E67EEB">
        <w:t>nctional components of movement</w:t>
      </w:r>
      <w:r>
        <w:t>.</w:t>
      </w:r>
      <w:r w:rsidR="001F0434">
        <w:t xml:space="preserve"> Goal locations showed enhanced visual processing at all SOAs, suggesting that processing of the goal was modulated early in the course of motor preparation, and sustained throughout. Enhancement of effector locations, on the other hand</w:t>
      </w:r>
      <w:r w:rsidR="007C60A7">
        <w:t xml:space="preserve">, was only evident </w:t>
      </w:r>
      <w:r w:rsidR="001F0434">
        <w:t xml:space="preserve">at the 200ms SOA, suggesting a more temporally specific process, delayed relative to the goal, and completed by </w:t>
      </w:r>
      <w:r w:rsidR="00D0192B">
        <w:t>300ms</w:t>
      </w:r>
      <w:r w:rsidR="001F0434">
        <w:t xml:space="preserve">. </w:t>
      </w:r>
    </w:p>
    <w:p w14:paraId="5DD99A15" w14:textId="25AF804D" w:rsidR="00CC00AF" w:rsidRDefault="00313686" w:rsidP="007816B1">
      <w:r>
        <w:t>T</w:t>
      </w:r>
      <w:r w:rsidR="007F18DD" w:rsidRPr="007F18DD">
        <w:t xml:space="preserve">his </w:t>
      </w:r>
      <w:r w:rsidR="007816B1">
        <w:t>temporal pattern</w:t>
      </w:r>
      <w:r w:rsidR="007F18DD" w:rsidRPr="007F18DD">
        <w:t xml:space="preserve"> rules out a very basic interpretation of these results, namely that motor preparation leads to the perceptual enhancement of an entire visual </w:t>
      </w:r>
      <w:proofErr w:type="spellStart"/>
      <w:r w:rsidR="007F18DD" w:rsidRPr="007F18DD">
        <w:t>hemifield</w:t>
      </w:r>
      <w:proofErr w:type="spellEnd"/>
      <w:r w:rsidR="007F18DD" w:rsidRPr="007F18DD">
        <w:t xml:space="preserve">. </w:t>
      </w:r>
      <w:r w:rsidR="007816B1">
        <w:t xml:space="preserve">In our </w:t>
      </w:r>
      <w:r w:rsidR="00E67EEB">
        <w:t xml:space="preserve">experimental </w:t>
      </w:r>
      <w:r w:rsidR="007816B1">
        <w:t>paradigm, goal and effector locations were always on the same side of space</w:t>
      </w:r>
      <w:r w:rsidR="00E67EEB">
        <w:t xml:space="preserve"> </w:t>
      </w:r>
      <w:r w:rsidR="007816B1">
        <w:t>relative to the participant (movements were always</w:t>
      </w:r>
      <w:r w:rsidR="0065582E">
        <w:t xml:space="preserve"> made</w:t>
      </w:r>
      <w:r w:rsidR="007816B1">
        <w:t xml:space="preserve"> straight</w:t>
      </w:r>
      <w:r w:rsidR="00CC00AF">
        <w:t xml:space="preserve"> </w:t>
      </w:r>
      <w:r w:rsidR="0065582E">
        <w:t>ahead</w:t>
      </w:r>
      <w:r w:rsidR="00CC00AF">
        <w:t xml:space="preserve">, </w:t>
      </w:r>
      <w:r w:rsidR="0065582E">
        <w:t xml:space="preserve">away from the body, </w:t>
      </w:r>
      <w:r w:rsidR="00CC00AF">
        <w:t xml:space="preserve">and did not cross the midline). </w:t>
      </w:r>
      <w:r w:rsidR="0065582E">
        <w:t>If our</w:t>
      </w:r>
      <w:r w:rsidR="00E67EEB">
        <w:t xml:space="preserve"> ERP</w:t>
      </w:r>
      <w:r w:rsidR="0065582E">
        <w:t xml:space="preserve"> results had shown that</w:t>
      </w:r>
      <w:r w:rsidR="00CC00AF">
        <w:t xml:space="preserve"> changes to visual processing at goal and effector locations did not differ according to SOA</w:t>
      </w:r>
      <w:r w:rsidR="0065582E">
        <w:t xml:space="preserve">, </w:t>
      </w:r>
      <w:r w:rsidR="00BA1433">
        <w:t>they could be explained by an</w:t>
      </w:r>
      <w:r w:rsidR="0065582E">
        <w:t xml:space="preserve"> </w:t>
      </w:r>
      <w:r w:rsidR="00CC00AF">
        <w:t xml:space="preserve">entire visual </w:t>
      </w:r>
      <w:proofErr w:type="spellStart"/>
      <w:r w:rsidR="00CC00AF">
        <w:t>hemifield</w:t>
      </w:r>
      <w:proofErr w:type="spellEnd"/>
      <w:r w:rsidR="00CC00AF">
        <w:t xml:space="preserve"> receiving enhanced processing. The temporal differences that we show across SOAs negate this possibility</w:t>
      </w:r>
      <w:r w:rsidR="00E67EEB">
        <w:t>,</w:t>
      </w:r>
      <w:r w:rsidR="00CC00AF">
        <w:t xml:space="preserve"> and we can with confidence state that the changes in visual processing that we report </w:t>
      </w:r>
      <w:r w:rsidR="00BA1433">
        <w:t>have</w:t>
      </w:r>
      <w:r w:rsidR="00CC00AF">
        <w:t xml:space="preserve"> </w:t>
      </w:r>
      <w:r>
        <w:t xml:space="preserve">high </w:t>
      </w:r>
      <w:r w:rsidR="00CC00AF">
        <w:t xml:space="preserve">specificity to goals and effectors. </w:t>
      </w:r>
    </w:p>
    <w:p w14:paraId="52AEAB80" w14:textId="5AB4C988" w:rsidR="00E31E33" w:rsidRDefault="00A81267" w:rsidP="008D7F92">
      <w:r w:rsidRPr="006769D4">
        <w:t>Th</w:t>
      </w:r>
      <w:r>
        <w:t>ese results also</w:t>
      </w:r>
      <w:r w:rsidRPr="006769D4">
        <w:t xml:space="preserve"> suggest that, at the very least, the </w:t>
      </w:r>
      <w:r w:rsidR="008D7F92">
        <w:t>effects on perception</w:t>
      </w:r>
      <w:r w:rsidRPr="006769D4">
        <w:t xml:space="preserve"> of motor preparation do not appear to reflect an underlying serial process that first enhances the location of one component of movement (e.g.</w:t>
      </w:r>
      <w:r>
        <w:t>,</w:t>
      </w:r>
      <w:r w:rsidRPr="006769D4">
        <w:t xml:space="preserve"> the goal)</w:t>
      </w:r>
      <w:r>
        <w:t xml:space="preserve"> and</w:t>
      </w:r>
      <w:r w:rsidRPr="006769D4">
        <w:t xml:space="preserve"> then moves on to the next component (e.g.</w:t>
      </w:r>
      <w:r>
        <w:t>,</w:t>
      </w:r>
      <w:r w:rsidRPr="006769D4">
        <w:t xml:space="preserve"> the effector). </w:t>
      </w:r>
      <w:r w:rsidR="008D7F92">
        <w:t xml:space="preserve">If this were the case, we would expect the pattern of enhanced processing across SOAs to switch between the goal and effector, instead of remaining constant at both locations during the 200ms SOA. </w:t>
      </w:r>
      <w:r w:rsidR="00C30C8D">
        <w:t>Behavioural</w:t>
      </w:r>
      <w:r w:rsidR="00C30C8D" w:rsidRPr="006769D4">
        <w:t xml:space="preserve"> </w:t>
      </w:r>
      <w:r w:rsidR="008D7F92" w:rsidRPr="006769D4">
        <w:t xml:space="preserve">work has shown that </w:t>
      </w:r>
      <w:r w:rsidR="008D7F92">
        <w:t xml:space="preserve">action-induced </w:t>
      </w:r>
      <w:r w:rsidR="008D7F92" w:rsidRPr="006769D4">
        <w:t xml:space="preserve">enhanced processing can occur in parallel at multiple goal locations during the preparation both of sequences of manual movements </w:t>
      </w:r>
      <w:r w:rsidR="007F18DD" w:rsidRPr="006769D4">
        <w:fldChar w:fldCharType="begin" w:fldLock="1"/>
      </w:r>
      <w:r w:rsidR="00173758">
        <w:instrText>ADDIN CSL_CITATION { "citationItems" : [ { "id" : "ITEM-1", "itemData" : { "DOI" : "10.1016/j.visres.2006.08.021", "ISSN" : "0042-6989", "PMID" : "17034829", "abstract" : "We examined the allocation of attention during the preparation of sequences of manual pointing movements in a dual task paradigm. As the primary task, the participants had to perform a sequence of two or three reaching movements to targets arranged on a clock face. The secondary task was a 2AFC discrimination task in which a discrimination target (digital 'E' or '3') was presented among distractors either at one of the movement goals or at any other position. The data show that discrimination performance is superior at the location of all movement targets while it is close to chance at the positions that were not relevant for the movement. Moreover, our findings demonstrate that all movement-relevant locations are selected in parallel rather than serially in time, and that selection involves spatially distinct, non-contiguous foci of visual attention. We conclude that during movement preparation--well before the actual execution of the hand movement--attention is allocated in parallel to each of the individual movement targets.", "author" : [ { "dropping-particle" : "", "family" : "Baldauf", "given" : "D", "non-dropping-particle" : "", "parse-names" : false, "suffix" : "" }, { "dropping-particle" : "", "family" : "Wolf", "given" : "Martin", "non-dropping-particle" : "", "parse-names" : false, "suffix" : "" }, { "dropping-particle" : "", "family" : "Deubel", "given" : "H", "non-dropping-particle" : "", "parse-names" : false, "suffix" : "" } ], "container-title" : "Vision research", "id" : "ITEM-1", "issue" : "26", "issued" : { "date-parts" : [ [ "2006", "12" ] ] }, "page" : "4355-74", "title" : "Deployment of visual attention before sequences of goal-directed hand movements.", "type" : "article-journal", "volume" : "46" }, "uris" : [ "http://www.mendeley.com/documents/?uuid=1f0e4b22-cc62-4740-90b5-14d6dff77b27" ] }, { "id" : "ITEM-2", "itemData" : { "author" : [ { "dropping-particle" : "", "family" : "Baldauf", "given" : "D", "non-dropping-particle" : "", "parse-names" : false, "suffix" : "" }, { "dropping-particle" : "", "family" : "Deubel", "given" : "H", "non-dropping-particle" : "", "parse-names" : false, "suffix" : "" } ], "container-title" : "Journal of Cognitive Neuroscience", "id" : "ITEM-2", "issued" : { "date-parts" : [ [ "2008" ] ] }, "page" : "18-29", "title" : "Attentional Selection of Multiple Goal Positions Before Rapid Hand Movement Sequences : An Event-related Potential Study", "type" : "article-journal" }, "uris" : [ "http://www.mendeley.com/documents/?uuid=8c754fc8-108a-4a46-ba6d-f3046589068e" ] } ], "mendeley" : { "previouslyFormattedCitation" : "(Baldauf &amp; Deubel, 2008a; Baldauf et al., 2006)" }, "properties" : { "noteIndex" : 0 }, "schema" : "https://github.com/citation-style-language/schema/raw/master/csl-citation.json" }</w:instrText>
      </w:r>
      <w:r w:rsidR="007F18DD" w:rsidRPr="006769D4">
        <w:fldChar w:fldCharType="separate"/>
      </w:r>
      <w:r w:rsidR="00CA34D1" w:rsidRPr="00CA34D1">
        <w:rPr>
          <w:noProof/>
        </w:rPr>
        <w:t>(Baldauf &amp; Deubel, 2008a; Baldauf et al., 2006)</w:t>
      </w:r>
      <w:r w:rsidR="007F18DD" w:rsidRPr="006769D4">
        <w:fldChar w:fldCharType="end"/>
      </w:r>
      <w:r w:rsidR="008D7F92" w:rsidRPr="006769D4">
        <w:t xml:space="preserve">, and of independent hand and eye movements </w:t>
      </w:r>
      <w:r w:rsidR="007F18DD" w:rsidRPr="006769D4">
        <w:fldChar w:fldCharType="begin" w:fldLock="1"/>
      </w:r>
      <w:r w:rsidR="00173758">
        <w:instrText>ADDIN CSL_CITATION { "citationItems" : [ { "id" : "ITEM-1", "itemData" : { "DOI" : "10.1177/0956797610397666", "ISSN" : "1467-9280", "PMID" : "21270450", "abstract" : "When reaching for objects, people frequently look where they reach. This raises the question of whether the targets for the eye and hand in concurrent eye and hand movements are selected by a unitary attentional system or by independent mechanisms. We used the deployment of visual attention as an index of the selection of movement targets and asked observers to reach and look to either the same location or separate locations. Results show that during the preparation of coordinated movements, attention is allocated in parallel to the targets of a saccade and a reaching movement. Attentional allocations for the two movements interact synergistically when both are directed to a common goal. Delaying the eye movement delays the attentional shift to the saccade target while leaving attentional deployment to the reach target unaffected. Our findings demonstrate that attentional resources are allocated independently to the targets of eye and hand movements and suggest that the goals for these effectors are selected by separate attentional mechanisms.", "author" : [ { "dropping-particle" : "", "family" : "Jonikaitis", "given" : "Donatas", "non-dropping-particle" : "", "parse-names" : false, "suffix" : "" }, { "dropping-particle" : "", "family" : "Deubel", "given" : "H", "non-dropping-particle" : "", "parse-names" : false, "suffix" : "" } ], "container-title" : "Psychological science", "id" : "ITEM-1", "issue" : "3", "issued" : { "date-parts" : [ [ "2011", "3", "1" ] ] }, "page" : "339-47", "title" : "Independent allocation of attention to eye and hand targets in coordinated eye-hand movements.", "type" : "article-journal", "volume" : "22" }, "uris" : [ "http://www.mendeley.com/documents/?uuid=346e6153-c7dc-4222-a8d3-6276fb6c2ee0" ] } ], "mendeley" : { "previouslyFormattedCitation" : "(Jonikaitis &amp; Deubel, 2011)" }, "properties" : { "noteIndex" : 0 }, "schema" : "https://github.com/citation-style-language/schema/raw/master/csl-citation.json" }</w:instrText>
      </w:r>
      <w:r w:rsidR="007F18DD" w:rsidRPr="006769D4">
        <w:fldChar w:fldCharType="separate"/>
      </w:r>
      <w:r w:rsidR="008D7F92" w:rsidRPr="006769D4">
        <w:rPr>
          <w:noProof/>
        </w:rPr>
        <w:t>(Jonikaitis &amp; Deubel, 2011)</w:t>
      </w:r>
      <w:r w:rsidR="007F18DD" w:rsidRPr="006769D4">
        <w:fldChar w:fldCharType="end"/>
      </w:r>
      <w:r w:rsidR="008D7F92" w:rsidRPr="006769D4">
        <w:t>.</w:t>
      </w:r>
      <w:r w:rsidR="008D7F92">
        <w:t xml:space="preserve"> Our results extend this finding of parallel processing from within multiple instances of one component of movement – goal locations – to between functional components, such as a goal and an effector. </w:t>
      </w:r>
      <w:r w:rsidR="002D0468">
        <w:t>Whether these components are subject to</w:t>
      </w:r>
      <w:r w:rsidR="00677134">
        <w:t xml:space="preserve"> the same </w:t>
      </w:r>
      <w:r w:rsidR="00C30C8D">
        <w:t xml:space="preserve">or </w:t>
      </w:r>
      <w:r w:rsidR="00677134">
        <w:t>separate</w:t>
      </w:r>
      <w:r w:rsidR="002D0468">
        <w:t xml:space="preserve"> underlying motoric process</w:t>
      </w:r>
      <w:r w:rsidR="00677134">
        <w:t>es</w:t>
      </w:r>
      <w:r w:rsidR="002D0468">
        <w:t xml:space="preserve"> in </w:t>
      </w:r>
      <w:r w:rsidR="00677134">
        <w:t xml:space="preserve">posterior </w:t>
      </w:r>
      <w:r w:rsidR="002D0468">
        <w:t>parietal cortex (e.</w:t>
      </w:r>
      <w:r w:rsidR="002D0468" w:rsidRPr="001E7A21">
        <w:t xml:space="preserve">g. </w:t>
      </w:r>
      <w:r w:rsidR="001E7A21" w:rsidRPr="001E7A21">
        <w:fldChar w:fldCharType="begin" w:fldLock="1"/>
      </w:r>
      <w:r w:rsidR="00173758">
        <w:instrText>ADDIN CSL_CITATION { "citationItems" : [ { "id" : "ITEM-1", "itemData" : { "DOI" : "10.1146/annurev.neuro.051508.135409", "author" : [ { "dropping-particle" : "", "family" : "Cisek", "given" : "Paul", "non-dropping-particle" : "", "parse-names" : false, "suffix" : "" }, { "dropping-particle" : "", "family" : "Kalaska", "given" : "John F", "non-dropping-particle" : "", "parse-names" : false, "suffix" : "" } ], "id" : "ITEM-1", "issue" : "March", "issued" : { "date-parts" : [ [ "2010" ] ] }, "page" : "269-298", "title" : "Neural Mechanisms for Interacting with a World Full of Action Choices", "type" : "article-journal" }, "uris" : [ "http://www.mendeley.com/documents/?uuid=b6cd1ede-302c-407c-8671-77e158840aa5" ] }, { "id" : "ITEM-2", "itemData" : { "DOI" : "10.1016/j.neuropsychologia.2005.10.011", "author" : [ { "dropping-particle" : "", "family" : "Buneo", "given" : "Christopher A", "non-dropping-particle" : "", "parse-names" : false, "suffix" : "" }, { "dropping-particle" : "", "family" : "Andersen", "given" : "Richard A", "non-dropping-particle" : "", "parse-names" : false, "suffix" : "" } ], "id" : "ITEM-2", "issued" : { "date-parts" : [ [ "2006" ] ] }, "page" : "2594-2606", "title" : "The posterior parietal cortex : Sensorimotor interface for the planning and online control of visually guided movements", "type" : "article-journal", "volume" : "44" }, "uris" : [ "http://www.mendeley.com/documents/?uuid=4c32f49d-f1bb-474a-9635-887c0f930472" ] } ], "mendeley" : { "manualFormatting" : "Buneo &amp; Andersen, 2006; Cisek &amp; Kalaska, 2010)", "previouslyFormattedCitation" : "(Buneo &amp; Andersen, 2006; Cisek &amp; Kalaska, 2010)" }, "properties" : { "noteIndex" : 0 }, "schema" : "https://github.com/citation-style-language/schema/raw/master/csl-citation.json" }</w:instrText>
      </w:r>
      <w:r w:rsidR="001E7A21" w:rsidRPr="001E7A21">
        <w:fldChar w:fldCharType="separate"/>
      </w:r>
      <w:r w:rsidR="001E7A21" w:rsidRPr="001E7A21">
        <w:rPr>
          <w:noProof/>
        </w:rPr>
        <w:t>Buneo &amp; Andersen, 2006; Cisek &amp; Kalaska, 2010)</w:t>
      </w:r>
      <w:r w:rsidR="001E7A21" w:rsidRPr="001E7A21">
        <w:fldChar w:fldCharType="end"/>
      </w:r>
      <w:r w:rsidR="002D0468" w:rsidRPr="001E7A21">
        <w:t xml:space="preserve"> is an open questio</w:t>
      </w:r>
      <w:r w:rsidR="002D0468">
        <w:t>n, since the effects on visual processing that we show here happen downstream of such activity. However it seems likely that, given the clear functional differences between goals and effectors in the context of a movement plan, the</w:t>
      </w:r>
      <w:r w:rsidR="00677134">
        <w:t>se</w:t>
      </w:r>
      <w:r w:rsidR="002D0468">
        <w:t xml:space="preserve"> differences in visual processing are reflective of </w:t>
      </w:r>
      <w:r w:rsidR="00677134">
        <w:t xml:space="preserve">qualitatively different underlying mechanisms. </w:t>
      </w:r>
    </w:p>
    <w:p w14:paraId="0FA4541E" w14:textId="29CDFB00" w:rsidR="00A81267" w:rsidRDefault="00F55F82" w:rsidP="00D0192B">
      <w:r>
        <w:t>Previous work (</w:t>
      </w:r>
      <w:r w:rsidR="007F18DD" w:rsidRPr="006769D4">
        <w:fldChar w:fldCharType="begin" w:fldLock="1"/>
      </w:r>
      <w:r w:rsidR="00173758">
        <w:instrText>ADDIN CSL_CITATION { "citationItems" : [ { "id" : "ITEM-1", "itemData" : { "DOI" : "10.1111/j.1469-8986.2009.00800.x", "ISSN" : "00485772", "author" : [ { "dropping-particle" : "", "family" : "Gherri", "given" : "Elena", "non-dropping-particle" : "", "parse-names" : false, "suffix" : "" }, { "dropping-particle" : "", "family" : "Velzen", "given" : "Jos\u00e9", "non-dropping-particle" : "Van", "parse-names" : false, "suffix" : "" }, { "dropping-particle" : "", "family" : "Eimer", "given" : "M", "non-dropping-particle" : "", "parse-names" : false, "suffix" : "" } ], "container-title" : "Psychophysiology", "id" : "ITEM-1", "issue" : "3", "issued" : { "date-parts" : [ [ "2009", "5" ] ] }, "page" : "655-667", "title" : "The instructed context of a motor task modulates covert response preparation and shifts of spatial attention", "type" : "article-journal", "volume" : "46" }, "uris" : [ "http://www.mendeley.com/documents/?uuid=098bdabe-4e36-4588-a76c-88dca9360621" ] } ], "mendeley" : { "manualFormatting" : "Gherri, Van Velzen, &amp; Eimer, 2009)", "previouslyFormattedCitation" : "(Gherri et al., 2009)" }, "properties" : { "noteIndex" : 0 }, "schema" : "https://github.com/citation-style-language/schema/raw/master/csl-citation.json" }</w:instrText>
      </w:r>
      <w:r w:rsidR="007F18DD" w:rsidRPr="006769D4">
        <w:fldChar w:fldCharType="separate"/>
      </w:r>
      <w:r>
        <w:rPr>
          <w:noProof/>
        </w:rPr>
        <w:t xml:space="preserve">Gherri, Van Velzen, &amp; Eimer, </w:t>
      </w:r>
      <w:r w:rsidRPr="006769D4">
        <w:rPr>
          <w:noProof/>
        </w:rPr>
        <w:t>2009)</w:t>
      </w:r>
      <w:r w:rsidR="007F18DD" w:rsidRPr="006769D4">
        <w:fldChar w:fldCharType="end"/>
      </w:r>
      <w:r w:rsidRPr="006769D4">
        <w:t xml:space="preserve"> </w:t>
      </w:r>
      <w:r>
        <w:t>has</w:t>
      </w:r>
      <w:r w:rsidRPr="006769D4">
        <w:t xml:space="preserve"> shown that task instructions can, by emphasising </w:t>
      </w:r>
      <w:r>
        <w:t>either the goal or the effector</w:t>
      </w:r>
      <w:r w:rsidRPr="006769D4">
        <w:t xml:space="preserve">, bias processing to </w:t>
      </w:r>
      <w:r>
        <w:t xml:space="preserve">one component of movement or the other. </w:t>
      </w:r>
      <w:r w:rsidR="00F21009">
        <w:t xml:space="preserve">It is </w:t>
      </w:r>
      <w:r w:rsidR="00765C0A">
        <w:t>the case</w:t>
      </w:r>
      <w:r w:rsidR="00F21009">
        <w:t xml:space="preserve"> that any instruction related to a manual movement must to some extent implicitly bias the participant toward the goal, since by definition the goal location is the target of the movement, and - however carefully task instructions are relayed so as to avoid bias - will always receive some linguistic emphasis. </w:t>
      </w:r>
      <w:r>
        <w:t xml:space="preserve">Whilst we cannot rule out the possibility that such a process is one factor influencing the effects we report, the </w:t>
      </w:r>
      <w:r w:rsidR="00F21009">
        <w:t>observation</w:t>
      </w:r>
      <w:r>
        <w:t xml:space="preserve"> of simultaneous enhancement of goal and effector locations</w:t>
      </w:r>
      <w:r w:rsidR="00F21009">
        <w:t xml:space="preserve"> at the 200ms SOA</w:t>
      </w:r>
      <w:r>
        <w:t xml:space="preserve"> cannot be explained by reference to the influence of task instructions. </w:t>
      </w:r>
    </w:p>
    <w:p w14:paraId="2E3BC1EA" w14:textId="3CCE242E" w:rsidR="00A138D2" w:rsidRDefault="0065582E" w:rsidP="00A138D2">
      <w:r>
        <w:t>The observed effect</w:t>
      </w:r>
      <w:r w:rsidR="00A138D2">
        <w:t>s</w:t>
      </w:r>
      <w:r>
        <w:t xml:space="preserve"> on</w:t>
      </w:r>
      <w:r w:rsidRPr="006769D4">
        <w:t xml:space="preserve"> visual processing at the location of the goal</w:t>
      </w:r>
      <w:r>
        <w:t xml:space="preserve"> </w:t>
      </w:r>
      <w:r w:rsidR="00A138D2">
        <w:t>are</w:t>
      </w:r>
      <w:r w:rsidRPr="006769D4">
        <w:t xml:space="preserve"> consistent with the predictions </w:t>
      </w:r>
      <w:r>
        <w:t>of</w:t>
      </w:r>
      <w:r w:rsidRPr="006769D4">
        <w:t xml:space="preserve"> the Premotor Theory </w:t>
      </w:r>
      <w:r w:rsidR="007F18DD" w:rsidRPr="006769D4">
        <w:fldChar w:fldCharType="begin" w:fldLock="1"/>
      </w:r>
      <w:r w:rsidR="00173758">
        <w:instrText>ADDIN CSL_CITATION { "citationItems" : [ { "id" : "ITEM-1", "itemData" : { "author" : [ { "dropping-particle" : "", "family" : "Rizzolatti", "given" : "Giacomo", "non-dropping-particle" : "", "parse-names" : false, "suffix" : "" }, { "dropping-particle" : "", "family" : "Riggio", "given" : "L", "non-dropping-particle" : "", "parse-names" : false, "suffix" : "" }, { "dropping-particle" : "", "family" : "Sheliga", "given" : "BM", "non-dropping-particle" : "", "parse-names" : false, "suffix" : "" } ], "container-title" : "Attention and performance XV", "editor" : [ { "dropping-particle" : "", "family" : "Umilta", "given" : "C", "non-dropping-particle" : "", "parse-names" : false, "suffix" : "" }, { "dropping-particle" : "", "family" : "Moscovitch", "given" : "M", "non-dropping-particle" : "", "parse-names" : false, "suffix" : "" } ], "id" : "ITEM-1", "issued" : { "date-parts" : [ [ "1994" ] ] }, "page" : "231-265", "publisher" : "MIT", "publisher-place" : "Cambridge", "title" : "Space and selective attention", "type" : "chapter" }, "uris" : [ "http://www.mendeley.com/documents/?uuid=73c2ca18-a97d-4d4f-a785-aa4bf3dd0642" ] } ], "mendeley" : { "previouslyFormattedCitation" : "(Rizzolatti et al., 1994)" }, "properties" : { "noteIndex" : 0 }, "schema" : "https://github.com/citation-style-language/schema/raw/master/csl-citation.json" }</w:instrText>
      </w:r>
      <w:r w:rsidR="007F18DD" w:rsidRPr="006769D4">
        <w:fldChar w:fldCharType="separate"/>
      </w:r>
      <w:r w:rsidRPr="006769D4">
        <w:rPr>
          <w:noProof/>
        </w:rPr>
        <w:t>(Rizzolatti et al., 1994)</w:t>
      </w:r>
      <w:r w:rsidR="007F18DD" w:rsidRPr="006769D4">
        <w:fldChar w:fldCharType="end"/>
      </w:r>
      <w:r w:rsidRPr="006769D4">
        <w:t xml:space="preserve">, and the Visual Attention Model </w:t>
      </w:r>
      <w:r w:rsidR="007F18DD" w:rsidRPr="006769D4">
        <w:fldChar w:fldCharType="begin" w:fldLock="1"/>
      </w:r>
      <w:r w:rsidR="00173758">
        <w:instrText>ADDIN CSL_CITATION { "citationItems" : [ { "id" : "ITEM-1", "itemData" : { "author" : [ { "dropping-particle" : "", "family" : "Schneider", "given" : "WX", "non-dropping-particle" : "", "parse-names" : false, "suffix" : "" } ], "container-title" : "Visual Cognition", "id" : "ITEM-1", "issue" : "2", "issued" : { "date-parts" : [ [ "1995" ] ] }, "page" : "331\u2013376", "publisher" : "Psychology Press", "title" : "VAM: A neuro-cognitive model for visual attention control of segmentation, object recognition, and space-based motor action", "type" : "article-journal", "volume" : "2" }, "uris" : [ "http://www.mendeley.com/documents/?uuid=cf7b5604-6491-413c-83c8-01df529e1c43" ] } ], "mendeley" : { "previouslyFormattedCitation" : "(Schneider, 1995)" }, "properties" : { "noteIndex" : 0 }, "schema" : "https://github.com/citation-style-language/schema/raw/master/csl-citation.json" }</w:instrText>
      </w:r>
      <w:r w:rsidR="007F18DD" w:rsidRPr="006769D4">
        <w:fldChar w:fldCharType="separate"/>
      </w:r>
      <w:r w:rsidRPr="006769D4">
        <w:rPr>
          <w:noProof/>
        </w:rPr>
        <w:t>(Schneider, 1995)</w:t>
      </w:r>
      <w:r w:rsidR="007F18DD" w:rsidRPr="006769D4">
        <w:fldChar w:fldCharType="end"/>
      </w:r>
      <w:r>
        <w:t xml:space="preserve">. The pattern of results at the location of the effector was similar to that at the goal, but not identical. </w:t>
      </w:r>
      <w:r w:rsidR="00A138D2">
        <w:t>Any</w:t>
      </w:r>
      <w:r w:rsidR="00773B2C">
        <w:t xml:space="preserve"> </w:t>
      </w:r>
      <w:r w:rsidR="007816B1">
        <w:t>influence</w:t>
      </w:r>
      <w:r w:rsidR="00773B2C">
        <w:t xml:space="preserve"> of the effector </w:t>
      </w:r>
      <w:r w:rsidR="007816B1">
        <w:t>on</w:t>
      </w:r>
      <w:r w:rsidR="00773B2C">
        <w:t xml:space="preserve"> changes to visual processing during motor preparation is not explicitly addressed by extant theories of action planning, and whilst </w:t>
      </w:r>
      <w:r w:rsidR="00773B2C" w:rsidRPr="006769D4">
        <w:t xml:space="preserve">previous work has shown enhancement at the goal </w:t>
      </w:r>
      <w:r w:rsidR="00773B2C" w:rsidRPr="006769D4">
        <w:rPr>
          <w:i/>
        </w:rPr>
        <w:t xml:space="preserve">or </w:t>
      </w:r>
      <w:r w:rsidR="00773B2C" w:rsidRPr="006769D4">
        <w:t xml:space="preserve">at the effector </w:t>
      </w:r>
      <w:r w:rsidR="007F18DD" w:rsidRPr="006769D4">
        <w:fldChar w:fldCharType="begin" w:fldLock="1"/>
      </w:r>
      <w:r w:rsidR="00173758">
        <w:instrText>ADDIN CSL_CITATION { "citationItems" : [ { "id" : "ITEM-1", "itemData" : { "DOI" : "10.1007/s10339-006-0089-z", "ISSN" : "1612-4782", "author" : [ { "dropping-particle" : "", "family" : "Velzen", "given" : "Jos\u00e9", "non-dropping-particle" : "Van", "parse-names" : false, "suffix" : "" }, { "dropping-particle" : "", "family" : "Gherri", "given" : "Elena", "non-dropping-particle" : "", "parse-names" : false, "suffix" : "" }, { "dropping-particle" : "", "family" : "Eimer", "given" : "M", "non-dropping-particle" : "", "parse-names" : false, "suffix" : "" } ], "container-title" : "Cognitive Processing", "id" : "ITEM-1", "issue" : "S1", "issued" : { "date-parts" : [ [ "2006", "7" ] ] }, "page" : "100\u2013101", "publisher" : "Springer", "title" : "ERP effects of movement preparation on visual processing: attention shifts to the hand, not the goal", "type" : "article-journal", "volume" : "7" }, "uris" : [ "http://www.mendeley.com/documents/?uuid=89209f7e-f22f-43c0-8f5a-5d23ac51341d" ] }, { "id" : "ITEM-2", "itemData" : { "DOI" : "10.1111/j.1469-8986.2009.00800.x", "ISSN" : "00485772", "author" : [ { "dropping-particle" : "", "family" : "Gherri", "given" : "Elena", "non-dropping-particle" : "", "parse-names" : false, "suffix" : "" }, { "dropping-particle" : "", "family" : "Velzen", "given" : "Jos\u00e9", "non-dropping-particle" : "Van", "parse-names" : false, "suffix" : "" }, { "dropping-particle" : "", "family" : "Eimer", "given" : "M", "non-dropping-particle" : "", "parse-names" : false, "suffix" : "" } ], "container-title" : "Psychophysiology", "id" : "ITEM-2", "issue" : "3", "issued" : { "date-parts" : [ [ "2009", "5" ] ] }, "page" : "655-667", "title" : "The instructed context of a motor task modulates covert response preparation and shifts of spatial attention", "type" : "article-journal", "volume" : "46" }, "uris" : [ "http://www.mendeley.com/documents/?uuid=098bdabe-4e36-4588-a76c-88dca9360621" ] }, { "id" : "ITEM-3", "itemData" : { "DOI" : "10.1007/s00221-009-1819-0", "author" : [ { "dropping-particle" : "", "family" : "Juravle", "given" : "Georgiana", "non-dropping-particle" : "", "parse-names" : false, "suffix" : "" }, { "dropping-particle" : "", "family" : "Deubel", "given" : "H", "non-dropping-particle" : "", "parse-names" : false, "suffix" : "" } ], "container-title" : "Experimental Brain Research", "id" : "ITEM-3", "issue" : "2-3", "issued" : { "date-parts" : [ [ "2009" ] ] }, "page" : "301-311", "title" : "Action preparation enhances the processing of tactile targets", "type" : "article-journal", "volume" : "198" }, "uris" : [ "http://www.mendeley.com/documents/?uuid=62ef3be9-88b4-4f18-a0c6-58b591f295b5" ] } ], "mendeley" : { "previouslyFormattedCitation" : "(Gherri et al., 2009; Juravle &amp; Deubel, 2009; Van Velzen et al., 2006)" }, "properties" : { "noteIndex" : 0 }, "schema" : "https://github.com/citation-style-language/schema/raw/master/csl-citation.json" }</w:instrText>
      </w:r>
      <w:r w:rsidR="007F18DD" w:rsidRPr="006769D4">
        <w:fldChar w:fldCharType="separate"/>
      </w:r>
      <w:r w:rsidR="00773B2C" w:rsidRPr="006769D4">
        <w:rPr>
          <w:noProof/>
        </w:rPr>
        <w:t>(Gherri et al., 2009; Juravle &amp; Deubel, 2009; Van Velzen et al., 2006)</w:t>
      </w:r>
      <w:r w:rsidR="007F18DD" w:rsidRPr="006769D4">
        <w:fldChar w:fldCharType="end"/>
      </w:r>
      <w:r w:rsidR="00773B2C">
        <w:t xml:space="preserve">, ours </w:t>
      </w:r>
      <w:r w:rsidR="00A138D2">
        <w:t>is</w:t>
      </w:r>
      <w:r w:rsidR="00773B2C">
        <w:t xml:space="preserve"> the first demonstration of </w:t>
      </w:r>
      <w:r w:rsidR="007F18DD" w:rsidRPr="007F18DD">
        <w:rPr>
          <w:i/>
        </w:rPr>
        <w:t>simultaneous</w:t>
      </w:r>
      <w:r w:rsidR="00773B2C">
        <w:t xml:space="preserve"> enhancement of </w:t>
      </w:r>
      <w:r w:rsidR="007816B1">
        <w:t>both</w:t>
      </w:r>
      <w:r w:rsidR="00773B2C">
        <w:t xml:space="preserve"> locations. </w:t>
      </w:r>
    </w:p>
    <w:p w14:paraId="60A39020" w14:textId="39AD1EA4" w:rsidR="00B646A8" w:rsidRDefault="00765C0A" w:rsidP="00FF37F7">
      <w:r w:rsidRPr="00001731">
        <w:t>T</w:t>
      </w:r>
      <w:r w:rsidR="00BC1311" w:rsidRPr="00001731">
        <w:t>ogether with previous observations</w:t>
      </w:r>
      <w:r w:rsidRPr="00001731">
        <w:t>, the pattern of results that we present here</w:t>
      </w:r>
      <w:r w:rsidR="004149BB" w:rsidRPr="00001731">
        <w:t xml:space="preserve"> </w:t>
      </w:r>
      <w:r w:rsidR="00BC1311" w:rsidRPr="00001731">
        <w:t>suggest that</w:t>
      </w:r>
      <w:r w:rsidRPr="00001731">
        <w:t xml:space="preserve">, during </w:t>
      </w:r>
      <w:r w:rsidR="00BC1311" w:rsidRPr="00001731">
        <w:t>preparation of a manual movement</w:t>
      </w:r>
      <w:r w:rsidRPr="00001731">
        <w:t>,</w:t>
      </w:r>
      <w:r w:rsidR="00BC1311" w:rsidRPr="00001731">
        <w:t xml:space="preserve"> a mechanism or set of mechanisms adaptively and flexibly modulate sensory processing </w:t>
      </w:r>
      <w:r w:rsidRPr="00001731">
        <w:t xml:space="preserve">in order to maximise how effectively we interact with </w:t>
      </w:r>
      <w:r w:rsidRPr="00DF4D61">
        <w:t>the environment</w:t>
      </w:r>
      <w:r w:rsidR="00BC1311" w:rsidRPr="00DF4D61">
        <w:t>.</w:t>
      </w:r>
      <w:r w:rsidR="00B646A8" w:rsidRPr="00DF4D61">
        <w:t xml:space="preserve"> These findings</w:t>
      </w:r>
      <w:r w:rsidR="00A138D2" w:rsidRPr="00DF4D61">
        <w:t xml:space="preserve"> are in agreement with the findings and interpretation of </w:t>
      </w:r>
      <w:r w:rsidR="00803158" w:rsidRPr="00DF4D61">
        <w:fldChar w:fldCharType="begin" w:fldLock="1"/>
      </w:r>
      <w:r w:rsidR="00173758">
        <w:instrText>ADDIN CSL_CITATION { "citationItems" : [ { "id" : "ITEM-1", "itemData" : { "DOI" : "10.1016/j.visres.2010.02.008", "ISSN" : "1878-5646", "PMID" : "20219518", "abstract" : "It is well established that during the preparation and execution of goal-directed movements, perceptual processing is biased towards the goal. Most of the previous work on the relation between action and attention has focused on rather simple movements, such as single saccades or manual reaches towards a single target. Here we review recent behavioural and neurophysiological studies on manual actions that require to consider more than a single spatial location in the planning of the response, such as movement sequences, grasping, and movements around obstacles. The studies provide compelling evidence that the preparation of these actions establishes multiple foci of attention which reflect the spatial-temporal requirements of the future action. The findings help clarify how perceptual processing is bound by action preparation and also offer new perspectives for motor control research.", "author" : [ { "dropping-particle" : "", "family" : "Baldauf", "given" : "D", "non-dropping-particle" : "", "parse-names" : false, "suffix" : "" }, { "dropping-particle" : "", "family" : "Deubel", "given" : "H", "non-dropping-particle" : "", "parse-names" : false, "suffix" : "" } ], "container-title" : "Vision research", "id" : "ITEM-1", "issued" : { "date-parts" : [ [ "2010", "2" ] ] }, "publisher" : "Elsevier Ltd", "title" : "Attentional landscapes in reaching and grasping.", "type" : "article-journal" }, "uris" : [ "http://www.mendeley.com/documents/?uuid=6e03b27f-16d0-4c0e-906a-7e631284a75b" ] } ], "mendeley" : { "previouslyFormattedCitation" : "(Baldauf &amp; Deubel, 2010)" }, "properties" : { "noteIndex" : 0 }, "schema" : "https://github.com/citation-style-language/schema/raw/master/csl-citation.json" }</w:instrText>
      </w:r>
      <w:r w:rsidR="00803158" w:rsidRPr="00DF4D61">
        <w:fldChar w:fldCharType="separate"/>
      </w:r>
      <w:r w:rsidR="00803158" w:rsidRPr="00DF4D61">
        <w:rPr>
          <w:noProof/>
        </w:rPr>
        <w:t>(Baldauf &amp; Deubel, 2010)</w:t>
      </w:r>
      <w:r w:rsidR="00803158" w:rsidRPr="00DF4D61">
        <w:fldChar w:fldCharType="end"/>
      </w:r>
      <w:r w:rsidR="00803158" w:rsidRPr="00DF4D61">
        <w:t xml:space="preserve"> </w:t>
      </w:r>
      <w:r w:rsidR="00A138D2" w:rsidRPr="00DF4D61">
        <w:t>in the sense that an intention to act appears to set up a pragmatic</w:t>
      </w:r>
      <w:r w:rsidR="00A138D2" w:rsidRPr="006769D4">
        <w:t xml:space="preserve"> attentional field, comprised of ‘hot spots’ of facilitation that rise and fall over the time course of motor preparation, serving to modulate perception as required by the particular motoric processes that give rise to them. </w:t>
      </w:r>
    </w:p>
    <w:p w14:paraId="06038CA7" w14:textId="6CB38D08" w:rsidR="009E2B36" w:rsidRDefault="00B646A8" w:rsidP="00FF37F7">
      <w:r>
        <w:t xml:space="preserve">Our </w:t>
      </w:r>
      <w:r w:rsidR="00184EBB">
        <w:t xml:space="preserve">results </w:t>
      </w:r>
      <w:r w:rsidR="002941E5">
        <w:t>show</w:t>
      </w:r>
      <w:r w:rsidR="00184EBB">
        <w:t xml:space="preserve"> this attentional field is not only comprised of the locations of the goals of action, but also of the effectors that will be used to </w:t>
      </w:r>
      <w:r w:rsidR="009E2B36">
        <w:t xml:space="preserve">execute action. </w:t>
      </w:r>
      <w:r w:rsidR="002941E5">
        <w:t>By doing this</w:t>
      </w:r>
      <w:r w:rsidR="009E2B36">
        <w:t xml:space="preserve"> we are able to move from a goal-centred conception of selection-for-action to a model in which additional functional components of movement weight the distribution of spatial attention in a way that fits better with our understanding of sensorimotor processing in the brain. </w:t>
      </w:r>
    </w:p>
    <w:p w14:paraId="0CF64AEC" w14:textId="77777777" w:rsidR="00D260CF" w:rsidRDefault="00D260CF" w:rsidP="00FF37F7"/>
    <w:p w14:paraId="5953507E" w14:textId="677E3BCB" w:rsidR="00001731" w:rsidRDefault="00001731" w:rsidP="00FF37F7">
      <w:pPr>
        <w:rPr>
          <w:b/>
        </w:rPr>
      </w:pPr>
      <w:r>
        <w:rPr>
          <w:b/>
        </w:rPr>
        <w:t>References</w:t>
      </w:r>
    </w:p>
    <w:p w14:paraId="6667A3F3" w14:textId="569AFC22" w:rsidR="00173758" w:rsidRPr="00173758" w:rsidRDefault="00173758">
      <w:pPr>
        <w:pStyle w:val="NormalWeb"/>
        <w:ind w:left="480" w:hanging="480"/>
        <w:divId w:val="1098677572"/>
        <w:rPr>
          <w:rFonts w:eastAsiaTheme="minorEastAsia"/>
          <w:noProof/>
        </w:rPr>
      </w:pPr>
      <w:r>
        <w:fldChar w:fldCharType="begin" w:fldLock="1"/>
      </w:r>
      <w:r>
        <w:instrText xml:space="preserve">ADDIN Mendeley Bibliography CSL_BIBLIOGRAPHY </w:instrText>
      </w:r>
      <w:r>
        <w:fldChar w:fldCharType="separate"/>
      </w:r>
      <w:r w:rsidRPr="00173758">
        <w:rPr>
          <w:noProof/>
        </w:rPr>
        <w:t xml:space="preserve">Astafiev, S. V, Shulman, G. L., Stanley, C. M., Snyder, A. Z., Essen, D. C. Van, &amp; Corbetta, M. (2003). Functional Organization of Human Intraparietal and Frontal Cortex for Attending , Looking , and Pointing, </w:t>
      </w:r>
      <w:r w:rsidRPr="00173758">
        <w:rPr>
          <w:i/>
          <w:iCs/>
          <w:noProof/>
        </w:rPr>
        <w:t>23</w:t>
      </w:r>
      <w:r w:rsidRPr="00173758">
        <w:rPr>
          <w:noProof/>
        </w:rPr>
        <w:t>(11), 4689–4699.</w:t>
      </w:r>
    </w:p>
    <w:p w14:paraId="31099FE8" w14:textId="77777777" w:rsidR="00173758" w:rsidRPr="00173758" w:rsidRDefault="00173758">
      <w:pPr>
        <w:pStyle w:val="NormalWeb"/>
        <w:ind w:left="480" w:hanging="480"/>
        <w:divId w:val="1098677572"/>
        <w:rPr>
          <w:noProof/>
        </w:rPr>
      </w:pPr>
      <w:r w:rsidRPr="00173758">
        <w:rPr>
          <w:noProof/>
        </w:rPr>
        <w:t xml:space="preserve">Baldauf, D., &amp; Deubel, H. (2008a). Attentional Selection of Multiple Goal Positions Before Rapid Hand Movement Sequences : An Event-related Potential Study. </w:t>
      </w:r>
      <w:r w:rsidRPr="00173758">
        <w:rPr>
          <w:i/>
          <w:iCs/>
          <w:noProof/>
        </w:rPr>
        <w:t>Journal of Cognitive Neuroscience</w:t>
      </w:r>
      <w:r w:rsidRPr="00173758">
        <w:rPr>
          <w:noProof/>
        </w:rPr>
        <w:t>, 18–29.</w:t>
      </w:r>
    </w:p>
    <w:p w14:paraId="59486012" w14:textId="77777777" w:rsidR="00173758" w:rsidRPr="00173758" w:rsidRDefault="00173758">
      <w:pPr>
        <w:pStyle w:val="NormalWeb"/>
        <w:ind w:left="480" w:hanging="480"/>
        <w:divId w:val="1098677572"/>
        <w:rPr>
          <w:noProof/>
        </w:rPr>
      </w:pPr>
      <w:r w:rsidRPr="00173758">
        <w:rPr>
          <w:noProof/>
        </w:rPr>
        <w:t xml:space="preserve">Baldauf, D., &amp; Deubel, H. (2008b). Visual attention during the preparation of bimanual movements. </w:t>
      </w:r>
      <w:r w:rsidRPr="00173758">
        <w:rPr>
          <w:i/>
          <w:iCs/>
          <w:noProof/>
        </w:rPr>
        <w:t>Vision Research</w:t>
      </w:r>
      <w:r w:rsidRPr="00173758">
        <w:rPr>
          <w:noProof/>
        </w:rPr>
        <w:t xml:space="preserve">, </w:t>
      </w:r>
      <w:r w:rsidRPr="00173758">
        <w:rPr>
          <w:i/>
          <w:iCs/>
          <w:noProof/>
        </w:rPr>
        <w:t>48</w:t>
      </w:r>
      <w:r w:rsidRPr="00173758">
        <w:rPr>
          <w:noProof/>
        </w:rPr>
        <w:t>(4), 549–63. doi:10.1016/j.visres.2007.11.023</w:t>
      </w:r>
    </w:p>
    <w:p w14:paraId="489A75BE" w14:textId="77777777" w:rsidR="00173758" w:rsidRPr="00173758" w:rsidRDefault="00173758">
      <w:pPr>
        <w:pStyle w:val="NormalWeb"/>
        <w:ind w:left="480" w:hanging="480"/>
        <w:divId w:val="1098677572"/>
        <w:rPr>
          <w:noProof/>
        </w:rPr>
      </w:pPr>
      <w:r w:rsidRPr="00173758">
        <w:rPr>
          <w:noProof/>
        </w:rPr>
        <w:t xml:space="preserve">Baldauf, D., &amp; Deubel, H. (2010). Attentional landscapes in reaching and grasping. </w:t>
      </w:r>
      <w:r w:rsidRPr="00173758">
        <w:rPr>
          <w:i/>
          <w:iCs/>
          <w:noProof/>
        </w:rPr>
        <w:t>Vision Research</w:t>
      </w:r>
      <w:r w:rsidRPr="00173758">
        <w:rPr>
          <w:noProof/>
        </w:rPr>
        <w:t>. doi:10.1016/j.visres.2010.02.008</w:t>
      </w:r>
    </w:p>
    <w:p w14:paraId="68A3E6BE" w14:textId="77777777" w:rsidR="00173758" w:rsidRPr="00173758" w:rsidRDefault="00173758">
      <w:pPr>
        <w:pStyle w:val="NormalWeb"/>
        <w:ind w:left="480" w:hanging="480"/>
        <w:divId w:val="1098677572"/>
        <w:rPr>
          <w:noProof/>
        </w:rPr>
      </w:pPr>
      <w:r w:rsidRPr="00173758">
        <w:rPr>
          <w:noProof/>
        </w:rPr>
        <w:t xml:space="preserve">Baldauf, D., Wolf, M., &amp; Deubel, H. (2006). Deployment of visual attention before sequences of goal-directed hand movements. </w:t>
      </w:r>
      <w:r w:rsidRPr="00173758">
        <w:rPr>
          <w:i/>
          <w:iCs/>
          <w:noProof/>
        </w:rPr>
        <w:t>Vision Research</w:t>
      </w:r>
      <w:r w:rsidRPr="00173758">
        <w:rPr>
          <w:noProof/>
        </w:rPr>
        <w:t xml:space="preserve">, </w:t>
      </w:r>
      <w:r w:rsidRPr="00173758">
        <w:rPr>
          <w:i/>
          <w:iCs/>
          <w:noProof/>
        </w:rPr>
        <w:t>46</w:t>
      </w:r>
      <w:r w:rsidRPr="00173758">
        <w:rPr>
          <w:noProof/>
        </w:rPr>
        <w:t>(26), 4355–74. doi:10.1016/j.visres.2006.08.021</w:t>
      </w:r>
    </w:p>
    <w:p w14:paraId="72D7F65D" w14:textId="77777777" w:rsidR="00173758" w:rsidRPr="00173758" w:rsidRDefault="00173758">
      <w:pPr>
        <w:pStyle w:val="NormalWeb"/>
        <w:ind w:left="480" w:hanging="480"/>
        <w:divId w:val="1098677572"/>
        <w:rPr>
          <w:noProof/>
        </w:rPr>
      </w:pPr>
      <w:r w:rsidRPr="00173758">
        <w:rPr>
          <w:noProof/>
        </w:rPr>
        <w:t xml:space="preserve">Belopolsky, A. V., &amp; Theeuwes, J. (2009). When are attention and saccade preparation dissociated? </w:t>
      </w:r>
      <w:r w:rsidRPr="00173758">
        <w:rPr>
          <w:i/>
          <w:iCs/>
          <w:noProof/>
        </w:rPr>
        <w:t>Psychological Science</w:t>
      </w:r>
      <w:r w:rsidRPr="00173758">
        <w:rPr>
          <w:noProof/>
        </w:rPr>
        <w:t xml:space="preserve">, </w:t>
      </w:r>
      <w:r w:rsidRPr="00173758">
        <w:rPr>
          <w:i/>
          <w:iCs/>
          <w:noProof/>
        </w:rPr>
        <w:t>20</w:t>
      </w:r>
      <w:r w:rsidRPr="00173758">
        <w:rPr>
          <w:noProof/>
        </w:rPr>
        <w:t>(11), 1340.</w:t>
      </w:r>
    </w:p>
    <w:p w14:paraId="62134AD7" w14:textId="77777777" w:rsidR="00173758" w:rsidRPr="00173758" w:rsidRDefault="00173758">
      <w:pPr>
        <w:pStyle w:val="NormalWeb"/>
        <w:ind w:left="480" w:hanging="480"/>
        <w:divId w:val="1098677572"/>
        <w:rPr>
          <w:noProof/>
        </w:rPr>
      </w:pPr>
      <w:r w:rsidRPr="00173758">
        <w:rPr>
          <w:noProof/>
        </w:rPr>
        <w:t xml:space="preserve">Buneo, C. A., &amp; Andersen, R. A. (2006). The posterior parietal cortex : Sensorimotor interface for the planning and online control of visually guided movements, </w:t>
      </w:r>
      <w:r w:rsidRPr="00173758">
        <w:rPr>
          <w:i/>
          <w:iCs/>
          <w:noProof/>
        </w:rPr>
        <w:t>44</w:t>
      </w:r>
      <w:r w:rsidRPr="00173758">
        <w:rPr>
          <w:noProof/>
        </w:rPr>
        <w:t>, 2594–2606. doi:10.1016/j.neuropsychologia.2005.10.011</w:t>
      </w:r>
    </w:p>
    <w:p w14:paraId="192AFA17" w14:textId="77777777" w:rsidR="00173758" w:rsidRPr="00173758" w:rsidRDefault="00173758">
      <w:pPr>
        <w:pStyle w:val="NormalWeb"/>
        <w:ind w:left="480" w:hanging="480"/>
        <w:divId w:val="1098677572"/>
        <w:rPr>
          <w:noProof/>
        </w:rPr>
      </w:pPr>
      <w:r w:rsidRPr="00173758">
        <w:rPr>
          <w:noProof/>
        </w:rPr>
        <w:t>Cisek, P., &amp; Kalaska, J. F. (2010). Neural Mechanisms for Interacting with a World Full of Action Choices, (March), 269–298. doi:10.1146/annurev.neuro.051508.135409</w:t>
      </w:r>
    </w:p>
    <w:p w14:paraId="20C911FC" w14:textId="77777777" w:rsidR="00173758" w:rsidRPr="00173758" w:rsidRDefault="00173758">
      <w:pPr>
        <w:pStyle w:val="NormalWeb"/>
        <w:ind w:left="480" w:hanging="480"/>
        <w:divId w:val="1098677572"/>
        <w:rPr>
          <w:noProof/>
        </w:rPr>
      </w:pPr>
      <w:r w:rsidRPr="00173758">
        <w:rPr>
          <w:noProof/>
        </w:rPr>
        <w:t xml:space="preserve">Corbetta, M., Akbudak, E., Conturo, T. E., Snyder, a Z., Ollinger, J. M., Drury, H. a, … Shulman, G. L. (1998). A common network of functional areas for attention and eye movements. </w:t>
      </w:r>
      <w:r w:rsidRPr="00173758">
        <w:rPr>
          <w:i/>
          <w:iCs/>
          <w:noProof/>
        </w:rPr>
        <w:t>Neuron</w:t>
      </w:r>
      <w:r w:rsidRPr="00173758">
        <w:rPr>
          <w:noProof/>
        </w:rPr>
        <w:t xml:space="preserve">, </w:t>
      </w:r>
      <w:r w:rsidRPr="00173758">
        <w:rPr>
          <w:i/>
          <w:iCs/>
          <w:noProof/>
        </w:rPr>
        <w:t>21</w:t>
      </w:r>
      <w:r w:rsidRPr="00173758">
        <w:rPr>
          <w:noProof/>
        </w:rPr>
        <w:t>(4), 761–73.</w:t>
      </w:r>
    </w:p>
    <w:p w14:paraId="5CC3AAEA" w14:textId="77777777" w:rsidR="00173758" w:rsidRPr="00173758" w:rsidRDefault="00173758">
      <w:pPr>
        <w:pStyle w:val="NormalWeb"/>
        <w:ind w:left="480" w:hanging="480"/>
        <w:divId w:val="1098677572"/>
        <w:rPr>
          <w:noProof/>
        </w:rPr>
      </w:pPr>
      <w:r w:rsidRPr="00173758">
        <w:rPr>
          <w:noProof/>
        </w:rPr>
        <w:t xml:space="preserve">Deubel, H. (2008). The time course of presaccadic attention shifts. </w:t>
      </w:r>
      <w:r w:rsidRPr="00173758">
        <w:rPr>
          <w:i/>
          <w:iCs/>
          <w:noProof/>
        </w:rPr>
        <w:t>Psychological Research</w:t>
      </w:r>
      <w:r w:rsidRPr="00173758">
        <w:rPr>
          <w:noProof/>
        </w:rPr>
        <w:t xml:space="preserve">, </w:t>
      </w:r>
      <w:r w:rsidRPr="00173758">
        <w:rPr>
          <w:i/>
          <w:iCs/>
          <w:noProof/>
        </w:rPr>
        <w:t>72</w:t>
      </w:r>
      <w:r w:rsidRPr="00173758">
        <w:rPr>
          <w:noProof/>
        </w:rPr>
        <w:t>(6), 630–40. doi:10.1007/s00426-008-0165-3</w:t>
      </w:r>
    </w:p>
    <w:p w14:paraId="5980BFF4" w14:textId="77777777" w:rsidR="00173758" w:rsidRPr="00173758" w:rsidRDefault="00173758">
      <w:pPr>
        <w:pStyle w:val="NormalWeb"/>
        <w:ind w:left="480" w:hanging="480"/>
        <w:divId w:val="1098677572"/>
        <w:rPr>
          <w:noProof/>
        </w:rPr>
      </w:pPr>
      <w:r w:rsidRPr="00173758">
        <w:rPr>
          <w:noProof/>
        </w:rPr>
        <w:t xml:space="preserve">Deubel, H., &amp; Schneider, W. (1996). Saccade target selection and object recognition: evidence for a common attentional mechanism. </w:t>
      </w:r>
      <w:r w:rsidRPr="00173758">
        <w:rPr>
          <w:i/>
          <w:iCs/>
          <w:noProof/>
        </w:rPr>
        <w:t>Vision Research</w:t>
      </w:r>
      <w:r w:rsidRPr="00173758">
        <w:rPr>
          <w:noProof/>
        </w:rPr>
        <w:t xml:space="preserve">, </w:t>
      </w:r>
      <w:r w:rsidRPr="00173758">
        <w:rPr>
          <w:i/>
          <w:iCs/>
          <w:noProof/>
        </w:rPr>
        <w:t>36</w:t>
      </w:r>
      <w:r w:rsidRPr="00173758">
        <w:rPr>
          <w:noProof/>
        </w:rPr>
        <w:t>(12), 1827–37.</w:t>
      </w:r>
    </w:p>
    <w:p w14:paraId="3B50D187" w14:textId="77777777" w:rsidR="00173758" w:rsidRPr="00173758" w:rsidRDefault="00173758">
      <w:pPr>
        <w:pStyle w:val="NormalWeb"/>
        <w:ind w:left="480" w:hanging="480"/>
        <w:divId w:val="1098677572"/>
        <w:rPr>
          <w:noProof/>
        </w:rPr>
      </w:pPr>
      <w:r w:rsidRPr="00173758">
        <w:rPr>
          <w:noProof/>
        </w:rPr>
        <w:t xml:space="preserve">Deubel, H., Schneider, W., &amp; Paprotta, I. (1998). Selective dorsal and ventral processing: Evidence for a common attentional mechanism in reaching and perception. </w:t>
      </w:r>
      <w:r w:rsidRPr="00173758">
        <w:rPr>
          <w:i/>
          <w:iCs/>
          <w:noProof/>
        </w:rPr>
        <w:t>Visual Cognition</w:t>
      </w:r>
      <w:r w:rsidRPr="00173758">
        <w:rPr>
          <w:noProof/>
        </w:rPr>
        <w:t xml:space="preserve">, </w:t>
      </w:r>
      <w:r w:rsidRPr="00173758">
        <w:rPr>
          <w:i/>
          <w:iCs/>
          <w:noProof/>
        </w:rPr>
        <w:t>5</w:t>
      </w:r>
      <w:r w:rsidRPr="00173758">
        <w:rPr>
          <w:noProof/>
        </w:rPr>
        <w:t>(1/2), 81–107.</w:t>
      </w:r>
    </w:p>
    <w:p w14:paraId="2682F260" w14:textId="77777777" w:rsidR="00173758" w:rsidRPr="00173758" w:rsidRDefault="00173758">
      <w:pPr>
        <w:pStyle w:val="NormalWeb"/>
        <w:ind w:left="480" w:hanging="480"/>
        <w:divId w:val="1098677572"/>
        <w:rPr>
          <w:noProof/>
        </w:rPr>
      </w:pPr>
      <w:r w:rsidRPr="00173758">
        <w:rPr>
          <w:noProof/>
        </w:rPr>
        <w:t xml:space="preserve">Eimer, M., Forster, B., Van Velzen, J., J, &amp; Prabhu, G. (2005). Covert manual response preparation triggers attentional shifts: ERP evidence for the premotor theory of attention. </w:t>
      </w:r>
      <w:r w:rsidRPr="00173758">
        <w:rPr>
          <w:i/>
          <w:iCs/>
          <w:noProof/>
        </w:rPr>
        <w:t>Neuropsychologia</w:t>
      </w:r>
      <w:r w:rsidRPr="00173758">
        <w:rPr>
          <w:noProof/>
        </w:rPr>
        <w:t xml:space="preserve">, </w:t>
      </w:r>
      <w:r w:rsidRPr="00173758">
        <w:rPr>
          <w:i/>
          <w:iCs/>
          <w:noProof/>
        </w:rPr>
        <w:t>43</w:t>
      </w:r>
      <w:r w:rsidRPr="00173758">
        <w:rPr>
          <w:noProof/>
        </w:rPr>
        <w:t>, 957–966.</w:t>
      </w:r>
    </w:p>
    <w:p w14:paraId="0899078C" w14:textId="77777777" w:rsidR="00173758" w:rsidRPr="00173758" w:rsidRDefault="00173758">
      <w:pPr>
        <w:pStyle w:val="NormalWeb"/>
        <w:ind w:left="480" w:hanging="480"/>
        <w:divId w:val="1098677572"/>
        <w:rPr>
          <w:noProof/>
        </w:rPr>
      </w:pPr>
      <w:r w:rsidRPr="00173758">
        <w:rPr>
          <w:noProof/>
        </w:rPr>
        <w:t xml:space="preserve">Eimer, M., &amp; Van Velzen, J. (2002). Crossmodal links in spatial attention are mediated by supramodal control processes: evidence from event-related potentials. </w:t>
      </w:r>
      <w:r w:rsidRPr="00173758">
        <w:rPr>
          <w:i/>
          <w:iCs/>
          <w:noProof/>
        </w:rPr>
        <w:t>Psychophysiology</w:t>
      </w:r>
      <w:r w:rsidRPr="00173758">
        <w:rPr>
          <w:noProof/>
        </w:rPr>
        <w:t xml:space="preserve">, </w:t>
      </w:r>
      <w:r w:rsidRPr="00173758">
        <w:rPr>
          <w:i/>
          <w:iCs/>
          <w:noProof/>
        </w:rPr>
        <w:t>39</w:t>
      </w:r>
      <w:r w:rsidRPr="00173758">
        <w:rPr>
          <w:noProof/>
        </w:rPr>
        <w:t>(4), 437–49. doi:10.1017.S0048577201393162</w:t>
      </w:r>
    </w:p>
    <w:p w14:paraId="71C341F3" w14:textId="77777777" w:rsidR="00173758" w:rsidRPr="00173758" w:rsidRDefault="00173758">
      <w:pPr>
        <w:pStyle w:val="NormalWeb"/>
        <w:ind w:left="480" w:hanging="480"/>
        <w:divId w:val="1098677572"/>
        <w:rPr>
          <w:noProof/>
        </w:rPr>
      </w:pPr>
      <w:r w:rsidRPr="00173758">
        <w:rPr>
          <w:noProof/>
        </w:rPr>
        <w:t xml:space="preserve">Eimer, M., Van Velzen, J., Gherri, E., &amp; Press, C. (2006). Manual response preparation and saccade programming are linked to attention shifts : ERP evidence for covert attentional orienting and spatially specific modulations of visual processing. </w:t>
      </w:r>
      <w:r w:rsidRPr="00173758">
        <w:rPr>
          <w:i/>
          <w:iCs/>
          <w:noProof/>
        </w:rPr>
        <w:t>Brain Research</w:t>
      </w:r>
      <w:r w:rsidRPr="00173758">
        <w:rPr>
          <w:noProof/>
        </w:rPr>
        <w:t xml:space="preserve">, </w:t>
      </w:r>
      <w:r w:rsidRPr="00173758">
        <w:rPr>
          <w:i/>
          <w:iCs/>
          <w:noProof/>
        </w:rPr>
        <w:t>1105</w:t>
      </w:r>
      <w:r w:rsidRPr="00173758">
        <w:rPr>
          <w:noProof/>
        </w:rPr>
        <w:t>, 7–19. doi:10.1016/j.brainr</w:t>
      </w:r>
    </w:p>
    <w:p w14:paraId="6AC5FB0A" w14:textId="77777777" w:rsidR="00173758" w:rsidRPr="00173758" w:rsidRDefault="00173758">
      <w:pPr>
        <w:pStyle w:val="NormalWeb"/>
        <w:ind w:left="480" w:hanging="480"/>
        <w:divId w:val="1098677572"/>
        <w:rPr>
          <w:noProof/>
        </w:rPr>
      </w:pPr>
      <w:r w:rsidRPr="00173758">
        <w:rPr>
          <w:noProof/>
        </w:rPr>
        <w:t xml:space="preserve">Eimer, M., Van Velzen, J., Gherri, E., &amp; Press, C. (2007). ERP correlates of shared control mechanisms involved in saccade preparation and in covert attention. </w:t>
      </w:r>
      <w:r w:rsidRPr="00173758">
        <w:rPr>
          <w:i/>
          <w:iCs/>
          <w:noProof/>
        </w:rPr>
        <w:t>Brain Research</w:t>
      </w:r>
      <w:r w:rsidRPr="00173758">
        <w:rPr>
          <w:noProof/>
        </w:rPr>
        <w:t xml:space="preserve">, </w:t>
      </w:r>
      <w:r w:rsidRPr="00173758">
        <w:rPr>
          <w:i/>
          <w:iCs/>
          <w:noProof/>
        </w:rPr>
        <w:t>1135</w:t>
      </w:r>
      <w:r w:rsidRPr="00173758">
        <w:rPr>
          <w:noProof/>
        </w:rPr>
        <w:t>(1), 154–66. doi:10.1016/j.brainres.2006.12.007</w:t>
      </w:r>
    </w:p>
    <w:p w14:paraId="483CA0E6" w14:textId="77777777" w:rsidR="00173758" w:rsidRPr="00173758" w:rsidRDefault="00173758">
      <w:pPr>
        <w:pStyle w:val="NormalWeb"/>
        <w:ind w:left="480" w:hanging="480"/>
        <w:divId w:val="1098677572"/>
        <w:rPr>
          <w:noProof/>
        </w:rPr>
      </w:pPr>
      <w:r w:rsidRPr="00173758">
        <w:rPr>
          <w:noProof/>
        </w:rPr>
        <w:t xml:space="preserve">Forster, B., &amp; Eimer, M. (2007). Covert unimanual response preparation triggers attention shifts to effectors rather than goal locations. </w:t>
      </w:r>
      <w:r w:rsidRPr="00173758">
        <w:rPr>
          <w:i/>
          <w:iCs/>
          <w:noProof/>
        </w:rPr>
        <w:t>Neuroscience Letters</w:t>
      </w:r>
      <w:r w:rsidRPr="00173758">
        <w:rPr>
          <w:noProof/>
        </w:rPr>
        <w:t xml:space="preserve">, </w:t>
      </w:r>
      <w:r w:rsidRPr="00173758">
        <w:rPr>
          <w:i/>
          <w:iCs/>
          <w:noProof/>
        </w:rPr>
        <w:t>419</w:t>
      </w:r>
      <w:r w:rsidRPr="00173758">
        <w:rPr>
          <w:noProof/>
        </w:rPr>
        <w:t>, 142–146.</w:t>
      </w:r>
    </w:p>
    <w:p w14:paraId="58F5718B" w14:textId="77777777" w:rsidR="00173758" w:rsidRPr="00173758" w:rsidRDefault="00173758">
      <w:pPr>
        <w:pStyle w:val="NormalWeb"/>
        <w:ind w:left="480" w:hanging="480"/>
        <w:divId w:val="1098677572"/>
        <w:rPr>
          <w:noProof/>
        </w:rPr>
      </w:pPr>
      <w:r w:rsidRPr="00173758">
        <w:rPr>
          <w:noProof/>
        </w:rPr>
        <w:t xml:space="preserve">Gherri, E., &amp; Eimer, M. (2008). Links between eye movement preparation and the attentional processing of tactile events: an event-related brain potential study. </w:t>
      </w:r>
      <w:r w:rsidRPr="00173758">
        <w:rPr>
          <w:i/>
          <w:iCs/>
          <w:noProof/>
        </w:rPr>
        <w:t>Clinical Neurophysiology : Official Journal of the International Federation of Clinical Neurophysiology</w:t>
      </w:r>
      <w:r w:rsidRPr="00173758">
        <w:rPr>
          <w:noProof/>
        </w:rPr>
        <w:t xml:space="preserve">, </w:t>
      </w:r>
      <w:r w:rsidRPr="00173758">
        <w:rPr>
          <w:i/>
          <w:iCs/>
          <w:noProof/>
        </w:rPr>
        <w:t>119</w:t>
      </w:r>
      <w:r w:rsidRPr="00173758">
        <w:rPr>
          <w:noProof/>
        </w:rPr>
        <w:t>(11), 2587–97. doi:10.1016/j.clinph.2008.07.214</w:t>
      </w:r>
    </w:p>
    <w:p w14:paraId="5B11C11A" w14:textId="77777777" w:rsidR="00173758" w:rsidRPr="00173758" w:rsidRDefault="00173758">
      <w:pPr>
        <w:pStyle w:val="NormalWeb"/>
        <w:ind w:left="480" w:hanging="480"/>
        <w:divId w:val="1098677572"/>
        <w:rPr>
          <w:noProof/>
        </w:rPr>
      </w:pPr>
      <w:r w:rsidRPr="00173758">
        <w:rPr>
          <w:noProof/>
        </w:rPr>
        <w:t xml:space="preserve">Gherri, E., &amp; Eimer, M. (2010). Manual response preparation disrupts spatial attention : an electrophysiological investigation of links between action and attention, </w:t>
      </w:r>
      <w:r w:rsidRPr="00173758">
        <w:rPr>
          <w:i/>
          <w:iCs/>
          <w:noProof/>
        </w:rPr>
        <w:t>48</w:t>
      </w:r>
      <w:r w:rsidRPr="00173758">
        <w:rPr>
          <w:noProof/>
        </w:rPr>
        <w:t>(4), 961–969. doi:10.1016/j.neuropsychologia.2009.11.017.Manual</w:t>
      </w:r>
    </w:p>
    <w:p w14:paraId="5329F9F5" w14:textId="77777777" w:rsidR="00173758" w:rsidRPr="00173758" w:rsidRDefault="00173758">
      <w:pPr>
        <w:pStyle w:val="NormalWeb"/>
        <w:ind w:left="480" w:hanging="480"/>
        <w:divId w:val="1098677572"/>
        <w:rPr>
          <w:noProof/>
        </w:rPr>
      </w:pPr>
      <w:r w:rsidRPr="00173758">
        <w:rPr>
          <w:noProof/>
        </w:rPr>
        <w:t xml:space="preserve">Gherri, E., Van Velzen, J., &amp; Eimer, M. (2007). Dissociating effector and movement direction selection during the preparation of manual reaching movements: evidence from lateralized ERP components. </w:t>
      </w:r>
      <w:r w:rsidRPr="00173758">
        <w:rPr>
          <w:i/>
          <w:iCs/>
          <w:noProof/>
        </w:rPr>
        <w:t>Clinical Neurophysiology : Official Journal of the International Federation of Clinical Neurophysiology</w:t>
      </w:r>
      <w:r w:rsidRPr="00173758">
        <w:rPr>
          <w:noProof/>
        </w:rPr>
        <w:t xml:space="preserve">, </w:t>
      </w:r>
      <w:r w:rsidRPr="00173758">
        <w:rPr>
          <w:i/>
          <w:iCs/>
          <w:noProof/>
        </w:rPr>
        <w:t>118</w:t>
      </w:r>
      <w:r w:rsidRPr="00173758">
        <w:rPr>
          <w:noProof/>
        </w:rPr>
        <w:t>(9), 2031–49. doi:10.1016/j.clinph.2007.06.003</w:t>
      </w:r>
    </w:p>
    <w:p w14:paraId="0C66FAFB" w14:textId="77777777" w:rsidR="00173758" w:rsidRPr="00173758" w:rsidRDefault="00173758">
      <w:pPr>
        <w:pStyle w:val="NormalWeb"/>
        <w:ind w:left="480" w:hanging="480"/>
        <w:divId w:val="1098677572"/>
        <w:rPr>
          <w:noProof/>
        </w:rPr>
      </w:pPr>
      <w:r w:rsidRPr="00173758">
        <w:rPr>
          <w:noProof/>
        </w:rPr>
        <w:t xml:space="preserve">Gherri, E., Van Velzen, J., &amp; Eimer, M. (2009). The instructed context of a motor task modulates covert response preparation and shifts of spatial attention. </w:t>
      </w:r>
      <w:r w:rsidRPr="00173758">
        <w:rPr>
          <w:i/>
          <w:iCs/>
          <w:noProof/>
        </w:rPr>
        <w:t>Psychophysiology</w:t>
      </w:r>
      <w:r w:rsidRPr="00173758">
        <w:rPr>
          <w:noProof/>
        </w:rPr>
        <w:t xml:space="preserve">, </w:t>
      </w:r>
      <w:r w:rsidRPr="00173758">
        <w:rPr>
          <w:i/>
          <w:iCs/>
          <w:noProof/>
        </w:rPr>
        <w:t>46</w:t>
      </w:r>
      <w:r w:rsidRPr="00173758">
        <w:rPr>
          <w:noProof/>
        </w:rPr>
        <w:t>(3), 655–667. doi:10.1111/j.1469-8986.2009.00800.x</w:t>
      </w:r>
    </w:p>
    <w:p w14:paraId="65B733E4" w14:textId="77777777" w:rsidR="00173758" w:rsidRPr="00173758" w:rsidRDefault="00173758">
      <w:pPr>
        <w:pStyle w:val="NormalWeb"/>
        <w:ind w:left="480" w:hanging="480"/>
        <w:divId w:val="1098677572"/>
        <w:rPr>
          <w:noProof/>
        </w:rPr>
      </w:pPr>
      <w:r w:rsidRPr="00173758">
        <w:rPr>
          <w:noProof/>
        </w:rPr>
        <w:t xml:space="preserve">Gilster, R., Hesse, C., &amp; Deubel, H. (2012). Contact points during multidigit grasping of geometric objects. </w:t>
      </w:r>
      <w:r w:rsidRPr="00173758">
        <w:rPr>
          <w:i/>
          <w:iCs/>
          <w:noProof/>
        </w:rPr>
        <w:t>Experimental Brain Research. Experimentelle Hirnforschung. Expérimentation Cérébrale</w:t>
      </w:r>
      <w:r w:rsidRPr="00173758">
        <w:rPr>
          <w:noProof/>
        </w:rPr>
        <w:t xml:space="preserve">, </w:t>
      </w:r>
      <w:r w:rsidRPr="00173758">
        <w:rPr>
          <w:i/>
          <w:iCs/>
          <w:noProof/>
        </w:rPr>
        <w:t>217</w:t>
      </w:r>
      <w:r w:rsidRPr="00173758">
        <w:rPr>
          <w:noProof/>
        </w:rPr>
        <w:t>(1), 137–51. doi:10.1007/s00221-011-2980-9</w:t>
      </w:r>
    </w:p>
    <w:p w14:paraId="404EA152" w14:textId="77777777" w:rsidR="00173758" w:rsidRPr="00173758" w:rsidRDefault="00173758">
      <w:pPr>
        <w:pStyle w:val="NormalWeb"/>
        <w:ind w:left="480" w:hanging="480"/>
        <w:divId w:val="1098677572"/>
        <w:rPr>
          <w:noProof/>
        </w:rPr>
      </w:pPr>
      <w:r w:rsidRPr="00173758">
        <w:rPr>
          <w:noProof/>
        </w:rPr>
        <w:t xml:space="preserve">Hillyard, S. A., &amp; Anllo-Vento, L. (1998). Event-related brain potentials in the study of visual selective attention. </w:t>
      </w:r>
      <w:r w:rsidRPr="00173758">
        <w:rPr>
          <w:i/>
          <w:iCs/>
          <w:noProof/>
        </w:rPr>
        <w:t>Proceedings of the National Academy of Sciences of the United States of America</w:t>
      </w:r>
      <w:r w:rsidRPr="00173758">
        <w:rPr>
          <w:noProof/>
        </w:rPr>
        <w:t xml:space="preserve">, </w:t>
      </w:r>
      <w:r w:rsidRPr="00173758">
        <w:rPr>
          <w:i/>
          <w:iCs/>
          <w:noProof/>
        </w:rPr>
        <w:t>95</w:t>
      </w:r>
      <w:r w:rsidRPr="00173758">
        <w:rPr>
          <w:noProof/>
        </w:rPr>
        <w:t>(3), 781–7.</w:t>
      </w:r>
    </w:p>
    <w:p w14:paraId="238FAB6B" w14:textId="77777777" w:rsidR="00173758" w:rsidRPr="00173758" w:rsidRDefault="00173758">
      <w:pPr>
        <w:pStyle w:val="NormalWeb"/>
        <w:ind w:left="480" w:hanging="480"/>
        <w:divId w:val="1098677572"/>
        <w:rPr>
          <w:noProof/>
        </w:rPr>
      </w:pPr>
      <w:r w:rsidRPr="00173758">
        <w:rPr>
          <w:noProof/>
        </w:rPr>
        <w:t xml:space="preserve">Hoffman, J. E., &amp; Subramaniam, B. (1995). The role of visual attention in saccadic eye movements. </w:t>
      </w:r>
      <w:r w:rsidRPr="00173758">
        <w:rPr>
          <w:i/>
          <w:iCs/>
          <w:noProof/>
        </w:rPr>
        <w:t>Perception &amp; Psychophysics</w:t>
      </w:r>
      <w:r w:rsidRPr="00173758">
        <w:rPr>
          <w:noProof/>
        </w:rPr>
        <w:t xml:space="preserve">, </w:t>
      </w:r>
      <w:r w:rsidRPr="00173758">
        <w:rPr>
          <w:i/>
          <w:iCs/>
          <w:noProof/>
        </w:rPr>
        <w:t>57</w:t>
      </w:r>
      <w:r w:rsidRPr="00173758">
        <w:rPr>
          <w:noProof/>
        </w:rPr>
        <w:t>, 787–795.</w:t>
      </w:r>
    </w:p>
    <w:p w14:paraId="59AFFF89" w14:textId="77777777" w:rsidR="00173758" w:rsidRPr="00173758" w:rsidRDefault="00173758">
      <w:pPr>
        <w:pStyle w:val="NormalWeb"/>
        <w:ind w:left="480" w:hanging="480"/>
        <w:divId w:val="1098677572"/>
        <w:rPr>
          <w:noProof/>
        </w:rPr>
      </w:pPr>
      <w:r w:rsidRPr="00173758">
        <w:rPr>
          <w:noProof/>
        </w:rPr>
        <w:t xml:space="preserve">Hopf, J. M., &amp; Mangun, G. R. (2000). Shifting visual attention in space: an electrophysiological analysis using high spatial resolution mapping. </w:t>
      </w:r>
      <w:r w:rsidRPr="00173758">
        <w:rPr>
          <w:i/>
          <w:iCs/>
          <w:noProof/>
        </w:rPr>
        <w:t>Clinical Neurophysiology : Official Journal of the International Federation of Clinical Neurophysiology</w:t>
      </w:r>
      <w:r w:rsidRPr="00173758">
        <w:rPr>
          <w:noProof/>
        </w:rPr>
        <w:t xml:space="preserve">, </w:t>
      </w:r>
      <w:r w:rsidRPr="00173758">
        <w:rPr>
          <w:i/>
          <w:iCs/>
          <w:noProof/>
        </w:rPr>
        <w:t>111</w:t>
      </w:r>
      <w:r w:rsidRPr="00173758">
        <w:rPr>
          <w:noProof/>
        </w:rPr>
        <w:t>(7), 1241–57.</w:t>
      </w:r>
    </w:p>
    <w:p w14:paraId="4FEB188A" w14:textId="77777777" w:rsidR="00173758" w:rsidRPr="00173758" w:rsidRDefault="00173758">
      <w:pPr>
        <w:pStyle w:val="NormalWeb"/>
        <w:ind w:left="480" w:hanging="480"/>
        <w:divId w:val="1098677572"/>
        <w:rPr>
          <w:noProof/>
        </w:rPr>
      </w:pPr>
      <w:r w:rsidRPr="00173758">
        <w:rPr>
          <w:noProof/>
        </w:rPr>
        <w:t xml:space="preserve">Hunt, A. R., &amp; Kingstone, A. (2003). Covert and overt voluntary attention: linked or independent? </w:t>
      </w:r>
      <w:r w:rsidRPr="00173758">
        <w:rPr>
          <w:i/>
          <w:iCs/>
          <w:noProof/>
        </w:rPr>
        <w:t>Cognitive Brain Research</w:t>
      </w:r>
      <w:r w:rsidRPr="00173758">
        <w:rPr>
          <w:noProof/>
        </w:rPr>
        <w:t xml:space="preserve">, </w:t>
      </w:r>
      <w:r w:rsidRPr="00173758">
        <w:rPr>
          <w:i/>
          <w:iCs/>
          <w:noProof/>
        </w:rPr>
        <w:t>18</w:t>
      </w:r>
      <w:r w:rsidRPr="00173758">
        <w:rPr>
          <w:noProof/>
        </w:rPr>
        <w:t>(1), 102–105. doi:10.1016/j.cogbrainres.2003.08.006</w:t>
      </w:r>
    </w:p>
    <w:p w14:paraId="091943F2" w14:textId="77777777" w:rsidR="00173758" w:rsidRPr="00173758" w:rsidRDefault="00173758">
      <w:pPr>
        <w:pStyle w:val="NormalWeb"/>
        <w:ind w:left="480" w:hanging="480"/>
        <w:divId w:val="1098677572"/>
        <w:rPr>
          <w:noProof/>
        </w:rPr>
      </w:pPr>
      <w:r w:rsidRPr="00173758">
        <w:rPr>
          <w:noProof/>
        </w:rPr>
        <w:t xml:space="preserve">Jonikaitis, D., &amp; Deubel, H. (2011). Independent allocation of attention to eye and hand targets in coordinated eye-hand movements. </w:t>
      </w:r>
      <w:r w:rsidRPr="00173758">
        <w:rPr>
          <w:i/>
          <w:iCs/>
          <w:noProof/>
        </w:rPr>
        <w:t>Psychological Science</w:t>
      </w:r>
      <w:r w:rsidRPr="00173758">
        <w:rPr>
          <w:noProof/>
        </w:rPr>
        <w:t xml:space="preserve">, </w:t>
      </w:r>
      <w:r w:rsidRPr="00173758">
        <w:rPr>
          <w:i/>
          <w:iCs/>
          <w:noProof/>
        </w:rPr>
        <w:t>22</w:t>
      </w:r>
      <w:r w:rsidRPr="00173758">
        <w:rPr>
          <w:noProof/>
        </w:rPr>
        <w:t>(3), 339–47. doi:10.1177/0956797610397666</w:t>
      </w:r>
    </w:p>
    <w:p w14:paraId="29505E47" w14:textId="77777777" w:rsidR="00173758" w:rsidRPr="00173758" w:rsidRDefault="00173758">
      <w:pPr>
        <w:pStyle w:val="NormalWeb"/>
        <w:ind w:left="480" w:hanging="480"/>
        <w:divId w:val="1098677572"/>
        <w:rPr>
          <w:noProof/>
        </w:rPr>
      </w:pPr>
      <w:r w:rsidRPr="00173758">
        <w:rPr>
          <w:noProof/>
        </w:rPr>
        <w:t xml:space="preserve">Juravle, G., &amp; Deubel, H. (2009). Action preparation enhances the processing of tactile targets. </w:t>
      </w:r>
      <w:r w:rsidRPr="00173758">
        <w:rPr>
          <w:i/>
          <w:iCs/>
          <w:noProof/>
        </w:rPr>
        <w:t>Experimental Brain Research</w:t>
      </w:r>
      <w:r w:rsidRPr="00173758">
        <w:rPr>
          <w:noProof/>
        </w:rPr>
        <w:t xml:space="preserve">, </w:t>
      </w:r>
      <w:r w:rsidRPr="00173758">
        <w:rPr>
          <w:i/>
          <w:iCs/>
          <w:noProof/>
        </w:rPr>
        <w:t>198</w:t>
      </w:r>
      <w:r w:rsidRPr="00173758">
        <w:rPr>
          <w:noProof/>
        </w:rPr>
        <w:t>(2-3), 301–311. doi:10.1007/s00221-009-1819-0</w:t>
      </w:r>
    </w:p>
    <w:p w14:paraId="0B3D8896" w14:textId="77777777" w:rsidR="00173758" w:rsidRPr="00173758" w:rsidRDefault="00173758">
      <w:pPr>
        <w:pStyle w:val="NormalWeb"/>
        <w:ind w:left="480" w:hanging="480"/>
        <w:divId w:val="1098677572"/>
        <w:rPr>
          <w:noProof/>
        </w:rPr>
      </w:pPr>
      <w:r w:rsidRPr="00173758">
        <w:rPr>
          <w:noProof/>
        </w:rPr>
        <w:t xml:space="preserve">Juravle, G., Deubel, H., &amp; Spence, C. (2011). Attention and suppression affect tactile perception in reach-to-grasp movements. </w:t>
      </w:r>
      <w:r w:rsidRPr="00173758">
        <w:rPr>
          <w:i/>
          <w:iCs/>
          <w:noProof/>
        </w:rPr>
        <w:t>Acta Psychologica</w:t>
      </w:r>
      <w:r w:rsidRPr="00173758">
        <w:rPr>
          <w:noProof/>
        </w:rPr>
        <w:t xml:space="preserve">, </w:t>
      </w:r>
      <w:r w:rsidRPr="00173758">
        <w:rPr>
          <w:i/>
          <w:iCs/>
          <w:noProof/>
        </w:rPr>
        <w:t>138</w:t>
      </w:r>
      <w:r w:rsidRPr="00173758">
        <w:rPr>
          <w:noProof/>
        </w:rPr>
        <w:t>(2), 302–10. doi:10.1016/j.actpsy.2011.08.001</w:t>
      </w:r>
    </w:p>
    <w:p w14:paraId="52AD9E36" w14:textId="77777777" w:rsidR="00173758" w:rsidRPr="00173758" w:rsidRDefault="00173758">
      <w:pPr>
        <w:pStyle w:val="NormalWeb"/>
        <w:ind w:left="480" w:hanging="480"/>
        <w:divId w:val="1098677572"/>
        <w:rPr>
          <w:noProof/>
        </w:rPr>
      </w:pPr>
      <w:r w:rsidRPr="00173758">
        <w:rPr>
          <w:noProof/>
        </w:rPr>
        <w:t xml:space="preserve">Mangun, G. R., &amp; Buck, L. A. (1998). Sustained visual-spatial attention produces costs and benefits in response time and evoked neural activity. </w:t>
      </w:r>
      <w:r w:rsidRPr="00173758">
        <w:rPr>
          <w:i/>
          <w:iCs/>
          <w:noProof/>
        </w:rPr>
        <w:t>Neuropsychologia</w:t>
      </w:r>
      <w:r w:rsidRPr="00173758">
        <w:rPr>
          <w:noProof/>
        </w:rPr>
        <w:t xml:space="preserve">, </w:t>
      </w:r>
      <w:r w:rsidRPr="00173758">
        <w:rPr>
          <w:i/>
          <w:iCs/>
          <w:noProof/>
        </w:rPr>
        <w:t>36</w:t>
      </w:r>
      <w:r w:rsidRPr="00173758">
        <w:rPr>
          <w:noProof/>
        </w:rPr>
        <w:t>(3), 189–200.</w:t>
      </w:r>
    </w:p>
    <w:p w14:paraId="699B4E8A" w14:textId="77777777" w:rsidR="00173758" w:rsidRPr="00173758" w:rsidRDefault="00173758">
      <w:pPr>
        <w:pStyle w:val="NormalWeb"/>
        <w:ind w:left="480" w:hanging="480"/>
        <w:divId w:val="1098677572"/>
        <w:rPr>
          <w:noProof/>
        </w:rPr>
      </w:pPr>
      <w:r w:rsidRPr="00173758">
        <w:rPr>
          <w:noProof/>
        </w:rPr>
        <w:t xml:space="preserve">Mathews, S., John, P., Dean, A., &amp; Sterr, A. (2006). EEG dipole analysis of motor-priming foreperiod activity reveals separate sources for motor and spatial attention components, </w:t>
      </w:r>
      <w:r w:rsidRPr="00173758">
        <w:rPr>
          <w:i/>
          <w:iCs/>
          <w:noProof/>
        </w:rPr>
        <w:t>117</w:t>
      </w:r>
      <w:r w:rsidRPr="00173758">
        <w:rPr>
          <w:noProof/>
        </w:rPr>
        <w:t>, 2675–2683. doi:10.1016/j.clinph.2006.08.001</w:t>
      </w:r>
    </w:p>
    <w:p w14:paraId="0620E492" w14:textId="77777777" w:rsidR="00173758" w:rsidRPr="00173758" w:rsidRDefault="00173758">
      <w:pPr>
        <w:pStyle w:val="NormalWeb"/>
        <w:ind w:left="480" w:hanging="480"/>
        <w:divId w:val="1098677572"/>
        <w:rPr>
          <w:noProof/>
        </w:rPr>
      </w:pPr>
      <w:r w:rsidRPr="00173758">
        <w:rPr>
          <w:noProof/>
        </w:rPr>
        <w:t xml:space="preserve">Nobre, A. C., Sebestyen, G. N., &amp; Miniussi, C. (2000). The dynamics of shifting visuospatial attention revealed by event-related potentials. </w:t>
      </w:r>
      <w:r w:rsidRPr="00173758">
        <w:rPr>
          <w:i/>
          <w:iCs/>
          <w:noProof/>
        </w:rPr>
        <w:t>Neuropsychologia</w:t>
      </w:r>
      <w:r w:rsidRPr="00173758">
        <w:rPr>
          <w:noProof/>
        </w:rPr>
        <w:t xml:space="preserve">, </w:t>
      </w:r>
      <w:r w:rsidRPr="00173758">
        <w:rPr>
          <w:i/>
          <w:iCs/>
          <w:noProof/>
        </w:rPr>
        <w:t>38</w:t>
      </w:r>
      <w:r w:rsidRPr="00173758">
        <w:rPr>
          <w:noProof/>
        </w:rPr>
        <w:t>(7), 964–74.</w:t>
      </w:r>
    </w:p>
    <w:p w14:paraId="36ED5FC0" w14:textId="77777777" w:rsidR="00173758" w:rsidRPr="00173758" w:rsidRDefault="00173758">
      <w:pPr>
        <w:pStyle w:val="NormalWeb"/>
        <w:ind w:left="480" w:hanging="480"/>
        <w:divId w:val="1098677572"/>
        <w:rPr>
          <w:noProof/>
        </w:rPr>
      </w:pPr>
      <w:r w:rsidRPr="00173758">
        <w:rPr>
          <w:noProof/>
        </w:rPr>
        <w:t xml:space="preserve">Perry, R. J., &amp; Zeki, S. (2000). The neurology of saccades and covert shifts in spatial attention: an event-related fMRI study. </w:t>
      </w:r>
      <w:r w:rsidRPr="00173758">
        <w:rPr>
          <w:i/>
          <w:iCs/>
          <w:noProof/>
        </w:rPr>
        <w:t>Brain : A Journal of Neurology</w:t>
      </w:r>
      <w:r w:rsidRPr="00173758">
        <w:rPr>
          <w:noProof/>
        </w:rPr>
        <w:t xml:space="preserve">, </w:t>
      </w:r>
      <w:r w:rsidRPr="00173758">
        <w:rPr>
          <w:i/>
          <w:iCs/>
          <w:noProof/>
        </w:rPr>
        <w:t>123 ( Pt 1</w:t>
      </w:r>
      <w:r w:rsidRPr="00173758">
        <w:rPr>
          <w:noProof/>
        </w:rPr>
        <w:t>, 2273–88.</w:t>
      </w:r>
    </w:p>
    <w:p w14:paraId="4B7F10C1" w14:textId="77777777" w:rsidR="00173758" w:rsidRPr="00173758" w:rsidRDefault="00173758">
      <w:pPr>
        <w:pStyle w:val="NormalWeb"/>
        <w:ind w:left="480" w:hanging="480"/>
        <w:divId w:val="1098677572"/>
        <w:rPr>
          <w:noProof/>
        </w:rPr>
      </w:pPr>
      <w:r w:rsidRPr="00173758">
        <w:rPr>
          <w:noProof/>
        </w:rPr>
        <w:t xml:space="preserve">Posner, M. (1980). Orienting of attention. </w:t>
      </w:r>
      <w:r w:rsidRPr="00173758">
        <w:rPr>
          <w:i/>
          <w:iCs/>
          <w:noProof/>
        </w:rPr>
        <w:t>Quarterly Journal of Experimental Psychology</w:t>
      </w:r>
      <w:r w:rsidRPr="00173758">
        <w:rPr>
          <w:noProof/>
        </w:rPr>
        <w:t xml:space="preserve">, </w:t>
      </w:r>
      <w:r w:rsidRPr="00173758">
        <w:rPr>
          <w:i/>
          <w:iCs/>
          <w:noProof/>
        </w:rPr>
        <w:t>32</w:t>
      </w:r>
      <w:r w:rsidRPr="00173758">
        <w:rPr>
          <w:noProof/>
        </w:rPr>
        <w:t>(1), 3–25.</w:t>
      </w:r>
    </w:p>
    <w:p w14:paraId="64B2AB4E" w14:textId="77777777" w:rsidR="00173758" w:rsidRPr="00173758" w:rsidRDefault="00173758">
      <w:pPr>
        <w:pStyle w:val="NormalWeb"/>
        <w:ind w:left="480" w:hanging="480"/>
        <w:divId w:val="1098677572"/>
        <w:rPr>
          <w:noProof/>
        </w:rPr>
      </w:pPr>
      <w:r w:rsidRPr="00173758">
        <w:rPr>
          <w:noProof/>
        </w:rPr>
        <w:t xml:space="preserve">Praamstra, P., Boutsen, L., &amp; Humphreys, G. W. (2005). Frontoparietal control of spatial attention and motor intention in human EEG. </w:t>
      </w:r>
      <w:r w:rsidRPr="00173758">
        <w:rPr>
          <w:i/>
          <w:iCs/>
          <w:noProof/>
        </w:rPr>
        <w:t>Journal of Neurophysiology</w:t>
      </w:r>
      <w:r w:rsidRPr="00173758">
        <w:rPr>
          <w:noProof/>
        </w:rPr>
        <w:t xml:space="preserve">, </w:t>
      </w:r>
      <w:r w:rsidRPr="00173758">
        <w:rPr>
          <w:i/>
          <w:iCs/>
          <w:noProof/>
        </w:rPr>
        <w:t>94</w:t>
      </w:r>
      <w:r w:rsidRPr="00173758">
        <w:rPr>
          <w:noProof/>
        </w:rPr>
        <w:t>(1), 764–74. doi:10.1152/jn.01052.2004</w:t>
      </w:r>
    </w:p>
    <w:p w14:paraId="3562BE75" w14:textId="77777777" w:rsidR="00173758" w:rsidRPr="00173758" w:rsidRDefault="00173758">
      <w:pPr>
        <w:pStyle w:val="NormalWeb"/>
        <w:ind w:left="480" w:hanging="480"/>
        <w:divId w:val="1098677572"/>
        <w:rPr>
          <w:noProof/>
        </w:rPr>
      </w:pPr>
      <w:r w:rsidRPr="00173758">
        <w:rPr>
          <w:noProof/>
        </w:rPr>
        <w:t xml:space="preserve">Rizzolatti, G., Riggio, L., Dascola, I., &amp; Umiltá, C. (1987). Reorienting attention across the horizontal and vertical meridians: evidence in favor of a premotor theory of attention. </w:t>
      </w:r>
      <w:r w:rsidRPr="00173758">
        <w:rPr>
          <w:i/>
          <w:iCs/>
          <w:noProof/>
        </w:rPr>
        <w:t>Neuropsychologia</w:t>
      </w:r>
      <w:r w:rsidRPr="00173758">
        <w:rPr>
          <w:noProof/>
        </w:rPr>
        <w:t xml:space="preserve">, </w:t>
      </w:r>
      <w:r w:rsidRPr="00173758">
        <w:rPr>
          <w:i/>
          <w:iCs/>
          <w:noProof/>
        </w:rPr>
        <w:t>25</w:t>
      </w:r>
      <w:r w:rsidRPr="00173758">
        <w:rPr>
          <w:noProof/>
        </w:rPr>
        <w:t>(1A), 31–40.</w:t>
      </w:r>
    </w:p>
    <w:p w14:paraId="2831504B" w14:textId="77777777" w:rsidR="00173758" w:rsidRPr="00173758" w:rsidRDefault="00173758">
      <w:pPr>
        <w:pStyle w:val="NormalWeb"/>
        <w:ind w:left="480" w:hanging="480"/>
        <w:divId w:val="1098677572"/>
        <w:rPr>
          <w:noProof/>
        </w:rPr>
      </w:pPr>
      <w:r w:rsidRPr="00173758">
        <w:rPr>
          <w:noProof/>
        </w:rPr>
        <w:t xml:space="preserve">Rizzolatti, G., Riggio, L., &amp; Sheliga, B. (1994). Space and selective attention. In C. Umilta &amp; M. Moscovitch (Eds.), </w:t>
      </w:r>
      <w:r w:rsidRPr="00173758">
        <w:rPr>
          <w:i/>
          <w:iCs/>
          <w:noProof/>
        </w:rPr>
        <w:t>Attention and performance XV</w:t>
      </w:r>
      <w:r w:rsidRPr="00173758">
        <w:rPr>
          <w:noProof/>
        </w:rPr>
        <w:t xml:space="preserve"> (pp. 231–265). Cambridge: MIT.</w:t>
      </w:r>
    </w:p>
    <w:p w14:paraId="06E21328" w14:textId="77777777" w:rsidR="00173758" w:rsidRPr="00173758" w:rsidRDefault="00173758">
      <w:pPr>
        <w:pStyle w:val="NormalWeb"/>
        <w:ind w:left="480" w:hanging="480"/>
        <w:divId w:val="1098677572"/>
        <w:rPr>
          <w:noProof/>
        </w:rPr>
      </w:pPr>
      <w:r w:rsidRPr="00173758">
        <w:rPr>
          <w:noProof/>
        </w:rPr>
        <w:t xml:space="preserve">Schiegg, A., Deubel, H., &amp; Schneider, W. (2003). Attentional selection during preparation of prehension movements. </w:t>
      </w:r>
      <w:r w:rsidRPr="00173758">
        <w:rPr>
          <w:i/>
          <w:iCs/>
          <w:noProof/>
        </w:rPr>
        <w:t>Visual Cognition</w:t>
      </w:r>
      <w:r w:rsidRPr="00173758">
        <w:rPr>
          <w:noProof/>
        </w:rPr>
        <w:t xml:space="preserve">, </w:t>
      </w:r>
      <w:r w:rsidRPr="00173758">
        <w:rPr>
          <w:i/>
          <w:iCs/>
          <w:noProof/>
        </w:rPr>
        <w:t>10</w:t>
      </w:r>
      <w:r w:rsidRPr="00173758">
        <w:rPr>
          <w:noProof/>
        </w:rPr>
        <w:t>(4), 409–432. doi:10.1080/13506280244000140</w:t>
      </w:r>
    </w:p>
    <w:p w14:paraId="2A05AB11" w14:textId="77777777" w:rsidR="00173758" w:rsidRPr="00173758" w:rsidRDefault="00173758">
      <w:pPr>
        <w:pStyle w:val="NormalWeb"/>
        <w:ind w:left="480" w:hanging="480"/>
        <w:divId w:val="1098677572"/>
        <w:rPr>
          <w:noProof/>
        </w:rPr>
      </w:pPr>
      <w:r w:rsidRPr="00173758">
        <w:rPr>
          <w:noProof/>
        </w:rPr>
        <w:t xml:space="preserve">Schneider, W. (1995). VAM: A neuro-cognitive model for visual attention control of segmentation, object recognition, and space-based motor action. </w:t>
      </w:r>
      <w:r w:rsidRPr="00173758">
        <w:rPr>
          <w:i/>
          <w:iCs/>
          <w:noProof/>
        </w:rPr>
        <w:t>Visual Cognition</w:t>
      </w:r>
      <w:r w:rsidRPr="00173758">
        <w:rPr>
          <w:noProof/>
        </w:rPr>
        <w:t xml:space="preserve">, </w:t>
      </w:r>
      <w:r w:rsidRPr="00173758">
        <w:rPr>
          <w:i/>
          <w:iCs/>
          <w:noProof/>
        </w:rPr>
        <w:t>2</w:t>
      </w:r>
      <w:r w:rsidRPr="00173758">
        <w:rPr>
          <w:noProof/>
        </w:rPr>
        <w:t>(2), 331–376.</w:t>
      </w:r>
    </w:p>
    <w:p w14:paraId="3680743B" w14:textId="77777777" w:rsidR="00173758" w:rsidRPr="00173758" w:rsidRDefault="00173758">
      <w:pPr>
        <w:pStyle w:val="NormalWeb"/>
        <w:ind w:left="480" w:hanging="480"/>
        <w:divId w:val="1098677572"/>
        <w:rPr>
          <w:noProof/>
        </w:rPr>
      </w:pPr>
      <w:r w:rsidRPr="00173758">
        <w:rPr>
          <w:noProof/>
        </w:rPr>
        <w:t xml:space="preserve">Schneider, W., &amp; Deubel, H. (1995). Visual attention and saccadic eye movements: Evidence for obligatory and selective spatial coupling. </w:t>
      </w:r>
      <w:r w:rsidRPr="00173758">
        <w:rPr>
          <w:i/>
          <w:iCs/>
          <w:noProof/>
        </w:rPr>
        <w:t>Studies in Visual Information Processing</w:t>
      </w:r>
      <w:r w:rsidRPr="00173758">
        <w:rPr>
          <w:noProof/>
        </w:rPr>
        <w:t>.</w:t>
      </w:r>
    </w:p>
    <w:p w14:paraId="78F7D917" w14:textId="77777777" w:rsidR="00173758" w:rsidRPr="00173758" w:rsidRDefault="00173758">
      <w:pPr>
        <w:pStyle w:val="NormalWeb"/>
        <w:ind w:left="480" w:hanging="480"/>
        <w:divId w:val="1098677572"/>
        <w:rPr>
          <w:noProof/>
        </w:rPr>
      </w:pPr>
      <w:r w:rsidRPr="00173758">
        <w:rPr>
          <w:noProof/>
        </w:rPr>
        <w:t xml:space="preserve">Schneider, W., &amp; Deubel, H. (2002). Select-for-perception and selection-for-spatial-motor-action are coupled by visual attention: a review of recent findings and new evidence from stimulus-driven saccade control. In W. Prinz &amp; B. Hommel (Eds.), </w:t>
      </w:r>
      <w:r w:rsidRPr="00173758">
        <w:rPr>
          <w:i/>
          <w:iCs/>
          <w:noProof/>
        </w:rPr>
        <w:t>Attention and Performance XIX: Common Mechanisms in Perception and Action</w:t>
      </w:r>
      <w:r w:rsidRPr="00173758">
        <w:rPr>
          <w:noProof/>
        </w:rPr>
        <w:t>. Oxford: OUP.</w:t>
      </w:r>
    </w:p>
    <w:p w14:paraId="57504981" w14:textId="77777777" w:rsidR="00173758" w:rsidRPr="00173758" w:rsidRDefault="00173758">
      <w:pPr>
        <w:pStyle w:val="NormalWeb"/>
        <w:ind w:left="480" w:hanging="480"/>
        <w:divId w:val="1098677572"/>
        <w:rPr>
          <w:noProof/>
        </w:rPr>
      </w:pPr>
      <w:r w:rsidRPr="00173758">
        <w:rPr>
          <w:noProof/>
        </w:rPr>
        <w:t xml:space="preserve">Shepherd, M., Findlay, J., &amp; Hockey, R. (1986). The relationship between eye movements and spatial attention. </w:t>
      </w:r>
      <w:r w:rsidRPr="00173758">
        <w:rPr>
          <w:i/>
          <w:iCs/>
          <w:noProof/>
        </w:rPr>
        <w:t>The Quarterly Journal of Experimental Psychology.</w:t>
      </w:r>
      <w:r w:rsidRPr="00173758">
        <w:rPr>
          <w:noProof/>
        </w:rPr>
        <w:t xml:space="preserve">, </w:t>
      </w:r>
      <w:r w:rsidRPr="00173758">
        <w:rPr>
          <w:i/>
          <w:iCs/>
          <w:noProof/>
        </w:rPr>
        <w:t>38A</w:t>
      </w:r>
      <w:r w:rsidRPr="00173758">
        <w:rPr>
          <w:noProof/>
        </w:rPr>
        <w:t>, 475–491. doi:10.1080/14640748608401609</w:t>
      </w:r>
    </w:p>
    <w:p w14:paraId="3E20C755" w14:textId="77777777" w:rsidR="00173758" w:rsidRPr="00173758" w:rsidRDefault="00173758">
      <w:pPr>
        <w:pStyle w:val="NormalWeb"/>
        <w:ind w:left="480" w:hanging="480"/>
        <w:divId w:val="1098677572"/>
        <w:rPr>
          <w:noProof/>
        </w:rPr>
      </w:pPr>
      <w:r w:rsidRPr="00173758">
        <w:rPr>
          <w:noProof/>
        </w:rPr>
        <w:t xml:space="preserve">Van der Lubbe, R. H. J., Neggers, S. F. W., Verleger, R., &amp; Kenemans, J. L. (2006). Spatiotemporal overlap between brain activation related to saccade preparation and attentional orienting. </w:t>
      </w:r>
      <w:r w:rsidRPr="00173758">
        <w:rPr>
          <w:i/>
          <w:iCs/>
          <w:noProof/>
        </w:rPr>
        <w:t>Brain Research</w:t>
      </w:r>
      <w:r w:rsidRPr="00173758">
        <w:rPr>
          <w:noProof/>
        </w:rPr>
        <w:t xml:space="preserve">, </w:t>
      </w:r>
      <w:r w:rsidRPr="00173758">
        <w:rPr>
          <w:i/>
          <w:iCs/>
          <w:noProof/>
        </w:rPr>
        <w:t>1072</w:t>
      </w:r>
      <w:r w:rsidRPr="00173758">
        <w:rPr>
          <w:noProof/>
        </w:rPr>
        <w:t>(1), 133–52. doi:10.1016/j.brainres.2005.11.087</w:t>
      </w:r>
    </w:p>
    <w:p w14:paraId="0A8BF02F" w14:textId="77777777" w:rsidR="00173758" w:rsidRPr="00173758" w:rsidRDefault="00173758">
      <w:pPr>
        <w:pStyle w:val="NormalWeb"/>
        <w:ind w:left="480" w:hanging="480"/>
        <w:divId w:val="1098677572"/>
        <w:rPr>
          <w:noProof/>
        </w:rPr>
      </w:pPr>
      <w:r w:rsidRPr="00173758">
        <w:rPr>
          <w:noProof/>
        </w:rPr>
        <w:t xml:space="preserve">Van Velzen, J., Forster, B., &amp; Eimer, M. (2002). Temporal dynamics of lateralized ERP components elicited during endogenous attentional shifts to relevant tactile events. </w:t>
      </w:r>
      <w:r w:rsidRPr="00173758">
        <w:rPr>
          <w:i/>
          <w:iCs/>
          <w:noProof/>
        </w:rPr>
        <w:t>Psychophysiology</w:t>
      </w:r>
      <w:r w:rsidRPr="00173758">
        <w:rPr>
          <w:noProof/>
        </w:rPr>
        <w:t xml:space="preserve">, </w:t>
      </w:r>
      <w:r w:rsidRPr="00173758">
        <w:rPr>
          <w:i/>
          <w:iCs/>
          <w:noProof/>
        </w:rPr>
        <w:t>39</w:t>
      </w:r>
      <w:r w:rsidRPr="00173758">
        <w:rPr>
          <w:noProof/>
        </w:rPr>
        <w:t>(6), 874–8. doi:10.1017/S0048577202020140</w:t>
      </w:r>
    </w:p>
    <w:p w14:paraId="3589E88F" w14:textId="77777777" w:rsidR="00173758" w:rsidRPr="00173758" w:rsidRDefault="00173758">
      <w:pPr>
        <w:pStyle w:val="NormalWeb"/>
        <w:ind w:left="480" w:hanging="480"/>
        <w:divId w:val="1098677572"/>
        <w:rPr>
          <w:noProof/>
        </w:rPr>
      </w:pPr>
      <w:r w:rsidRPr="00173758">
        <w:rPr>
          <w:noProof/>
        </w:rPr>
        <w:t xml:space="preserve">Van Velzen, J., Gherri, E., &amp; Eimer, M. (2006). ERP effects of movement preparation on visual processing: attention shifts to the hand, not the goal. </w:t>
      </w:r>
      <w:r w:rsidRPr="00173758">
        <w:rPr>
          <w:i/>
          <w:iCs/>
          <w:noProof/>
        </w:rPr>
        <w:t>Cognitive Processing</w:t>
      </w:r>
      <w:r w:rsidRPr="00173758">
        <w:rPr>
          <w:noProof/>
        </w:rPr>
        <w:t xml:space="preserve">, </w:t>
      </w:r>
      <w:r w:rsidRPr="00173758">
        <w:rPr>
          <w:i/>
          <w:iCs/>
          <w:noProof/>
        </w:rPr>
        <w:t>7</w:t>
      </w:r>
      <w:r w:rsidRPr="00173758">
        <w:rPr>
          <w:noProof/>
        </w:rPr>
        <w:t>(S1), 100–101. doi:10.1007/s10339-006-0089-z</w:t>
      </w:r>
    </w:p>
    <w:p w14:paraId="06AB733F" w14:textId="77777777" w:rsidR="00173758" w:rsidRPr="00173758" w:rsidRDefault="00173758">
      <w:pPr>
        <w:pStyle w:val="NormalWeb"/>
        <w:ind w:left="480" w:hanging="480"/>
        <w:divId w:val="1098677572"/>
        <w:rPr>
          <w:noProof/>
        </w:rPr>
      </w:pPr>
      <w:r w:rsidRPr="00173758">
        <w:rPr>
          <w:noProof/>
        </w:rPr>
        <w:t xml:space="preserve">Wascher, E., &amp; Verleger, R. (1997). Lateralised cortical activity due to preparation of saccades and finger movements: a comparative study. </w:t>
      </w:r>
      <w:r w:rsidRPr="00173758">
        <w:rPr>
          <w:i/>
          <w:iCs/>
          <w:noProof/>
        </w:rPr>
        <w:t>Electroencephalography and Clinical Neurophysiology</w:t>
      </w:r>
      <w:r w:rsidRPr="00173758">
        <w:rPr>
          <w:noProof/>
        </w:rPr>
        <w:t xml:space="preserve">, </w:t>
      </w:r>
      <w:r w:rsidRPr="00173758">
        <w:rPr>
          <w:i/>
          <w:iCs/>
          <w:noProof/>
        </w:rPr>
        <w:t>102</w:t>
      </w:r>
      <w:r w:rsidRPr="00173758">
        <w:rPr>
          <w:noProof/>
        </w:rPr>
        <w:t>, 114–124.</w:t>
      </w:r>
    </w:p>
    <w:p w14:paraId="7A70DB53" w14:textId="77777777" w:rsidR="00173758" w:rsidRPr="00173758" w:rsidRDefault="00173758">
      <w:pPr>
        <w:pStyle w:val="NormalWeb"/>
        <w:ind w:left="480" w:hanging="480"/>
        <w:divId w:val="1098677572"/>
        <w:rPr>
          <w:noProof/>
        </w:rPr>
      </w:pPr>
      <w:r w:rsidRPr="00173758">
        <w:rPr>
          <w:noProof/>
        </w:rPr>
        <w:t xml:space="preserve">Wauschkuhn, B., Verleger, R., Wascher, E., Klostermann, W., Burk, M., Heide, W., &amp; Kömpf, D. (1998). Lateralized human cortical activity for shifting visuospatial attention and initiating saccades. </w:t>
      </w:r>
      <w:r w:rsidRPr="00173758">
        <w:rPr>
          <w:i/>
          <w:iCs/>
          <w:noProof/>
        </w:rPr>
        <w:t>Journal of Neurophysiology</w:t>
      </w:r>
      <w:r w:rsidRPr="00173758">
        <w:rPr>
          <w:noProof/>
        </w:rPr>
        <w:t xml:space="preserve">, </w:t>
      </w:r>
      <w:r w:rsidRPr="00173758">
        <w:rPr>
          <w:i/>
          <w:iCs/>
          <w:noProof/>
        </w:rPr>
        <w:t>80</w:t>
      </w:r>
      <w:r w:rsidRPr="00173758">
        <w:rPr>
          <w:noProof/>
        </w:rPr>
        <w:t>(6), 2900–10.</w:t>
      </w:r>
    </w:p>
    <w:p w14:paraId="6C43C7CA" w14:textId="20FD5705" w:rsidR="00751341" w:rsidRDefault="00173758" w:rsidP="00FF37F7">
      <w:r>
        <w:fldChar w:fldCharType="end"/>
      </w:r>
    </w:p>
    <w:p w14:paraId="32002B24" w14:textId="77777777" w:rsidR="00751341" w:rsidRDefault="00751341">
      <w:pPr>
        <w:spacing w:after="0" w:line="240" w:lineRule="auto"/>
      </w:pPr>
      <w:r>
        <w:br w:type="page"/>
      </w:r>
    </w:p>
    <w:p w14:paraId="41B39238" w14:textId="77777777" w:rsidR="00001731" w:rsidRDefault="00001731" w:rsidP="00FF37F7"/>
    <w:p w14:paraId="79FB33F6" w14:textId="45FA1598" w:rsidR="00751341" w:rsidRDefault="00751341" w:rsidP="00751341">
      <w:r>
        <w:rPr>
          <w:noProof/>
          <w:lang w:val="en-US"/>
        </w:rPr>
        <w:drawing>
          <wp:inline distT="0" distB="0" distL="0" distR="0" wp14:anchorId="27E7E9B5" wp14:editId="06FD7EE7">
            <wp:extent cx="5727700" cy="3714750"/>
            <wp:effectExtent l="0" t="0" r="12700" b="0"/>
            <wp:docPr id="2" name="Picture 2" descr="Macintosh HD:Users:user:Google Drive:Goldsmiths:Reach EEG:final:Mason Linnell Davis Van Velzen 2014 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user:Google Drive:Goldsmiths:Reach EEG:final:Mason Linnell Davis Van Velzen 2014 Figure 2.TIF"/>
                    <pic:cNvPicPr>
                      <a:picLocks noChangeAspect="1" noChangeArrowheads="1"/>
                    </pic:cNvPicPr>
                  </pic:nvPicPr>
                  <pic:blipFill rotWithShape="1">
                    <a:blip r:embed="rId9">
                      <a:extLst>
                        <a:ext uri="{28A0092B-C50C-407E-A947-70E740481C1C}">
                          <a14:useLocalDpi xmlns:a14="http://schemas.microsoft.com/office/drawing/2010/main" val="0"/>
                        </a:ext>
                      </a:extLst>
                    </a:blip>
                    <a:srcRect b="51331"/>
                    <a:stretch/>
                  </pic:blipFill>
                  <pic:spPr bwMode="auto">
                    <a:xfrm>
                      <a:off x="0" y="0"/>
                      <a:ext cx="5727700" cy="3714750"/>
                    </a:xfrm>
                    <a:prstGeom prst="rect">
                      <a:avLst/>
                    </a:prstGeom>
                    <a:noFill/>
                    <a:ln>
                      <a:noFill/>
                    </a:ln>
                    <a:extLst>
                      <a:ext uri="{53640926-AAD7-44d8-BBD7-CCE9431645EC}">
                        <a14:shadowObscured xmlns:a14="http://schemas.microsoft.com/office/drawing/2010/main"/>
                      </a:ext>
                    </a:extLst>
                  </pic:spPr>
                </pic:pic>
              </a:graphicData>
            </a:graphic>
          </wp:inline>
        </w:drawing>
      </w:r>
    </w:p>
    <w:p w14:paraId="35055057" w14:textId="77777777" w:rsidR="00751341" w:rsidRDefault="00751341" w:rsidP="00751341">
      <w:pPr>
        <w:pStyle w:val="Heading2"/>
      </w:pPr>
      <w:r>
        <w:t xml:space="preserve">Figure 1. An illustration of the sequence of events during one trial. </w:t>
      </w:r>
    </w:p>
    <w:p w14:paraId="23A9E60B" w14:textId="47EAF077" w:rsidR="00751341" w:rsidRDefault="00751341">
      <w:pPr>
        <w:spacing w:after="0" w:line="240" w:lineRule="auto"/>
      </w:pPr>
    </w:p>
    <w:p w14:paraId="7B7142C1" w14:textId="77777777" w:rsidR="00751341" w:rsidRDefault="00751341" w:rsidP="00751341">
      <w:r>
        <w:rPr>
          <w:noProof/>
          <w:lang w:val="en-US"/>
        </w:rPr>
        <w:drawing>
          <wp:inline distT="0" distB="0" distL="0" distR="0" wp14:anchorId="6D6D05BF" wp14:editId="0A824FED">
            <wp:extent cx="5727700" cy="7632700"/>
            <wp:effectExtent l="0" t="0" r="12700" b="12700"/>
            <wp:docPr id="3" name="Picture 3" descr="Macintosh HD:Users:user:Google Drive:Goldsmiths:Reach EEG:final:Mason Linnell Davis Van Velzen 2014 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user:Google Drive:Goldsmiths:Reach EEG:final:Mason Linnell Davis Van Velzen 2014 Figure 3.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7700" cy="7632700"/>
                    </a:xfrm>
                    <a:prstGeom prst="rect">
                      <a:avLst/>
                    </a:prstGeom>
                    <a:noFill/>
                    <a:ln>
                      <a:noFill/>
                    </a:ln>
                  </pic:spPr>
                </pic:pic>
              </a:graphicData>
            </a:graphic>
          </wp:inline>
        </w:drawing>
      </w:r>
    </w:p>
    <w:p w14:paraId="431AE14C" w14:textId="78E5F8F5" w:rsidR="00751341" w:rsidRDefault="00751341" w:rsidP="00751341">
      <w:pPr>
        <w:rPr>
          <w:b/>
        </w:rPr>
      </w:pPr>
      <w:r>
        <w:rPr>
          <w:b/>
        </w:rPr>
        <w:t xml:space="preserve">Figure 2. Grand average ERPs for probes presented at the probe (top panel) and effector (bottom panel) at each of the three SOAs (left column: 100ms, middle column: 200ms, right column: 200ms). Black lines are in response to probes on moved-to goals and moving effectors, grey lines are in response to not-moved-to goals and not-moving effectors. </w:t>
      </w:r>
    </w:p>
    <w:p w14:paraId="298CB6A2" w14:textId="77777777" w:rsidR="00751341" w:rsidRDefault="00751341">
      <w:pPr>
        <w:spacing w:after="0" w:line="240" w:lineRule="auto"/>
        <w:rPr>
          <w:b/>
        </w:rPr>
      </w:pPr>
      <w:r>
        <w:rPr>
          <w:b/>
        </w:rPr>
        <w:br w:type="page"/>
      </w:r>
    </w:p>
    <w:p w14:paraId="6FDC7E4B" w14:textId="77777777" w:rsidR="00751341" w:rsidRDefault="00751341" w:rsidP="00751341">
      <w:pPr>
        <w:rPr>
          <w:b/>
        </w:rPr>
      </w:pPr>
    </w:p>
    <w:p w14:paraId="7941EBC2" w14:textId="77777777" w:rsidR="00751341" w:rsidRDefault="00751341" w:rsidP="00751341">
      <w:pPr>
        <w:rPr>
          <w:b/>
        </w:rPr>
      </w:pPr>
      <w:r>
        <w:rPr>
          <w:b/>
          <w:noProof/>
          <w:lang w:val="en-US"/>
        </w:rPr>
        <w:drawing>
          <wp:inline distT="0" distB="0" distL="0" distR="0" wp14:anchorId="4440DAFD" wp14:editId="071DF5FA">
            <wp:extent cx="5727700" cy="2711450"/>
            <wp:effectExtent l="0" t="0" r="12700" b="6350"/>
            <wp:docPr id="4" name="Picture 4" descr="Macintosh HD:Users:user:Google Drive:Goldsmiths:Reach EEG:final:Mason Linnell Davis Van Velzen 2014 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user:Google Drive:Goldsmiths:Reach EEG:final:Mason Linnell Davis Van Velzen 2014 Figure 4.TIF"/>
                    <pic:cNvPicPr>
                      <a:picLocks noChangeAspect="1" noChangeArrowheads="1"/>
                    </pic:cNvPicPr>
                  </pic:nvPicPr>
                  <pic:blipFill rotWithShape="1">
                    <a:blip r:embed="rId11">
                      <a:extLst>
                        <a:ext uri="{28A0092B-C50C-407E-A947-70E740481C1C}">
                          <a14:useLocalDpi xmlns:a14="http://schemas.microsoft.com/office/drawing/2010/main" val="0"/>
                        </a:ext>
                      </a:extLst>
                    </a:blip>
                    <a:srcRect b="64476"/>
                    <a:stretch/>
                  </pic:blipFill>
                  <pic:spPr bwMode="auto">
                    <a:xfrm>
                      <a:off x="0" y="0"/>
                      <a:ext cx="5727700" cy="2711450"/>
                    </a:xfrm>
                    <a:prstGeom prst="rect">
                      <a:avLst/>
                    </a:prstGeom>
                    <a:noFill/>
                    <a:ln>
                      <a:noFill/>
                    </a:ln>
                    <a:extLst>
                      <a:ext uri="{53640926-AAD7-44d8-BBD7-CCE9431645EC}">
                        <a14:shadowObscured xmlns:a14="http://schemas.microsoft.com/office/drawing/2010/main"/>
                      </a:ext>
                    </a:extLst>
                  </pic:spPr>
                </pic:pic>
              </a:graphicData>
            </a:graphic>
          </wp:inline>
        </w:drawing>
      </w:r>
    </w:p>
    <w:p w14:paraId="70FE78CB" w14:textId="77777777" w:rsidR="00751341" w:rsidRDefault="00751341" w:rsidP="00751341">
      <w:pPr>
        <w:rPr>
          <w:b/>
        </w:rPr>
      </w:pPr>
      <w:r w:rsidRPr="003936A7">
        <w:rPr>
          <w:b/>
        </w:rPr>
        <w:t xml:space="preserve">Figure </w:t>
      </w:r>
      <w:r>
        <w:rPr>
          <w:b/>
        </w:rPr>
        <w:t>3</w:t>
      </w:r>
      <w:r w:rsidRPr="003936A7">
        <w:rPr>
          <w:b/>
        </w:rPr>
        <w:t xml:space="preserve">. </w:t>
      </w:r>
      <w:r>
        <w:rPr>
          <w:b/>
        </w:rPr>
        <w:t xml:space="preserve">Grand average ERPs, scalp maps and mean amplitudes of the N1 ERP over pooled electrodes P7/8 and PO7/8, for probes presented at the goal (top row) and effector (bottom row), at three different SOAs (left column: 100ms, middle column: 200ms, right column: 300ms). Black lines are in response to probes on moved-to goals and moving effectors, grey lines are in response to not-moved-to goals and not-moving effectors. </w:t>
      </w:r>
    </w:p>
    <w:p w14:paraId="1B17CF1D" w14:textId="77777777" w:rsidR="00751341" w:rsidRPr="006769D4" w:rsidRDefault="00751341" w:rsidP="00FF37F7"/>
    <w:sectPr w:rsidR="00751341" w:rsidRPr="006769D4" w:rsidSect="009B0784">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F3B6E1" w14:textId="77777777" w:rsidR="00C6059A" w:rsidRDefault="00C6059A" w:rsidP="000937C7">
      <w:pPr>
        <w:spacing w:after="0" w:line="240" w:lineRule="auto"/>
      </w:pPr>
      <w:r>
        <w:separator/>
      </w:r>
    </w:p>
  </w:endnote>
  <w:endnote w:type="continuationSeparator" w:id="0">
    <w:p w14:paraId="1F8E067C" w14:textId="77777777" w:rsidR="00C6059A" w:rsidRDefault="00C6059A" w:rsidP="000937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MS Gothic">
    <w:altName w:val="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MS Mincho">
    <w:altName w:val="ＭＳ 明朝"/>
    <w:charset w:val="80"/>
    <w:family w:val="modern"/>
    <w:pitch w:val="fixed"/>
    <w:sig w:usb0="A00002BF" w:usb1="68C7FCFB" w:usb2="00000010" w:usb3="00000000" w:csb0="0002009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CABA10" w14:textId="28F3F054" w:rsidR="00C6059A" w:rsidRPr="00492AF1" w:rsidRDefault="00C6059A" w:rsidP="009A7384">
    <w:pPr>
      <w:pStyle w:val="Footer"/>
      <w:rPr>
        <w:lang w:val="sv-SE"/>
      </w:rPr>
    </w:pPr>
    <w:r w:rsidRPr="00492AF1">
      <w:rPr>
        <w:lang w:val="sv-SE"/>
      </w:rPr>
      <w:tab/>
    </w:r>
    <w:r w:rsidRPr="00492AF1">
      <w:rPr>
        <w:lang w:val="sv-SE"/>
      </w:rPr>
      <w:tab/>
    </w:r>
    <w:r>
      <w:fldChar w:fldCharType="begin"/>
    </w:r>
    <w:r w:rsidRPr="00492AF1">
      <w:rPr>
        <w:lang w:val="sv-SE"/>
      </w:rPr>
      <w:instrText xml:space="preserve"> PAGE   \* MERGEFORMAT </w:instrText>
    </w:r>
    <w:r>
      <w:fldChar w:fldCharType="separate"/>
    </w:r>
    <w:r w:rsidR="006D58F6">
      <w:rPr>
        <w:noProof/>
        <w:lang w:val="sv-SE"/>
      </w:rPr>
      <w:t>11</w:t>
    </w:r>
    <w:r>
      <w:rPr>
        <w:noProof/>
      </w:rPr>
      <w:fldChar w:fldCharType="end"/>
    </w:r>
  </w:p>
  <w:p w14:paraId="5450CC55" w14:textId="77777777" w:rsidR="00C6059A" w:rsidRPr="00492AF1" w:rsidRDefault="00C6059A">
    <w:pPr>
      <w:pStyle w:val="Footer"/>
      <w:rPr>
        <w:lang w:val="sv-S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BECEB1" w14:textId="77777777" w:rsidR="00C6059A" w:rsidRDefault="00C6059A" w:rsidP="000937C7">
      <w:pPr>
        <w:spacing w:after="0" w:line="240" w:lineRule="auto"/>
      </w:pPr>
      <w:r>
        <w:separator/>
      </w:r>
    </w:p>
  </w:footnote>
  <w:footnote w:type="continuationSeparator" w:id="0">
    <w:p w14:paraId="0D8DC67A" w14:textId="77777777" w:rsidR="00C6059A" w:rsidRDefault="00C6059A" w:rsidP="000937C7">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7D0"/>
    <w:multiLevelType w:val="hybridMultilevel"/>
    <w:tmpl w:val="A8FE8A2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ABC7B03"/>
    <w:multiLevelType w:val="hybridMultilevel"/>
    <w:tmpl w:val="F716B8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B083213"/>
    <w:multiLevelType w:val="hybridMultilevel"/>
    <w:tmpl w:val="631CC4CC"/>
    <w:lvl w:ilvl="0" w:tplc="0809000F">
      <w:start w:val="1"/>
      <w:numFmt w:val="decimal"/>
      <w:lvlText w:val="%1."/>
      <w:lvlJc w:val="left"/>
      <w:pPr>
        <w:ind w:left="761" w:hanging="360"/>
      </w:pPr>
    </w:lvl>
    <w:lvl w:ilvl="1" w:tplc="08090019" w:tentative="1">
      <w:start w:val="1"/>
      <w:numFmt w:val="lowerLetter"/>
      <w:lvlText w:val="%2."/>
      <w:lvlJc w:val="left"/>
      <w:pPr>
        <w:ind w:left="1481" w:hanging="360"/>
      </w:pPr>
    </w:lvl>
    <w:lvl w:ilvl="2" w:tplc="0809001B" w:tentative="1">
      <w:start w:val="1"/>
      <w:numFmt w:val="lowerRoman"/>
      <w:lvlText w:val="%3."/>
      <w:lvlJc w:val="right"/>
      <w:pPr>
        <w:ind w:left="2201" w:hanging="180"/>
      </w:pPr>
    </w:lvl>
    <w:lvl w:ilvl="3" w:tplc="0809000F" w:tentative="1">
      <w:start w:val="1"/>
      <w:numFmt w:val="decimal"/>
      <w:lvlText w:val="%4."/>
      <w:lvlJc w:val="left"/>
      <w:pPr>
        <w:ind w:left="2921" w:hanging="360"/>
      </w:pPr>
    </w:lvl>
    <w:lvl w:ilvl="4" w:tplc="08090019" w:tentative="1">
      <w:start w:val="1"/>
      <w:numFmt w:val="lowerLetter"/>
      <w:lvlText w:val="%5."/>
      <w:lvlJc w:val="left"/>
      <w:pPr>
        <w:ind w:left="3641" w:hanging="360"/>
      </w:pPr>
    </w:lvl>
    <w:lvl w:ilvl="5" w:tplc="0809001B" w:tentative="1">
      <w:start w:val="1"/>
      <w:numFmt w:val="lowerRoman"/>
      <w:lvlText w:val="%6."/>
      <w:lvlJc w:val="right"/>
      <w:pPr>
        <w:ind w:left="4361" w:hanging="180"/>
      </w:pPr>
    </w:lvl>
    <w:lvl w:ilvl="6" w:tplc="0809000F" w:tentative="1">
      <w:start w:val="1"/>
      <w:numFmt w:val="decimal"/>
      <w:lvlText w:val="%7."/>
      <w:lvlJc w:val="left"/>
      <w:pPr>
        <w:ind w:left="5081" w:hanging="360"/>
      </w:pPr>
    </w:lvl>
    <w:lvl w:ilvl="7" w:tplc="08090019" w:tentative="1">
      <w:start w:val="1"/>
      <w:numFmt w:val="lowerLetter"/>
      <w:lvlText w:val="%8."/>
      <w:lvlJc w:val="left"/>
      <w:pPr>
        <w:ind w:left="5801" w:hanging="360"/>
      </w:pPr>
    </w:lvl>
    <w:lvl w:ilvl="8" w:tplc="0809001B" w:tentative="1">
      <w:start w:val="1"/>
      <w:numFmt w:val="lowerRoman"/>
      <w:lvlText w:val="%9."/>
      <w:lvlJc w:val="right"/>
      <w:pPr>
        <w:ind w:left="6521" w:hanging="180"/>
      </w:pPr>
    </w:lvl>
  </w:abstractNum>
  <w:abstractNum w:abstractNumId="3">
    <w:nsid w:val="624B1848"/>
    <w:multiLevelType w:val="hybridMultilevel"/>
    <w:tmpl w:val="3AC612F6"/>
    <w:lvl w:ilvl="0" w:tplc="B274794E">
      <w:numFmt w:val="bullet"/>
      <w:lvlText w:val="-"/>
      <w:lvlJc w:val="left"/>
      <w:pPr>
        <w:ind w:left="72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6EC41E10"/>
    <w:multiLevelType w:val="hybridMultilevel"/>
    <w:tmpl w:val="2A8EF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71B56DF6"/>
    <w:multiLevelType w:val="hybridMultilevel"/>
    <w:tmpl w:val="B3AA19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40B195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
  </w:num>
  <w:num w:numId="2">
    <w:abstractNumId w:val="6"/>
  </w:num>
  <w:num w:numId="3">
    <w:abstractNumId w:val="0"/>
  </w:num>
  <w:num w:numId="4">
    <w:abstractNumId w:val="1"/>
  </w:num>
  <w:num w:numId="5">
    <w:abstractNumId w:val="3"/>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removePersonalInformation/>
  <w:removeDateAndTime/>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9EA"/>
    <w:rsid w:val="00001731"/>
    <w:rsid w:val="00006F6E"/>
    <w:rsid w:val="0001217F"/>
    <w:rsid w:val="000129EA"/>
    <w:rsid w:val="00012D39"/>
    <w:rsid w:val="0002446F"/>
    <w:rsid w:val="000268F2"/>
    <w:rsid w:val="00026DCE"/>
    <w:rsid w:val="00037AB2"/>
    <w:rsid w:val="00040E3F"/>
    <w:rsid w:val="000421DF"/>
    <w:rsid w:val="0004230E"/>
    <w:rsid w:val="0004346C"/>
    <w:rsid w:val="000537C7"/>
    <w:rsid w:val="0005656C"/>
    <w:rsid w:val="000671E5"/>
    <w:rsid w:val="0006783E"/>
    <w:rsid w:val="000737DD"/>
    <w:rsid w:val="00075402"/>
    <w:rsid w:val="000901D1"/>
    <w:rsid w:val="000937C7"/>
    <w:rsid w:val="00094E42"/>
    <w:rsid w:val="00097507"/>
    <w:rsid w:val="000A3B00"/>
    <w:rsid w:val="000B2DB7"/>
    <w:rsid w:val="000B3368"/>
    <w:rsid w:val="000C4FEC"/>
    <w:rsid w:val="000D2CB0"/>
    <w:rsid w:val="000D60F9"/>
    <w:rsid w:val="000E1D68"/>
    <w:rsid w:val="000E485B"/>
    <w:rsid w:val="000E63CF"/>
    <w:rsid w:val="000F0880"/>
    <w:rsid w:val="000F5D91"/>
    <w:rsid w:val="00101785"/>
    <w:rsid w:val="001042A2"/>
    <w:rsid w:val="00116F22"/>
    <w:rsid w:val="00120F9E"/>
    <w:rsid w:val="00127D36"/>
    <w:rsid w:val="00132709"/>
    <w:rsid w:val="0013561B"/>
    <w:rsid w:val="0014216E"/>
    <w:rsid w:val="00143A70"/>
    <w:rsid w:val="00157787"/>
    <w:rsid w:val="00157A1D"/>
    <w:rsid w:val="001621F6"/>
    <w:rsid w:val="00173758"/>
    <w:rsid w:val="001758B8"/>
    <w:rsid w:val="001812C1"/>
    <w:rsid w:val="0018216D"/>
    <w:rsid w:val="00184E87"/>
    <w:rsid w:val="00184EBB"/>
    <w:rsid w:val="00195244"/>
    <w:rsid w:val="00196428"/>
    <w:rsid w:val="001A067C"/>
    <w:rsid w:val="001A076D"/>
    <w:rsid w:val="001A08C0"/>
    <w:rsid w:val="001B752A"/>
    <w:rsid w:val="001D086D"/>
    <w:rsid w:val="001D189C"/>
    <w:rsid w:val="001D4E87"/>
    <w:rsid w:val="001D6F3A"/>
    <w:rsid w:val="001E4A37"/>
    <w:rsid w:val="001E7A21"/>
    <w:rsid w:val="001F0434"/>
    <w:rsid w:val="001F3FC1"/>
    <w:rsid w:val="001F7BB1"/>
    <w:rsid w:val="00202221"/>
    <w:rsid w:val="00202E54"/>
    <w:rsid w:val="00205A5F"/>
    <w:rsid w:val="00224514"/>
    <w:rsid w:val="00232DF7"/>
    <w:rsid w:val="0023320E"/>
    <w:rsid w:val="002373D0"/>
    <w:rsid w:val="002376F7"/>
    <w:rsid w:val="0024012F"/>
    <w:rsid w:val="00240D4B"/>
    <w:rsid w:val="00241F25"/>
    <w:rsid w:val="00242F0E"/>
    <w:rsid w:val="002437FF"/>
    <w:rsid w:val="00247D45"/>
    <w:rsid w:val="00250F76"/>
    <w:rsid w:val="0025243C"/>
    <w:rsid w:val="002551D7"/>
    <w:rsid w:val="00257327"/>
    <w:rsid w:val="002655C9"/>
    <w:rsid w:val="00266837"/>
    <w:rsid w:val="002669D7"/>
    <w:rsid w:val="00266E53"/>
    <w:rsid w:val="00273829"/>
    <w:rsid w:val="0027458F"/>
    <w:rsid w:val="002748C5"/>
    <w:rsid w:val="0027588B"/>
    <w:rsid w:val="002769F3"/>
    <w:rsid w:val="00277955"/>
    <w:rsid w:val="00280864"/>
    <w:rsid w:val="00281252"/>
    <w:rsid w:val="0028329B"/>
    <w:rsid w:val="00283898"/>
    <w:rsid w:val="00284D79"/>
    <w:rsid w:val="0029130B"/>
    <w:rsid w:val="002926ED"/>
    <w:rsid w:val="002941E5"/>
    <w:rsid w:val="002A2D6F"/>
    <w:rsid w:val="002A7EB2"/>
    <w:rsid w:val="002B1AA3"/>
    <w:rsid w:val="002B29FF"/>
    <w:rsid w:val="002B6904"/>
    <w:rsid w:val="002C3AE3"/>
    <w:rsid w:val="002C584B"/>
    <w:rsid w:val="002C6840"/>
    <w:rsid w:val="002C6DC2"/>
    <w:rsid w:val="002D0468"/>
    <w:rsid w:val="002D6928"/>
    <w:rsid w:val="002D6F74"/>
    <w:rsid w:val="002E0606"/>
    <w:rsid w:val="002F5D5F"/>
    <w:rsid w:val="003049F6"/>
    <w:rsid w:val="0030671D"/>
    <w:rsid w:val="00313348"/>
    <w:rsid w:val="00313686"/>
    <w:rsid w:val="0032062C"/>
    <w:rsid w:val="0032568D"/>
    <w:rsid w:val="0033163C"/>
    <w:rsid w:val="003321EE"/>
    <w:rsid w:val="0033538A"/>
    <w:rsid w:val="00335DE3"/>
    <w:rsid w:val="00336BD3"/>
    <w:rsid w:val="00352655"/>
    <w:rsid w:val="00360287"/>
    <w:rsid w:val="00360AFF"/>
    <w:rsid w:val="003648F7"/>
    <w:rsid w:val="0037379B"/>
    <w:rsid w:val="0038115D"/>
    <w:rsid w:val="003876D3"/>
    <w:rsid w:val="00390273"/>
    <w:rsid w:val="003936A7"/>
    <w:rsid w:val="00393BA3"/>
    <w:rsid w:val="00394B77"/>
    <w:rsid w:val="003A1BBE"/>
    <w:rsid w:val="003A2E9E"/>
    <w:rsid w:val="003A3609"/>
    <w:rsid w:val="003A668C"/>
    <w:rsid w:val="003B303F"/>
    <w:rsid w:val="003B32CC"/>
    <w:rsid w:val="003B5BA5"/>
    <w:rsid w:val="003B6FD9"/>
    <w:rsid w:val="003C0D83"/>
    <w:rsid w:val="003C6448"/>
    <w:rsid w:val="003D1A99"/>
    <w:rsid w:val="003D62E4"/>
    <w:rsid w:val="003D6628"/>
    <w:rsid w:val="003D77AF"/>
    <w:rsid w:val="003E083E"/>
    <w:rsid w:val="003E1CCA"/>
    <w:rsid w:val="003E5510"/>
    <w:rsid w:val="003F1A37"/>
    <w:rsid w:val="003F2536"/>
    <w:rsid w:val="003F2DBD"/>
    <w:rsid w:val="00404B77"/>
    <w:rsid w:val="00405743"/>
    <w:rsid w:val="00407FAF"/>
    <w:rsid w:val="004149BB"/>
    <w:rsid w:val="0041601F"/>
    <w:rsid w:val="00416A1B"/>
    <w:rsid w:val="00416EC2"/>
    <w:rsid w:val="00425988"/>
    <w:rsid w:val="00425DAC"/>
    <w:rsid w:val="00426C79"/>
    <w:rsid w:val="00431953"/>
    <w:rsid w:val="0043217F"/>
    <w:rsid w:val="004325F7"/>
    <w:rsid w:val="00432C57"/>
    <w:rsid w:val="00433B3D"/>
    <w:rsid w:val="00435958"/>
    <w:rsid w:val="00437D1B"/>
    <w:rsid w:val="00444D6D"/>
    <w:rsid w:val="00447021"/>
    <w:rsid w:val="004477B1"/>
    <w:rsid w:val="00450FF0"/>
    <w:rsid w:val="0047673E"/>
    <w:rsid w:val="00485E53"/>
    <w:rsid w:val="00487CE5"/>
    <w:rsid w:val="00492AF1"/>
    <w:rsid w:val="00492E71"/>
    <w:rsid w:val="004A4555"/>
    <w:rsid w:val="004A79BB"/>
    <w:rsid w:val="004B4D0E"/>
    <w:rsid w:val="004B5105"/>
    <w:rsid w:val="004C2A7B"/>
    <w:rsid w:val="004C7AAD"/>
    <w:rsid w:val="004C7BCE"/>
    <w:rsid w:val="004C7FA0"/>
    <w:rsid w:val="004D3228"/>
    <w:rsid w:val="004F3D8F"/>
    <w:rsid w:val="004F4D60"/>
    <w:rsid w:val="004F77C1"/>
    <w:rsid w:val="00507621"/>
    <w:rsid w:val="00517046"/>
    <w:rsid w:val="00520DD9"/>
    <w:rsid w:val="00522059"/>
    <w:rsid w:val="005310E4"/>
    <w:rsid w:val="00532CFC"/>
    <w:rsid w:val="00533235"/>
    <w:rsid w:val="0053591D"/>
    <w:rsid w:val="005426EB"/>
    <w:rsid w:val="00545931"/>
    <w:rsid w:val="00546524"/>
    <w:rsid w:val="00546606"/>
    <w:rsid w:val="00552898"/>
    <w:rsid w:val="005538C5"/>
    <w:rsid w:val="005562E0"/>
    <w:rsid w:val="0056119A"/>
    <w:rsid w:val="0056230E"/>
    <w:rsid w:val="00566544"/>
    <w:rsid w:val="005717E0"/>
    <w:rsid w:val="005837CD"/>
    <w:rsid w:val="00585099"/>
    <w:rsid w:val="00590B10"/>
    <w:rsid w:val="00594F72"/>
    <w:rsid w:val="005A04F3"/>
    <w:rsid w:val="005A661C"/>
    <w:rsid w:val="005B45C0"/>
    <w:rsid w:val="005B50AD"/>
    <w:rsid w:val="005C3156"/>
    <w:rsid w:val="005C66B8"/>
    <w:rsid w:val="005D36FA"/>
    <w:rsid w:val="005D4436"/>
    <w:rsid w:val="005D7E55"/>
    <w:rsid w:val="005E47C1"/>
    <w:rsid w:val="005F1820"/>
    <w:rsid w:val="005F2F76"/>
    <w:rsid w:val="00613FD4"/>
    <w:rsid w:val="006166C9"/>
    <w:rsid w:val="00622B36"/>
    <w:rsid w:val="00626137"/>
    <w:rsid w:val="0062728D"/>
    <w:rsid w:val="00634D9E"/>
    <w:rsid w:val="006375A7"/>
    <w:rsid w:val="00640E50"/>
    <w:rsid w:val="00643214"/>
    <w:rsid w:val="00643FA9"/>
    <w:rsid w:val="00645D39"/>
    <w:rsid w:val="0064701E"/>
    <w:rsid w:val="00647EEC"/>
    <w:rsid w:val="0065582E"/>
    <w:rsid w:val="00661125"/>
    <w:rsid w:val="0066236F"/>
    <w:rsid w:val="00664775"/>
    <w:rsid w:val="00665AF4"/>
    <w:rsid w:val="006705C3"/>
    <w:rsid w:val="00671703"/>
    <w:rsid w:val="006769D4"/>
    <w:rsid w:val="00677134"/>
    <w:rsid w:val="00680DBC"/>
    <w:rsid w:val="006824A9"/>
    <w:rsid w:val="00687032"/>
    <w:rsid w:val="00690747"/>
    <w:rsid w:val="00695697"/>
    <w:rsid w:val="00696578"/>
    <w:rsid w:val="00697657"/>
    <w:rsid w:val="006A2D4C"/>
    <w:rsid w:val="006A2E23"/>
    <w:rsid w:val="006A34A4"/>
    <w:rsid w:val="006A41AB"/>
    <w:rsid w:val="006B0C90"/>
    <w:rsid w:val="006B6949"/>
    <w:rsid w:val="006B7E04"/>
    <w:rsid w:val="006C0E76"/>
    <w:rsid w:val="006C59BD"/>
    <w:rsid w:val="006D2F1F"/>
    <w:rsid w:val="006D2FD0"/>
    <w:rsid w:val="006D42F4"/>
    <w:rsid w:val="006D58F6"/>
    <w:rsid w:val="006D6A1C"/>
    <w:rsid w:val="006D7EFD"/>
    <w:rsid w:val="006E08FD"/>
    <w:rsid w:val="006E3564"/>
    <w:rsid w:val="006E4C0E"/>
    <w:rsid w:val="006F4D0E"/>
    <w:rsid w:val="006F767D"/>
    <w:rsid w:val="006F7EF3"/>
    <w:rsid w:val="00700504"/>
    <w:rsid w:val="00706720"/>
    <w:rsid w:val="00710EAF"/>
    <w:rsid w:val="00713F0B"/>
    <w:rsid w:val="00717D28"/>
    <w:rsid w:val="00717FEF"/>
    <w:rsid w:val="00720285"/>
    <w:rsid w:val="00720A05"/>
    <w:rsid w:val="007237A8"/>
    <w:rsid w:val="00727BB1"/>
    <w:rsid w:val="0073122C"/>
    <w:rsid w:val="00736338"/>
    <w:rsid w:val="007405FF"/>
    <w:rsid w:val="007446C2"/>
    <w:rsid w:val="00745257"/>
    <w:rsid w:val="00745B10"/>
    <w:rsid w:val="00745D18"/>
    <w:rsid w:val="00750875"/>
    <w:rsid w:val="00751341"/>
    <w:rsid w:val="007516EB"/>
    <w:rsid w:val="007518FD"/>
    <w:rsid w:val="00764AC4"/>
    <w:rsid w:val="00765C0A"/>
    <w:rsid w:val="00767372"/>
    <w:rsid w:val="007704DD"/>
    <w:rsid w:val="00773B2C"/>
    <w:rsid w:val="00775D36"/>
    <w:rsid w:val="007769C6"/>
    <w:rsid w:val="00777BFA"/>
    <w:rsid w:val="007816B1"/>
    <w:rsid w:val="00781C11"/>
    <w:rsid w:val="00781FA4"/>
    <w:rsid w:val="00785D23"/>
    <w:rsid w:val="007874D3"/>
    <w:rsid w:val="0078786A"/>
    <w:rsid w:val="007955EB"/>
    <w:rsid w:val="0079613F"/>
    <w:rsid w:val="00797E50"/>
    <w:rsid w:val="007A0860"/>
    <w:rsid w:val="007A6AA5"/>
    <w:rsid w:val="007A744A"/>
    <w:rsid w:val="007B01A8"/>
    <w:rsid w:val="007B111C"/>
    <w:rsid w:val="007B6D83"/>
    <w:rsid w:val="007C038A"/>
    <w:rsid w:val="007C0CB3"/>
    <w:rsid w:val="007C582B"/>
    <w:rsid w:val="007C591F"/>
    <w:rsid w:val="007C60A7"/>
    <w:rsid w:val="007C6441"/>
    <w:rsid w:val="007C7CFB"/>
    <w:rsid w:val="007C7D33"/>
    <w:rsid w:val="007D06B5"/>
    <w:rsid w:val="007E1D39"/>
    <w:rsid w:val="007E1F67"/>
    <w:rsid w:val="007E3528"/>
    <w:rsid w:val="007E46FF"/>
    <w:rsid w:val="007E6865"/>
    <w:rsid w:val="007F18DD"/>
    <w:rsid w:val="007F1C0A"/>
    <w:rsid w:val="007F34C7"/>
    <w:rsid w:val="0080171C"/>
    <w:rsid w:val="0080262C"/>
    <w:rsid w:val="00803158"/>
    <w:rsid w:val="0080432A"/>
    <w:rsid w:val="008116AF"/>
    <w:rsid w:val="00811BD7"/>
    <w:rsid w:val="00823FB7"/>
    <w:rsid w:val="00825086"/>
    <w:rsid w:val="0083510A"/>
    <w:rsid w:val="008374A1"/>
    <w:rsid w:val="008416F1"/>
    <w:rsid w:val="0085286D"/>
    <w:rsid w:val="00855D47"/>
    <w:rsid w:val="008663CE"/>
    <w:rsid w:val="00877822"/>
    <w:rsid w:val="008779E4"/>
    <w:rsid w:val="0088047B"/>
    <w:rsid w:val="0088088C"/>
    <w:rsid w:val="00884CFC"/>
    <w:rsid w:val="008930B9"/>
    <w:rsid w:val="008A1E56"/>
    <w:rsid w:val="008A33D4"/>
    <w:rsid w:val="008A4CAB"/>
    <w:rsid w:val="008A6BAF"/>
    <w:rsid w:val="008B1F42"/>
    <w:rsid w:val="008B3EE3"/>
    <w:rsid w:val="008B5C0C"/>
    <w:rsid w:val="008C23A7"/>
    <w:rsid w:val="008C79ED"/>
    <w:rsid w:val="008D1801"/>
    <w:rsid w:val="008D6FE5"/>
    <w:rsid w:val="008D7F92"/>
    <w:rsid w:val="008E1052"/>
    <w:rsid w:val="008E58FD"/>
    <w:rsid w:val="008F267C"/>
    <w:rsid w:val="008F2D3C"/>
    <w:rsid w:val="00903A50"/>
    <w:rsid w:val="00906608"/>
    <w:rsid w:val="00906DE4"/>
    <w:rsid w:val="0090786D"/>
    <w:rsid w:val="00907E2A"/>
    <w:rsid w:val="00914112"/>
    <w:rsid w:val="00925CA6"/>
    <w:rsid w:val="00926C58"/>
    <w:rsid w:val="00947D08"/>
    <w:rsid w:val="009513C1"/>
    <w:rsid w:val="009545CD"/>
    <w:rsid w:val="0095619F"/>
    <w:rsid w:val="009566DE"/>
    <w:rsid w:val="00963D68"/>
    <w:rsid w:val="00965FD2"/>
    <w:rsid w:val="009705A1"/>
    <w:rsid w:val="009710DC"/>
    <w:rsid w:val="00972073"/>
    <w:rsid w:val="0097385F"/>
    <w:rsid w:val="00975C12"/>
    <w:rsid w:val="0098014E"/>
    <w:rsid w:val="00982013"/>
    <w:rsid w:val="009824FD"/>
    <w:rsid w:val="009853DC"/>
    <w:rsid w:val="009862C3"/>
    <w:rsid w:val="00987DFB"/>
    <w:rsid w:val="00990E19"/>
    <w:rsid w:val="00992341"/>
    <w:rsid w:val="0099438E"/>
    <w:rsid w:val="009A35F7"/>
    <w:rsid w:val="009A5E78"/>
    <w:rsid w:val="009A6779"/>
    <w:rsid w:val="009A7384"/>
    <w:rsid w:val="009B0784"/>
    <w:rsid w:val="009B5AFA"/>
    <w:rsid w:val="009B5DB3"/>
    <w:rsid w:val="009C778A"/>
    <w:rsid w:val="009D3104"/>
    <w:rsid w:val="009E2B36"/>
    <w:rsid w:val="009E4B69"/>
    <w:rsid w:val="009E5CCA"/>
    <w:rsid w:val="009F2ACC"/>
    <w:rsid w:val="009F6247"/>
    <w:rsid w:val="00A00E1F"/>
    <w:rsid w:val="00A0654D"/>
    <w:rsid w:val="00A138D2"/>
    <w:rsid w:val="00A1536A"/>
    <w:rsid w:val="00A1589B"/>
    <w:rsid w:val="00A15E5E"/>
    <w:rsid w:val="00A236BE"/>
    <w:rsid w:val="00A23DEE"/>
    <w:rsid w:val="00A244B7"/>
    <w:rsid w:val="00A26260"/>
    <w:rsid w:val="00A26342"/>
    <w:rsid w:val="00A26FEE"/>
    <w:rsid w:val="00A3574F"/>
    <w:rsid w:val="00A35A1E"/>
    <w:rsid w:val="00A44895"/>
    <w:rsid w:val="00A44995"/>
    <w:rsid w:val="00A54228"/>
    <w:rsid w:val="00A57786"/>
    <w:rsid w:val="00A63B88"/>
    <w:rsid w:val="00A65166"/>
    <w:rsid w:val="00A65C14"/>
    <w:rsid w:val="00A72E69"/>
    <w:rsid w:val="00A7739D"/>
    <w:rsid w:val="00A77444"/>
    <w:rsid w:val="00A81267"/>
    <w:rsid w:val="00A839F7"/>
    <w:rsid w:val="00A869B6"/>
    <w:rsid w:val="00A87E20"/>
    <w:rsid w:val="00A932A9"/>
    <w:rsid w:val="00A94F10"/>
    <w:rsid w:val="00AA2338"/>
    <w:rsid w:val="00AB46C6"/>
    <w:rsid w:val="00AC3B80"/>
    <w:rsid w:val="00AC5462"/>
    <w:rsid w:val="00AC69F7"/>
    <w:rsid w:val="00AC78A2"/>
    <w:rsid w:val="00AD0061"/>
    <w:rsid w:val="00AD10A8"/>
    <w:rsid w:val="00AD21FE"/>
    <w:rsid w:val="00AD5560"/>
    <w:rsid w:val="00AF194E"/>
    <w:rsid w:val="00AF3E4C"/>
    <w:rsid w:val="00AF7321"/>
    <w:rsid w:val="00AF7D58"/>
    <w:rsid w:val="00B0143E"/>
    <w:rsid w:val="00B068D5"/>
    <w:rsid w:val="00B06E94"/>
    <w:rsid w:val="00B171E5"/>
    <w:rsid w:val="00B21DCE"/>
    <w:rsid w:val="00B32D4A"/>
    <w:rsid w:val="00B334A3"/>
    <w:rsid w:val="00B33ABB"/>
    <w:rsid w:val="00B3641D"/>
    <w:rsid w:val="00B378E1"/>
    <w:rsid w:val="00B416ED"/>
    <w:rsid w:val="00B46494"/>
    <w:rsid w:val="00B543EE"/>
    <w:rsid w:val="00B646A8"/>
    <w:rsid w:val="00B65A7F"/>
    <w:rsid w:val="00B71A72"/>
    <w:rsid w:val="00B74C5B"/>
    <w:rsid w:val="00B868CF"/>
    <w:rsid w:val="00B86C69"/>
    <w:rsid w:val="00B9023E"/>
    <w:rsid w:val="00B92E02"/>
    <w:rsid w:val="00B9553D"/>
    <w:rsid w:val="00BA032F"/>
    <w:rsid w:val="00BA09A6"/>
    <w:rsid w:val="00BA1433"/>
    <w:rsid w:val="00BA2D57"/>
    <w:rsid w:val="00BA5CF4"/>
    <w:rsid w:val="00BB3108"/>
    <w:rsid w:val="00BB3B13"/>
    <w:rsid w:val="00BB3BB3"/>
    <w:rsid w:val="00BB58FB"/>
    <w:rsid w:val="00BC1311"/>
    <w:rsid w:val="00BC2455"/>
    <w:rsid w:val="00BD5C37"/>
    <w:rsid w:val="00BE2DFE"/>
    <w:rsid w:val="00BF0C78"/>
    <w:rsid w:val="00BF1B0A"/>
    <w:rsid w:val="00BF241C"/>
    <w:rsid w:val="00BF29CA"/>
    <w:rsid w:val="00BF39CE"/>
    <w:rsid w:val="00C01D9B"/>
    <w:rsid w:val="00C02216"/>
    <w:rsid w:val="00C028A1"/>
    <w:rsid w:val="00C02E57"/>
    <w:rsid w:val="00C12F13"/>
    <w:rsid w:val="00C1478B"/>
    <w:rsid w:val="00C155BC"/>
    <w:rsid w:val="00C162C0"/>
    <w:rsid w:val="00C2257A"/>
    <w:rsid w:val="00C30B4C"/>
    <w:rsid w:val="00C30BC3"/>
    <w:rsid w:val="00C30C8D"/>
    <w:rsid w:val="00C45ED7"/>
    <w:rsid w:val="00C57A95"/>
    <w:rsid w:val="00C6059A"/>
    <w:rsid w:val="00C64D10"/>
    <w:rsid w:val="00C73635"/>
    <w:rsid w:val="00C800B4"/>
    <w:rsid w:val="00C82A88"/>
    <w:rsid w:val="00C83A8B"/>
    <w:rsid w:val="00C8472B"/>
    <w:rsid w:val="00C84D89"/>
    <w:rsid w:val="00C86645"/>
    <w:rsid w:val="00C87049"/>
    <w:rsid w:val="00C87515"/>
    <w:rsid w:val="00C9294E"/>
    <w:rsid w:val="00C937C5"/>
    <w:rsid w:val="00C9714C"/>
    <w:rsid w:val="00CA34D1"/>
    <w:rsid w:val="00CA3D6B"/>
    <w:rsid w:val="00CA7838"/>
    <w:rsid w:val="00CB2764"/>
    <w:rsid w:val="00CB3D83"/>
    <w:rsid w:val="00CC00AF"/>
    <w:rsid w:val="00CC0834"/>
    <w:rsid w:val="00CD432F"/>
    <w:rsid w:val="00CE1CC7"/>
    <w:rsid w:val="00CE462E"/>
    <w:rsid w:val="00CE5BD1"/>
    <w:rsid w:val="00CF0A34"/>
    <w:rsid w:val="00CF2A87"/>
    <w:rsid w:val="00CF49F0"/>
    <w:rsid w:val="00D0192B"/>
    <w:rsid w:val="00D02652"/>
    <w:rsid w:val="00D04A3B"/>
    <w:rsid w:val="00D14BC5"/>
    <w:rsid w:val="00D153CE"/>
    <w:rsid w:val="00D260CF"/>
    <w:rsid w:val="00D27933"/>
    <w:rsid w:val="00D36584"/>
    <w:rsid w:val="00D3731B"/>
    <w:rsid w:val="00D40283"/>
    <w:rsid w:val="00D421D9"/>
    <w:rsid w:val="00D42E59"/>
    <w:rsid w:val="00D443FC"/>
    <w:rsid w:val="00D46302"/>
    <w:rsid w:val="00D469FE"/>
    <w:rsid w:val="00D46B47"/>
    <w:rsid w:val="00D46F08"/>
    <w:rsid w:val="00D55D20"/>
    <w:rsid w:val="00D56271"/>
    <w:rsid w:val="00D57400"/>
    <w:rsid w:val="00D61284"/>
    <w:rsid w:val="00D637C0"/>
    <w:rsid w:val="00D64871"/>
    <w:rsid w:val="00D7243D"/>
    <w:rsid w:val="00D72F01"/>
    <w:rsid w:val="00D80118"/>
    <w:rsid w:val="00D817F2"/>
    <w:rsid w:val="00D83B6B"/>
    <w:rsid w:val="00D87DED"/>
    <w:rsid w:val="00D90AD6"/>
    <w:rsid w:val="00DA0175"/>
    <w:rsid w:val="00DA0538"/>
    <w:rsid w:val="00DB1F82"/>
    <w:rsid w:val="00DB20AC"/>
    <w:rsid w:val="00DB3DEB"/>
    <w:rsid w:val="00DB67D4"/>
    <w:rsid w:val="00DC01F7"/>
    <w:rsid w:val="00DC20BE"/>
    <w:rsid w:val="00DC66EE"/>
    <w:rsid w:val="00DC6B81"/>
    <w:rsid w:val="00DD609E"/>
    <w:rsid w:val="00DD617D"/>
    <w:rsid w:val="00DD71E1"/>
    <w:rsid w:val="00DE1162"/>
    <w:rsid w:val="00DE39DB"/>
    <w:rsid w:val="00DE7F09"/>
    <w:rsid w:val="00DF02BB"/>
    <w:rsid w:val="00DF232C"/>
    <w:rsid w:val="00DF2EBF"/>
    <w:rsid w:val="00DF4D61"/>
    <w:rsid w:val="00DF5D33"/>
    <w:rsid w:val="00DF72F5"/>
    <w:rsid w:val="00DF7DE2"/>
    <w:rsid w:val="00E0078E"/>
    <w:rsid w:val="00E04BF8"/>
    <w:rsid w:val="00E108A1"/>
    <w:rsid w:val="00E13800"/>
    <w:rsid w:val="00E20BDD"/>
    <w:rsid w:val="00E21A5F"/>
    <w:rsid w:val="00E23111"/>
    <w:rsid w:val="00E25878"/>
    <w:rsid w:val="00E2738C"/>
    <w:rsid w:val="00E31E33"/>
    <w:rsid w:val="00E33091"/>
    <w:rsid w:val="00E33B26"/>
    <w:rsid w:val="00E36099"/>
    <w:rsid w:val="00E46F27"/>
    <w:rsid w:val="00E47B86"/>
    <w:rsid w:val="00E50C3A"/>
    <w:rsid w:val="00E50DD8"/>
    <w:rsid w:val="00E51C0C"/>
    <w:rsid w:val="00E532AF"/>
    <w:rsid w:val="00E57105"/>
    <w:rsid w:val="00E61887"/>
    <w:rsid w:val="00E647AA"/>
    <w:rsid w:val="00E67EEB"/>
    <w:rsid w:val="00E725DF"/>
    <w:rsid w:val="00E73C1E"/>
    <w:rsid w:val="00E74578"/>
    <w:rsid w:val="00E7558B"/>
    <w:rsid w:val="00E7690A"/>
    <w:rsid w:val="00E76C4D"/>
    <w:rsid w:val="00E83579"/>
    <w:rsid w:val="00E933F4"/>
    <w:rsid w:val="00E95250"/>
    <w:rsid w:val="00EA180B"/>
    <w:rsid w:val="00EA55DE"/>
    <w:rsid w:val="00EB5B5D"/>
    <w:rsid w:val="00EB5ED4"/>
    <w:rsid w:val="00EB631E"/>
    <w:rsid w:val="00EB76E7"/>
    <w:rsid w:val="00EC2278"/>
    <w:rsid w:val="00EC3EAA"/>
    <w:rsid w:val="00ED35E8"/>
    <w:rsid w:val="00ED6A84"/>
    <w:rsid w:val="00EE3F8B"/>
    <w:rsid w:val="00EE4682"/>
    <w:rsid w:val="00EE672D"/>
    <w:rsid w:val="00F027B3"/>
    <w:rsid w:val="00F0398C"/>
    <w:rsid w:val="00F11387"/>
    <w:rsid w:val="00F15D1D"/>
    <w:rsid w:val="00F15E22"/>
    <w:rsid w:val="00F1764D"/>
    <w:rsid w:val="00F21009"/>
    <w:rsid w:val="00F24A00"/>
    <w:rsid w:val="00F25192"/>
    <w:rsid w:val="00F2594C"/>
    <w:rsid w:val="00F30B43"/>
    <w:rsid w:val="00F31310"/>
    <w:rsid w:val="00F3143C"/>
    <w:rsid w:val="00F31536"/>
    <w:rsid w:val="00F31B97"/>
    <w:rsid w:val="00F36F0A"/>
    <w:rsid w:val="00F45F84"/>
    <w:rsid w:val="00F510B2"/>
    <w:rsid w:val="00F55F82"/>
    <w:rsid w:val="00F66317"/>
    <w:rsid w:val="00F734EF"/>
    <w:rsid w:val="00F8200C"/>
    <w:rsid w:val="00F82B0D"/>
    <w:rsid w:val="00F86D64"/>
    <w:rsid w:val="00F92865"/>
    <w:rsid w:val="00F95066"/>
    <w:rsid w:val="00F9624B"/>
    <w:rsid w:val="00FA1A34"/>
    <w:rsid w:val="00FA485A"/>
    <w:rsid w:val="00FA52E3"/>
    <w:rsid w:val="00FA7777"/>
    <w:rsid w:val="00FB0793"/>
    <w:rsid w:val="00FB1F49"/>
    <w:rsid w:val="00FB5D1E"/>
    <w:rsid w:val="00FB7F13"/>
    <w:rsid w:val="00FC514D"/>
    <w:rsid w:val="00FD2BE0"/>
    <w:rsid w:val="00FD50BD"/>
    <w:rsid w:val="00FF1362"/>
    <w:rsid w:val="00FF1B0E"/>
    <w:rsid w:val="00FF37F7"/>
    <w:rsid w:val="00FF4E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46DED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737DD"/>
    <w:pPr>
      <w:spacing w:after="200" w:line="480" w:lineRule="auto"/>
    </w:pPr>
    <w:rPr>
      <w:rFonts w:ascii="Times New Roman" w:hAnsi="Times New Roman"/>
      <w:sz w:val="24"/>
      <w:szCs w:val="24"/>
      <w:lang w:val="en-GB"/>
    </w:rPr>
  </w:style>
  <w:style w:type="paragraph" w:styleId="Heading1">
    <w:name w:val="heading 1"/>
    <w:basedOn w:val="Normal"/>
    <w:next w:val="Normal"/>
    <w:link w:val="Heading1Char"/>
    <w:uiPriority w:val="9"/>
    <w:qFormat/>
    <w:rsid w:val="00781FA4"/>
    <w:pPr>
      <w:keepNext/>
      <w:spacing w:before="360" w:after="0"/>
      <w:outlineLvl w:val="0"/>
    </w:pPr>
    <w:rPr>
      <w:rFonts w:ascii="Arial" w:hAnsi="Arial"/>
      <w:b/>
    </w:rPr>
  </w:style>
  <w:style w:type="paragraph" w:styleId="Heading2">
    <w:name w:val="heading 2"/>
    <w:basedOn w:val="Normal"/>
    <w:next w:val="Normal"/>
    <w:link w:val="Heading2Char"/>
    <w:uiPriority w:val="9"/>
    <w:qFormat/>
    <w:rsid w:val="0062728D"/>
    <w:pPr>
      <w:keepNext/>
      <w:spacing w:after="0"/>
      <w:outlineLvl w:val="1"/>
    </w:pPr>
    <w:rPr>
      <w:b/>
    </w:rPr>
  </w:style>
  <w:style w:type="paragraph" w:styleId="Heading3">
    <w:name w:val="heading 3"/>
    <w:basedOn w:val="Normal"/>
    <w:next w:val="Normal"/>
    <w:link w:val="Heading3Char"/>
    <w:uiPriority w:val="9"/>
    <w:qFormat/>
    <w:rsid w:val="00C028A1"/>
    <w:pPr>
      <w:keepNext/>
      <w:spacing w:after="0"/>
      <w:outlineLvl w:val="2"/>
    </w:pPr>
    <w:rPr>
      <w:i/>
    </w:rPr>
  </w:style>
  <w:style w:type="paragraph" w:styleId="Heading4">
    <w:name w:val="heading 4"/>
    <w:basedOn w:val="Normal"/>
    <w:next w:val="Normal"/>
    <w:link w:val="Heading4Char"/>
    <w:uiPriority w:val="9"/>
    <w:qFormat/>
    <w:rsid w:val="00720A05"/>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link w:val="ChapterTitleChar"/>
    <w:qFormat/>
    <w:rsid w:val="00BE2DFE"/>
    <w:rPr>
      <w:rFonts w:ascii="Arial" w:hAnsi="Arial" w:cs="Arial"/>
      <w:b/>
      <w:caps/>
      <w:sz w:val="28"/>
      <w:szCs w:val="28"/>
    </w:rPr>
  </w:style>
  <w:style w:type="character" w:customStyle="1" w:styleId="Heading1Char">
    <w:name w:val="Heading 1 Char"/>
    <w:link w:val="Heading1"/>
    <w:uiPriority w:val="9"/>
    <w:rsid w:val="00781FA4"/>
    <w:rPr>
      <w:rFonts w:ascii="Arial" w:hAnsi="Arial" w:cs="Times New Roman"/>
      <w:b/>
      <w:sz w:val="24"/>
      <w:szCs w:val="24"/>
    </w:rPr>
  </w:style>
  <w:style w:type="character" w:customStyle="1" w:styleId="ChapterTitleChar">
    <w:name w:val="Chapter Title Char"/>
    <w:link w:val="ChapterTitle"/>
    <w:rsid w:val="00BE2DFE"/>
    <w:rPr>
      <w:rFonts w:ascii="Arial" w:hAnsi="Arial" w:cs="Arial"/>
      <w:b/>
      <w:caps/>
      <w:sz w:val="28"/>
      <w:szCs w:val="28"/>
    </w:rPr>
  </w:style>
  <w:style w:type="character" w:customStyle="1" w:styleId="Heading2Char">
    <w:name w:val="Heading 2 Char"/>
    <w:link w:val="Heading2"/>
    <w:uiPriority w:val="9"/>
    <w:rsid w:val="0062728D"/>
    <w:rPr>
      <w:rFonts w:ascii="Times New Roman" w:hAnsi="Times New Roman" w:cs="Times New Roman"/>
      <w:b/>
      <w:sz w:val="24"/>
      <w:szCs w:val="24"/>
    </w:rPr>
  </w:style>
  <w:style w:type="character" w:customStyle="1" w:styleId="Heading3Char">
    <w:name w:val="Heading 3 Char"/>
    <w:link w:val="Heading3"/>
    <w:uiPriority w:val="9"/>
    <w:rsid w:val="00C028A1"/>
    <w:rPr>
      <w:rFonts w:ascii="Times New Roman" w:hAnsi="Times New Roman" w:cs="Times New Roman"/>
      <w:i/>
      <w:sz w:val="24"/>
      <w:szCs w:val="24"/>
    </w:rPr>
  </w:style>
  <w:style w:type="character" w:customStyle="1" w:styleId="Heading4Char">
    <w:name w:val="Heading 4 Char"/>
    <w:link w:val="Heading4"/>
    <w:uiPriority w:val="9"/>
    <w:rsid w:val="00720A05"/>
    <w:rPr>
      <w:rFonts w:ascii="Times New Roman" w:hAnsi="Times New Roman" w:cs="Times New Roman"/>
      <w:sz w:val="24"/>
    </w:rPr>
  </w:style>
  <w:style w:type="paragraph" w:customStyle="1" w:styleId="Figure">
    <w:name w:val="Figure"/>
    <w:basedOn w:val="Normal"/>
    <w:link w:val="FigureChar"/>
    <w:qFormat/>
    <w:rsid w:val="00720A05"/>
    <w:rPr>
      <w:rFonts w:ascii="Arial" w:hAnsi="Arial" w:cs="Arial"/>
      <w:b/>
      <w:i/>
      <w:sz w:val="20"/>
      <w:szCs w:val="20"/>
    </w:rPr>
  </w:style>
  <w:style w:type="character" w:customStyle="1" w:styleId="FigureChar">
    <w:name w:val="Figure Char"/>
    <w:link w:val="Figure"/>
    <w:rsid w:val="00720A05"/>
    <w:rPr>
      <w:rFonts w:ascii="Arial" w:hAnsi="Arial" w:cs="Arial"/>
      <w:b/>
      <w:i/>
      <w:sz w:val="20"/>
      <w:szCs w:val="20"/>
    </w:rPr>
  </w:style>
  <w:style w:type="paragraph" w:styleId="FootnoteText">
    <w:name w:val="footnote text"/>
    <w:basedOn w:val="Normal"/>
    <w:link w:val="FootnoteTextChar"/>
    <w:uiPriority w:val="99"/>
    <w:semiHidden/>
    <w:unhideWhenUsed/>
    <w:rsid w:val="000937C7"/>
    <w:pPr>
      <w:spacing w:after="0" w:line="240" w:lineRule="auto"/>
    </w:pPr>
    <w:rPr>
      <w:sz w:val="20"/>
      <w:szCs w:val="20"/>
    </w:rPr>
  </w:style>
  <w:style w:type="character" w:customStyle="1" w:styleId="FootnoteTextChar">
    <w:name w:val="Footnote Text Char"/>
    <w:link w:val="FootnoteText"/>
    <w:uiPriority w:val="99"/>
    <w:semiHidden/>
    <w:rsid w:val="000937C7"/>
    <w:rPr>
      <w:rFonts w:ascii="Times New Roman" w:hAnsi="Times New Roman" w:cs="Times New Roman"/>
      <w:sz w:val="20"/>
      <w:szCs w:val="20"/>
    </w:rPr>
  </w:style>
  <w:style w:type="character" w:styleId="FootnoteReference">
    <w:name w:val="footnote reference"/>
    <w:uiPriority w:val="99"/>
    <w:semiHidden/>
    <w:unhideWhenUsed/>
    <w:rsid w:val="000937C7"/>
    <w:rPr>
      <w:vertAlign w:val="superscript"/>
    </w:rPr>
  </w:style>
  <w:style w:type="paragraph" w:styleId="TOCHeading">
    <w:name w:val="TOC Heading"/>
    <w:basedOn w:val="Heading1"/>
    <w:next w:val="Normal"/>
    <w:uiPriority w:val="39"/>
    <w:qFormat/>
    <w:rsid w:val="00B92E02"/>
    <w:pPr>
      <w:keepLines/>
      <w:spacing w:before="480"/>
      <w:outlineLvl w:val="9"/>
    </w:pPr>
    <w:rPr>
      <w:rFonts w:ascii="Cambria" w:eastAsia="MS Gothic" w:hAnsi="Cambria"/>
      <w:bCs/>
      <w:color w:val="365F91"/>
      <w:sz w:val="28"/>
      <w:szCs w:val="28"/>
      <w:lang w:val="en-US"/>
    </w:rPr>
  </w:style>
  <w:style w:type="paragraph" w:styleId="TOC1">
    <w:name w:val="toc 1"/>
    <w:basedOn w:val="Normal"/>
    <w:next w:val="Normal"/>
    <w:autoRedefine/>
    <w:uiPriority w:val="39"/>
    <w:unhideWhenUsed/>
    <w:rsid w:val="00B92E02"/>
    <w:pPr>
      <w:spacing w:after="100"/>
    </w:pPr>
  </w:style>
  <w:style w:type="paragraph" w:styleId="TOC2">
    <w:name w:val="toc 2"/>
    <w:basedOn w:val="Normal"/>
    <w:next w:val="Normal"/>
    <w:autoRedefine/>
    <w:uiPriority w:val="39"/>
    <w:unhideWhenUsed/>
    <w:rsid w:val="00B92E02"/>
    <w:pPr>
      <w:spacing w:after="100"/>
      <w:ind w:left="240"/>
    </w:pPr>
  </w:style>
  <w:style w:type="character" w:styleId="Hyperlink">
    <w:name w:val="Hyperlink"/>
    <w:uiPriority w:val="99"/>
    <w:unhideWhenUsed/>
    <w:rsid w:val="00B92E02"/>
    <w:rPr>
      <w:color w:val="0000FF"/>
      <w:u w:val="single"/>
    </w:rPr>
  </w:style>
  <w:style w:type="paragraph" w:styleId="BalloonText">
    <w:name w:val="Balloon Text"/>
    <w:basedOn w:val="Normal"/>
    <w:link w:val="BalloonTextChar"/>
    <w:uiPriority w:val="99"/>
    <w:semiHidden/>
    <w:unhideWhenUsed/>
    <w:rsid w:val="00B92E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2E02"/>
    <w:rPr>
      <w:rFonts w:ascii="Tahoma" w:hAnsi="Tahoma" w:cs="Tahoma"/>
      <w:sz w:val="16"/>
      <w:szCs w:val="16"/>
    </w:rPr>
  </w:style>
  <w:style w:type="paragraph" w:styleId="Header">
    <w:name w:val="header"/>
    <w:basedOn w:val="Normal"/>
    <w:link w:val="HeaderChar"/>
    <w:uiPriority w:val="99"/>
    <w:unhideWhenUsed/>
    <w:rsid w:val="0064701E"/>
    <w:pPr>
      <w:tabs>
        <w:tab w:val="center" w:pos="4513"/>
        <w:tab w:val="right" w:pos="9026"/>
      </w:tabs>
      <w:spacing w:after="0" w:line="240" w:lineRule="auto"/>
    </w:pPr>
  </w:style>
  <w:style w:type="character" w:customStyle="1" w:styleId="HeaderChar">
    <w:name w:val="Header Char"/>
    <w:link w:val="Header"/>
    <w:uiPriority w:val="99"/>
    <w:rsid w:val="0064701E"/>
    <w:rPr>
      <w:rFonts w:ascii="Times New Roman" w:hAnsi="Times New Roman" w:cs="Times New Roman"/>
      <w:sz w:val="24"/>
      <w:szCs w:val="24"/>
    </w:rPr>
  </w:style>
  <w:style w:type="paragraph" w:styleId="Footer">
    <w:name w:val="footer"/>
    <w:basedOn w:val="Normal"/>
    <w:link w:val="FooterChar"/>
    <w:uiPriority w:val="99"/>
    <w:unhideWhenUsed/>
    <w:rsid w:val="0064701E"/>
    <w:pPr>
      <w:tabs>
        <w:tab w:val="center" w:pos="4513"/>
        <w:tab w:val="right" w:pos="9026"/>
      </w:tabs>
      <w:spacing w:after="0" w:line="240" w:lineRule="auto"/>
    </w:pPr>
  </w:style>
  <w:style w:type="character" w:customStyle="1" w:styleId="FooterChar">
    <w:name w:val="Footer Char"/>
    <w:link w:val="Footer"/>
    <w:uiPriority w:val="99"/>
    <w:rsid w:val="0064701E"/>
    <w:rPr>
      <w:rFonts w:ascii="Times New Roman" w:hAnsi="Times New Roman" w:cs="Times New Roman"/>
      <w:sz w:val="24"/>
      <w:szCs w:val="24"/>
    </w:rPr>
  </w:style>
  <w:style w:type="paragraph" w:styleId="ListParagraph">
    <w:name w:val="List Paragraph"/>
    <w:basedOn w:val="Normal"/>
    <w:uiPriority w:val="34"/>
    <w:qFormat/>
    <w:rsid w:val="00202221"/>
    <w:pPr>
      <w:ind w:left="720"/>
      <w:contextualSpacing/>
    </w:pPr>
  </w:style>
  <w:style w:type="paragraph" w:styleId="Caption">
    <w:name w:val="caption"/>
    <w:basedOn w:val="Normal"/>
    <w:next w:val="Normal"/>
    <w:uiPriority w:val="35"/>
    <w:qFormat/>
    <w:rsid w:val="00C12F13"/>
    <w:pPr>
      <w:pBdr>
        <w:top w:val="single" w:sz="4" w:space="1" w:color="auto"/>
        <w:left w:val="single" w:sz="4" w:space="4" w:color="auto"/>
        <w:bottom w:val="single" w:sz="4" w:space="1" w:color="auto"/>
        <w:right w:val="single" w:sz="4" w:space="4" w:color="auto"/>
      </w:pBdr>
      <w:spacing w:line="240" w:lineRule="auto"/>
      <w:jc w:val="center"/>
    </w:pPr>
    <w:rPr>
      <w:bCs/>
      <w:caps/>
      <w:szCs w:val="18"/>
    </w:rPr>
  </w:style>
  <w:style w:type="character" w:styleId="Emphasis">
    <w:name w:val="Emphasis"/>
    <w:uiPriority w:val="20"/>
    <w:qFormat/>
    <w:rsid w:val="0080262C"/>
    <w:rPr>
      <w:i/>
      <w:iCs/>
    </w:rPr>
  </w:style>
  <w:style w:type="character" w:styleId="CommentReference">
    <w:name w:val="annotation reference"/>
    <w:uiPriority w:val="99"/>
    <w:semiHidden/>
    <w:unhideWhenUsed/>
    <w:rsid w:val="008A33D4"/>
    <w:rPr>
      <w:sz w:val="16"/>
      <w:szCs w:val="16"/>
    </w:rPr>
  </w:style>
  <w:style w:type="paragraph" w:styleId="CommentText">
    <w:name w:val="annotation text"/>
    <w:basedOn w:val="Normal"/>
    <w:link w:val="CommentTextChar"/>
    <w:uiPriority w:val="99"/>
    <w:semiHidden/>
    <w:unhideWhenUsed/>
    <w:rsid w:val="008A33D4"/>
    <w:pPr>
      <w:spacing w:line="240" w:lineRule="auto"/>
    </w:pPr>
    <w:rPr>
      <w:sz w:val="20"/>
      <w:szCs w:val="20"/>
    </w:rPr>
  </w:style>
  <w:style w:type="character" w:customStyle="1" w:styleId="CommentTextChar">
    <w:name w:val="Comment Text Char"/>
    <w:link w:val="CommentText"/>
    <w:uiPriority w:val="99"/>
    <w:semiHidden/>
    <w:rsid w:val="008A33D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3D4"/>
    <w:rPr>
      <w:b/>
      <w:bCs/>
    </w:rPr>
  </w:style>
  <w:style w:type="character" w:customStyle="1" w:styleId="CommentSubjectChar">
    <w:name w:val="Comment Subject Char"/>
    <w:link w:val="CommentSubject"/>
    <w:uiPriority w:val="99"/>
    <w:semiHidden/>
    <w:rsid w:val="008A33D4"/>
    <w:rPr>
      <w:rFonts w:ascii="Times New Roman" w:hAnsi="Times New Roman" w:cs="Times New Roman"/>
      <w:b/>
      <w:bCs/>
      <w:sz w:val="20"/>
      <w:szCs w:val="20"/>
    </w:rPr>
  </w:style>
  <w:style w:type="paragraph" w:styleId="Revision">
    <w:name w:val="Revision"/>
    <w:hidden/>
    <w:uiPriority w:val="99"/>
    <w:semiHidden/>
    <w:rsid w:val="00404B77"/>
    <w:rPr>
      <w:rFonts w:ascii="Times New Roman" w:hAnsi="Times New Roman"/>
      <w:sz w:val="24"/>
      <w:szCs w:val="24"/>
      <w:lang w:val="en-GB"/>
    </w:rPr>
  </w:style>
  <w:style w:type="character" w:styleId="FollowedHyperlink">
    <w:name w:val="FollowedHyperlink"/>
    <w:uiPriority w:val="99"/>
    <w:semiHidden/>
    <w:unhideWhenUsed/>
    <w:rsid w:val="00E13800"/>
    <w:rPr>
      <w:color w:val="800080"/>
      <w:u w:val="single"/>
    </w:rPr>
  </w:style>
  <w:style w:type="paragraph" w:styleId="BodyText">
    <w:name w:val="Body Text"/>
    <w:basedOn w:val="Normal"/>
    <w:link w:val="BodyTextChar"/>
    <w:rsid w:val="00D46302"/>
    <w:pPr>
      <w:spacing w:after="0" w:line="240" w:lineRule="auto"/>
      <w:jc w:val="both"/>
    </w:pPr>
    <w:rPr>
      <w:rFonts w:eastAsia="Times New Roman"/>
    </w:rPr>
  </w:style>
  <w:style w:type="character" w:customStyle="1" w:styleId="BodyTextChar">
    <w:name w:val="Body Text Char"/>
    <w:link w:val="BodyText"/>
    <w:rsid w:val="00D46302"/>
    <w:rPr>
      <w:rFonts w:ascii="Times New Roman" w:eastAsia="Times New Roman" w:hAnsi="Times New Roman" w:cs="Times New Roman"/>
      <w:sz w:val="24"/>
      <w:szCs w:val="24"/>
    </w:rPr>
  </w:style>
  <w:style w:type="paragraph" w:styleId="NormalWeb">
    <w:name w:val="Normal (Web)"/>
    <w:basedOn w:val="Normal"/>
    <w:uiPriority w:val="99"/>
    <w:unhideWhenUsed/>
    <w:rsid w:val="00BB58FB"/>
    <w:pPr>
      <w:spacing w:before="100" w:beforeAutospacing="1" w:after="100" w:afterAutospacing="1" w:line="240" w:lineRule="auto"/>
    </w:pPr>
    <w:rPr>
      <w:rFonts w:eastAsia="MS Mincho"/>
      <w:lang w:eastAsia="en-GB"/>
    </w:rPr>
  </w:style>
  <w:style w:type="character" w:customStyle="1" w:styleId="apple-converted-space">
    <w:name w:val="apple-converted-space"/>
    <w:rsid w:val="007955E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0737DD"/>
    <w:pPr>
      <w:spacing w:after="200" w:line="480" w:lineRule="auto"/>
    </w:pPr>
    <w:rPr>
      <w:rFonts w:ascii="Times New Roman" w:hAnsi="Times New Roman"/>
      <w:sz w:val="24"/>
      <w:szCs w:val="24"/>
      <w:lang w:val="en-GB"/>
    </w:rPr>
  </w:style>
  <w:style w:type="paragraph" w:styleId="Heading1">
    <w:name w:val="heading 1"/>
    <w:basedOn w:val="Normal"/>
    <w:next w:val="Normal"/>
    <w:link w:val="Heading1Char"/>
    <w:uiPriority w:val="9"/>
    <w:qFormat/>
    <w:rsid w:val="00781FA4"/>
    <w:pPr>
      <w:keepNext/>
      <w:spacing w:before="360" w:after="0"/>
      <w:outlineLvl w:val="0"/>
    </w:pPr>
    <w:rPr>
      <w:rFonts w:ascii="Arial" w:hAnsi="Arial"/>
      <w:b/>
    </w:rPr>
  </w:style>
  <w:style w:type="paragraph" w:styleId="Heading2">
    <w:name w:val="heading 2"/>
    <w:basedOn w:val="Normal"/>
    <w:next w:val="Normal"/>
    <w:link w:val="Heading2Char"/>
    <w:uiPriority w:val="9"/>
    <w:qFormat/>
    <w:rsid w:val="0062728D"/>
    <w:pPr>
      <w:keepNext/>
      <w:spacing w:after="0"/>
      <w:outlineLvl w:val="1"/>
    </w:pPr>
    <w:rPr>
      <w:b/>
    </w:rPr>
  </w:style>
  <w:style w:type="paragraph" w:styleId="Heading3">
    <w:name w:val="heading 3"/>
    <w:basedOn w:val="Normal"/>
    <w:next w:val="Normal"/>
    <w:link w:val="Heading3Char"/>
    <w:uiPriority w:val="9"/>
    <w:qFormat/>
    <w:rsid w:val="00C028A1"/>
    <w:pPr>
      <w:keepNext/>
      <w:spacing w:after="0"/>
      <w:outlineLvl w:val="2"/>
    </w:pPr>
    <w:rPr>
      <w:i/>
    </w:rPr>
  </w:style>
  <w:style w:type="paragraph" w:styleId="Heading4">
    <w:name w:val="heading 4"/>
    <w:basedOn w:val="Normal"/>
    <w:next w:val="Normal"/>
    <w:link w:val="Heading4Char"/>
    <w:uiPriority w:val="9"/>
    <w:qFormat/>
    <w:rsid w:val="00720A05"/>
    <w:pPr>
      <w:outlineLvl w:val="3"/>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pterTitle">
    <w:name w:val="Chapter Title"/>
    <w:basedOn w:val="Normal"/>
    <w:link w:val="ChapterTitleChar"/>
    <w:qFormat/>
    <w:rsid w:val="00BE2DFE"/>
    <w:rPr>
      <w:rFonts w:ascii="Arial" w:hAnsi="Arial" w:cs="Arial"/>
      <w:b/>
      <w:caps/>
      <w:sz w:val="28"/>
      <w:szCs w:val="28"/>
    </w:rPr>
  </w:style>
  <w:style w:type="character" w:customStyle="1" w:styleId="Heading1Char">
    <w:name w:val="Heading 1 Char"/>
    <w:link w:val="Heading1"/>
    <w:uiPriority w:val="9"/>
    <w:rsid w:val="00781FA4"/>
    <w:rPr>
      <w:rFonts w:ascii="Arial" w:hAnsi="Arial" w:cs="Times New Roman"/>
      <w:b/>
      <w:sz w:val="24"/>
      <w:szCs w:val="24"/>
    </w:rPr>
  </w:style>
  <w:style w:type="character" w:customStyle="1" w:styleId="ChapterTitleChar">
    <w:name w:val="Chapter Title Char"/>
    <w:link w:val="ChapterTitle"/>
    <w:rsid w:val="00BE2DFE"/>
    <w:rPr>
      <w:rFonts w:ascii="Arial" w:hAnsi="Arial" w:cs="Arial"/>
      <w:b/>
      <w:caps/>
      <w:sz w:val="28"/>
      <w:szCs w:val="28"/>
    </w:rPr>
  </w:style>
  <w:style w:type="character" w:customStyle="1" w:styleId="Heading2Char">
    <w:name w:val="Heading 2 Char"/>
    <w:link w:val="Heading2"/>
    <w:uiPriority w:val="9"/>
    <w:rsid w:val="0062728D"/>
    <w:rPr>
      <w:rFonts w:ascii="Times New Roman" w:hAnsi="Times New Roman" w:cs="Times New Roman"/>
      <w:b/>
      <w:sz w:val="24"/>
      <w:szCs w:val="24"/>
    </w:rPr>
  </w:style>
  <w:style w:type="character" w:customStyle="1" w:styleId="Heading3Char">
    <w:name w:val="Heading 3 Char"/>
    <w:link w:val="Heading3"/>
    <w:uiPriority w:val="9"/>
    <w:rsid w:val="00C028A1"/>
    <w:rPr>
      <w:rFonts w:ascii="Times New Roman" w:hAnsi="Times New Roman" w:cs="Times New Roman"/>
      <w:i/>
      <w:sz w:val="24"/>
      <w:szCs w:val="24"/>
    </w:rPr>
  </w:style>
  <w:style w:type="character" w:customStyle="1" w:styleId="Heading4Char">
    <w:name w:val="Heading 4 Char"/>
    <w:link w:val="Heading4"/>
    <w:uiPriority w:val="9"/>
    <w:rsid w:val="00720A05"/>
    <w:rPr>
      <w:rFonts w:ascii="Times New Roman" w:hAnsi="Times New Roman" w:cs="Times New Roman"/>
      <w:sz w:val="24"/>
    </w:rPr>
  </w:style>
  <w:style w:type="paragraph" w:customStyle="1" w:styleId="Figure">
    <w:name w:val="Figure"/>
    <w:basedOn w:val="Normal"/>
    <w:link w:val="FigureChar"/>
    <w:qFormat/>
    <w:rsid w:val="00720A05"/>
    <w:rPr>
      <w:rFonts w:ascii="Arial" w:hAnsi="Arial" w:cs="Arial"/>
      <w:b/>
      <w:i/>
      <w:sz w:val="20"/>
      <w:szCs w:val="20"/>
    </w:rPr>
  </w:style>
  <w:style w:type="character" w:customStyle="1" w:styleId="FigureChar">
    <w:name w:val="Figure Char"/>
    <w:link w:val="Figure"/>
    <w:rsid w:val="00720A05"/>
    <w:rPr>
      <w:rFonts w:ascii="Arial" w:hAnsi="Arial" w:cs="Arial"/>
      <w:b/>
      <w:i/>
      <w:sz w:val="20"/>
      <w:szCs w:val="20"/>
    </w:rPr>
  </w:style>
  <w:style w:type="paragraph" w:styleId="FootnoteText">
    <w:name w:val="footnote text"/>
    <w:basedOn w:val="Normal"/>
    <w:link w:val="FootnoteTextChar"/>
    <w:uiPriority w:val="99"/>
    <w:semiHidden/>
    <w:unhideWhenUsed/>
    <w:rsid w:val="000937C7"/>
    <w:pPr>
      <w:spacing w:after="0" w:line="240" w:lineRule="auto"/>
    </w:pPr>
    <w:rPr>
      <w:sz w:val="20"/>
      <w:szCs w:val="20"/>
    </w:rPr>
  </w:style>
  <w:style w:type="character" w:customStyle="1" w:styleId="FootnoteTextChar">
    <w:name w:val="Footnote Text Char"/>
    <w:link w:val="FootnoteText"/>
    <w:uiPriority w:val="99"/>
    <w:semiHidden/>
    <w:rsid w:val="000937C7"/>
    <w:rPr>
      <w:rFonts w:ascii="Times New Roman" w:hAnsi="Times New Roman" w:cs="Times New Roman"/>
      <w:sz w:val="20"/>
      <w:szCs w:val="20"/>
    </w:rPr>
  </w:style>
  <w:style w:type="character" w:styleId="FootnoteReference">
    <w:name w:val="footnote reference"/>
    <w:uiPriority w:val="99"/>
    <w:semiHidden/>
    <w:unhideWhenUsed/>
    <w:rsid w:val="000937C7"/>
    <w:rPr>
      <w:vertAlign w:val="superscript"/>
    </w:rPr>
  </w:style>
  <w:style w:type="paragraph" w:styleId="TOCHeading">
    <w:name w:val="TOC Heading"/>
    <w:basedOn w:val="Heading1"/>
    <w:next w:val="Normal"/>
    <w:uiPriority w:val="39"/>
    <w:qFormat/>
    <w:rsid w:val="00B92E02"/>
    <w:pPr>
      <w:keepLines/>
      <w:spacing w:before="480"/>
      <w:outlineLvl w:val="9"/>
    </w:pPr>
    <w:rPr>
      <w:rFonts w:ascii="Cambria" w:eastAsia="MS Gothic" w:hAnsi="Cambria"/>
      <w:bCs/>
      <w:color w:val="365F91"/>
      <w:sz w:val="28"/>
      <w:szCs w:val="28"/>
      <w:lang w:val="en-US"/>
    </w:rPr>
  </w:style>
  <w:style w:type="paragraph" w:styleId="TOC1">
    <w:name w:val="toc 1"/>
    <w:basedOn w:val="Normal"/>
    <w:next w:val="Normal"/>
    <w:autoRedefine/>
    <w:uiPriority w:val="39"/>
    <w:unhideWhenUsed/>
    <w:rsid w:val="00B92E02"/>
    <w:pPr>
      <w:spacing w:after="100"/>
    </w:pPr>
  </w:style>
  <w:style w:type="paragraph" w:styleId="TOC2">
    <w:name w:val="toc 2"/>
    <w:basedOn w:val="Normal"/>
    <w:next w:val="Normal"/>
    <w:autoRedefine/>
    <w:uiPriority w:val="39"/>
    <w:unhideWhenUsed/>
    <w:rsid w:val="00B92E02"/>
    <w:pPr>
      <w:spacing w:after="100"/>
      <w:ind w:left="240"/>
    </w:pPr>
  </w:style>
  <w:style w:type="character" w:styleId="Hyperlink">
    <w:name w:val="Hyperlink"/>
    <w:uiPriority w:val="99"/>
    <w:unhideWhenUsed/>
    <w:rsid w:val="00B92E02"/>
    <w:rPr>
      <w:color w:val="0000FF"/>
      <w:u w:val="single"/>
    </w:rPr>
  </w:style>
  <w:style w:type="paragraph" w:styleId="BalloonText">
    <w:name w:val="Balloon Text"/>
    <w:basedOn w:val="Normal"/>
    <w:link w:val="BalloonTextChar"/>
    <w:uiPriority w:val="99"/>
    <w:semiHidden/>
    <w:unhideWhenUsed/>
    <w:rsid w:val="00B92E0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B92E02"/>
    <w:rPr>
      <w:rFonts w:ascii="Tahoma" w:hAnsi="Tahoma" w:cs="Tahoma"/>
      <w:sz w:val="16"/>
      <w:szCs w:val="16"/>
    </w:rPr>
  </w:style>
  <w:style w:type="paragraph" w:styleId="Header">
    <w:name w:val="header"/>
    <w:basedOn w:val="Normal"/>
    <w:link w:val="HeaderChar"/>
    <w:uiPriority w:val="99"/>
    <w:unhideWhenUsed/>
    <w:rsid w:val="0064701E"/>
    <w:pPr>
      <w:tabs>
        <w:tab w:val="center" w:pos="4513"/>
        <w:tab w:val="right" w:pos="9026"/>
      </w:tabs>
      <w:spacing w:after="0" w:line="240" w:lineRule="auto"/>
    </w:pPr>
  </w:style>
  <w:style w:type="character" w:customStyle="1" w:styleId="HeaderChar">
    <w:name w:val="Header Char"/>
    <w:link w:val="Header"/>
    <w:uiPriority w:val="99"/>
    <w:rsid w:val="0064701E"/>
    <w:rPr>
      <w:rFonts w:ascii="Times New Roman" w:hAnsi="Times New Roman" w:cs="Times New Roman"/>
      <w:sz w:val="24"/>
      <w:szCs w:val="24"/>
    </w:rPr>
  </w:style>
  <w:style w:type="paragraph" w:styleId="Footer">
    <w:name w:val="footer"/>
    <w:basedOn w:val="Normal"/>
    <w:link w:val="FooterChar"/>
    <w:uiPriority w:val="99"/>
    <w:unhideWhenUsed/>
    <w:rsid w:val="0064701E"/>
    <w:pPr>
      <w:tabs>
        <w:tab w:val="center" w:pos="4513"/>
        <w:tab w:val="right" w:pos="9026"/>
      </w:tabs>
      <w:spacing w:after="0" w:line="240" w:lineRule="auto"/>
    </w:pPr>
  </w:style>
  <w:style w:type="character" w:customStyle="1" w:styleId="FooterChar">
    <w:name w:val="Footer Char"/>
    <w:link w:val="Footer"/>
    <w:uiPriority w:val="99"/>
    <w:rsid w:val="0064701E"/>
    <w:rPr>
      <w:rFonts w:ascii="Times New Roman" w:hAnsi="Times New Roman" w:cs="Times New Roman"/>
      <w:sz w:val="24"/>
      <w:szCs w:val="24"/>
    </w:rPr>
  </w:style>
  <w:style w:type="paragraph" w:styleId="ListParagraph">
    <w:name w:val="List Paragraph"/>
    <w:basedOn w:val="Normal"/>
    <w:uiPriority w:val="34"/>
    <w:qFormat/>
    <w:rsid w:val="00202221"/>
    <w:pPr>
      <w:ind w:left="720"/>
      <w:contextualSpacing/>
    </w:pPr>
  </w:style>
  <w:style w:type="paragraph" w:styleId="Caption">
    <w:name w:val="caption"/>
    <w:basedOn w:val="Normal"/>
    <w:next w:val="Normal"/>
    <w:uiPriority w:val="35"/>
    <w:qFormat/>
    <w:rsid w:val="00C12F13"/>
    <w:pPr>
      <w:pBdr>
        <w:top w:val="single" w:sz="4" w:space="1" w:color="auto"/>
        <w:left w:val="single" w:sz="4" w:space="4" w:color="auto"/>
        <w:bottom w:val="single" w:sz="4" w:space="1" w:color="auto"/>
        <w:right w:val="single" w:sz="4" w:space="4" w:color="auto"/>
      </w:pBdr>
      <w:spacing w:line="240" w:lineRule="auto"/>
      <w:jc w:val="center"/>
    </w:pPr>
    <w:rPr>
      <w:bCs/>
      <w:caps/>
      <w:szCs w:val="18"/>
    </w:rPr>
  </w:style>
  <w:style w:type="character" w:styleId="Emphasis">
    <w:name w:val="Emphasis"/>
    <w:uiPriority w:val="20"/>
    <w:qFormat/>
    <w:rsid w:val="0080262C"/>
    <w:rPr>
      <w:i/>
      <w:iCs/>
    </w:rPr>
  </w:style>
  <w:style w:type="character" w:styleId="CommentReference">
    <w:name w:val="annotation reference"/>
    <w:uiPriority w:val="99"/>
    <w:semiHidden/>
    <w:unhideWhenUsed/>
    <w:rsid w:val="008A33D4"/>
    <w:rPr>
      <w:sz w:val="16"/>
      <w:szCs w:val="16"/>
    </w:rPr>
  </w:style>
  <w:style w:type="paragraph" w:styleId="CommentText">
    <w:name w:val="annotation text"/>
    <w:basedOn w:val="Normal"/>
    <w:link w:val="CommentTextChar"/>
    <w:uiPriority w:val="99"/>
    <w:semiHidden/>
    <w:unhideWhenUsed/>
    <w:rsid w:val="008A33D4"/>
    <w:pPr>
      <w:spacing w:line="240" w:lineRule="auto"/>
    </w:pPr>
    <w:rPr>
      <w:sz w:val="20"/>
      <w:szCs w:val="20"/>
    </w:rPr>
  </w:style>
  <w:style w:type="character" w:customStyle="1" w:styleId="CommentTextChar">
    <w:name w:val="Comment Text Char"/>
    <w:link w:val="CommentText"/>
    <w:uiPriority w:val="99"/>
    <w:semiHidden/>
    <w:rsid w:val="008A33D4"/>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A33D4"/>
    <w:rPr>
      <w:b/>
      <w:bCs/>
    </w:rPr>
  </w:style>
  <w:style w:type="character" w:customStyle="1" w:styleId="CommentSubjectChar">
    <w:name w:val="Comment Subject Char"/>
    <w:link w:val="CommentSubject"/>
    <w:uiPriority w:val="99"/>
    <w:semiHidden/>
    <w:rsid w:val="008A33D4"/>
    <w:rPr>
      <w:rFonts w:ascii="Times New Roman" w:hAnsi="Times New Roman" w:cs="Times New Roman"/>
      <w:b/>
      <w:bCs/>
      <w:sz w:val="20"/>
      <w:szCs w:val="20"/>
    </w:rPr>
  </w:style>
  <w:style w:type="paragraph" w:styleId="Revision">
    <w:name w:val="Revision"/>
    <w:hidden/>
    <w:uiPriority w:val="99"/>
    <w:semiHidden/>
    <w:rsid w:val="00404B77"/>
    <w:rPr>
      <w:rFonts w:ascii="Times New Roman" w:hAnsi="Times New Roman"/>
      <w:sz w:val="24"/>
      <w:szCs w:val="24"/>
      <w:lang w:val="en-GB"/>
    </w:rPr>
  </w:style>
  <w:style w:type="character" w:styleId="FollowedHyperlink">
    <w:name w:val="FollowedHyperlink"/>
    <w:uiPriority w:val="99"/>
    <w:semiHidden/>
    <w:unhideWhenUsed/>
    <w:rsid w:val="00E13800"/>
    <w:rPr>
      <w:color w:val="800080"/>
      <w:u w:val="single"/>
    </w:rPr>
  </w:style>
  <w:style w:type="paragraph" w:styleId="BodyText">
    <w:name w:val="Body Text"/>
    <w:basedOn w:val="Normal"/>
    <w:link w:val="BodyTextChar"/>
    <w:rsid w:val="00D46302"/>
    <w:pPr>
      <w:spacing w:after="0" w:line="240" w:lineRule="auto"/>
      <w:jc w:val="both"/>
    </w:pPr>
    <w:rPr>
      <w:rFonts w:eastAsia="Times New Roman"/>
    </w:rPr>
  </w:style>
  <w:style w:type="character" w:customStyle="1" w:styleId="BodyTextChar">
    <w:name w:val="Body Text Char"/>
    <w:link w:val="BodyText"/>
    <w:rsid w:val="00D46302"/>
    <w:rPr>
      <w:rFonts w:ascii="Times New Roman" w:eastAsia="Times New Roman" w:hAnsi="Times New Roman" w:cs="Times New Roman"/>
      <w:sz w:val="24"/>
      <w:szCs w:val="24"/>
    </w:rPr>
  </w:style>
  <w:style w:type="paragraph" w:styleId="NormalWeb">
    <w:name w:val="Normal (Web)"/>
    <w:basedOn w:val="Normal"/>
    <w:uiPriority w:val="99"/>
    <w:unhideWhenUsed/>
    <w:rsid w:val="00BB58FB"/>
    <w:pPr>
      <w:spacing w:before="100" w:beforeAutospacing="1" w:after="100" w:afterAutospacing="1" w:line="240" w:lineRule="auto"/>
    </w:pPr>
    <w:rPr>
      <w:rFonts w:eastAsia="MS Mincho"/>
      <w:lang w:eastAsia="en-GB"/>
    </w:rPr>
  </w:style>
  <w:style w:type="character" w:customStyle="1" w:styleId="apple-converted-space">
    <w:name w:val="apple-converted-space"/>
    <w:rsid w:val="007955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82866">
      <w:bodyDiv w:val="1"/>
      <w:marLeft w:val="0"/>
      <w:marRight w:val="0"/>
      <w:marTop w:val="0"/>
      <w:marBottom w:val="0"/>
      <w:divBdr>
        <w:top w:val="none" w:sz="0" w:space="0" w:color="auto"/>
        <w:left w:val="none" w:sz="0" w:space="0" w:color="auto"/>
        <w:bottom w:val="none" w:sz="0" w:space="0" w:color="auto"/>
        <w:right w:val="none" w:sz="0" w:space="0" w:color="auto"/>
      </w:divBdr>
    </w:div>
    <w:div w:id="71589509">
      <w:bodyDiv w:val="1"/>
      <w:marLeft w:val="0"/>
      <w:marRight w:val="0"/>
      <w:marTop w:val="0"/>
      <w:marBottom w:val="0"/>
      <w:divBdr>
        <w:top w:val="none" w:sz="0" w:space="0" w:color="auto"/>
        <w:left w:val="none" w:sz="0" w:space="0" w:color="auto"/>
        <w:bottom w:val="none" w:sz="0" w:space="0" w:color="auto"/>
        <w:right w:val="none" w:sz="0" w:space="0" w:color="auto"/>
      </w:divBdr>
    </w:div>
    <w:div w:id="153685551">
      <w:bodyDiv w:val="1"/>
      <w:marLeft w:val="0"/>
      <w:marRight w:val="0"/>
      <w:marTop w:val="0"/>
      <w:marBottom w:val="0"/>
      <w:divBdr>
        <w:top w:val="none" w:sz="0" w:space="0" w:color="auto"/>
        <w:left w:val="none" w:sz="0" w:space="0" w:color="auto"/>
        <w:bottom w:val="none" w:sz="0" w:space="0" w:color="auto"/>
        <w:right w:val="none" w:sz="0" w:space="0" w:color="auto"/>
      </w:divBdr>
    </w:div>
    <w:div w:id="172229500">
      <w:bodyDiv w:val="1"/>
      <w:marLeft w:val="0"/>
      <w:marRight w:val="0"/>
      <w:marTop w:val="0"/>
      <w:marBottom w:val="0"/>
      <w:divBdr>
        <w:top w:val="none" w:sz="0" w:space="0" w:color="auto"/>
        <w:left w:val="none" w:sz="0" w:space="0" w:color="auto"/>
        <w:bottom w:val="none" w:sz="0" w:space="0" w:color="auto"/>
        <w:right w:val="none" w:sz="0" w:space="0" w:color="auto"/>
      </w:divBdr>
    </w:div>
    <w:div w:id="252058411">
      <w:bodyDiv w:val="1"/>
      <w:marLeft w:val="0"/>
      <w:marRight w:val="0"/>
      <w:marTop w:val="0"/>
      <w:marBottom w:val="0"/>
      <w:divBdr>
        <w:top w:val="none" w:sz="0" w:space="0" w:color="auto"/>
        <w:left w:val="none" w:sz="0" w:space="0" w:color="auto"/>
        <w:bottom w:val="none" w:sz="0" w:space="0" w:color="auto"/>
        <w:right w:val="none" w:sz="0" w:space="0" w:color="auto"/>
      </w:divBdr>
    </w:div>
    <w:div w:id="271254474">
      <w:bodyDiv w:val="1"/>
      <w:marLeft w:val="0"/>
      <w:marRight w:val="0"/>
      <w:marTop w:val="0"/>
      <w:marBottom w:val="0"/>
      <w:divBdr>
        <w:top w:val="none" w:sz="0" w:space="0" w:color="auto"/>
        <w:left w:val="none" w:sz="0" w:space="0" w:color="auto"/>
        <w:bottom w:val="none" w:sz="0" w:space="0" w:color="auto"/>
        <w:right w:val="none" w:sz="0" w:space="0" w:color="auto"/>
      </w:divBdr>
    </w:div>
    <w:div w:id="394400617">
      <w:bodyDiv w:val="1"/>
      <w:marLeft w:val="0"/>
      <w:marRight w:val="0"/>
      <w:marTop w:val="0"/>
      <w:marBottom w:val="0"/>
      <w:divBdr>
        <w:top w:val="none" w:sz="0" w:space="0" w:color="auto"/>
        <w:left w:val="none" w:sz="0" w:space="0" w:color="auto"/>
        <w:bottom w:val="none" w:sz="0" w:space="0" w:color="auto"/>
        <w:right w:val="none" w:sz="0" w:space="0" w:color="auto"/>
      </w:divBdr>
    </w:div>
    <w:div w:id="451562456">
      <w:bodyDiv w:val="1"/>
      <w:marLeft w:val="0"/>
      <w:marRight w:val="0"/>
      <w:marTop w:val="0"/>
      <w:marBottom w:val="0"/>
      <w:divBdr>
        <w:top w:val="none" w:sz="0" w:space="0" w:color="auto"/>
        <w:left w:val="none" w:sz="0" w:space="0" w:color="auto"/>
        <w:bottom w:val="none" w:sz="0" w:space="0" w:color="auto"/>
        <w:right w:val="none" w:sz="0" w:space="0" w:color="auto"/>
      </w:divBdr>
    </w:div>
    <w:div w:id="483358201">
      <w:bodyDiv w:val="1"/>
      <w:marLeft w:val="0"/>
      <w:marRight w:val="0"/>
      <w:marTop w:val="0"/>
      <w:marBottom w:val="0"/>
      <w:divBdr>
        <w:top w:val="none" w:sz="0" w:space="0" w:color="auto"/>
        <w:left w:val="none" w:sz="0" w:space="0" w:color="auto"/>
        <w:bottom w:val="none" w:sz="0" w:space="0" w:color="auto"/>
        <w:right w:val="none" w:sz="0" w:space="0" w:color="auto"/>
      </w:divBdr>
    </w:div>
    <w:div w:id="514535919">
      <w:bodyDiv w:val="1"/>
      <w:marLeft w:val="0"/>
      <w:marRight w:val="0"/>
      <w:marTop w:val="0"/>
      <w:marBottom w:val="0"/>
      <w:divBdr>
        <w:top w:val="none" w:sz="0" w:space="0" w:color="auto"/>
        <w:left w:val="none" w:sz="0" w:space="0" w:color="auto"/>
        <w:bottom w:val="none" w:sz="0" w:space="0" w:color="auto"/>
        <w:right w:val="none" w:sz="0" w:space="0" w:color="auto"/>
      </w:divBdr>
      <w:divsChild>
        <w:div w:id="710231808">
          <w:marLeft w:val="0"/>
          <w:marRight w:val="0"/>
          <w:marTop w:val="0"/>
          <w:marBottom w:val="0"/>
          <w:divBdr>
            <w:top w:val="none" w:sz="0" w:space="0" w:color="auto"/>
            <w:left w:val="none" w:sz="0" w:space="0" w:color="auto"/>
            <w:bottom w:val="none" w:sz="0" w:space="0" w:color="auto"/>
            <w:right w:val="none" w:sz="0" w:space="0" w:color="auto"/>
          </w:divBdr>
          <w:divsChild>
            <w:div w:id="2007436105">
              <w:marLeft w:val="0"/>
              <w:marRight w:val="0"/>
              <w:marTop w:val="0"/>
              <w:marBottom w:val="0"/>
              <w:divBdr>
                <w:top w:val="none" w:sz="0" w:space="0" w:color="auto"/>
                <w:left w:val="none" w:sz="0" w:space="0" w:color="auto"/>
                <w:bottom w:val="none" w:sz="0" w:space="0" w:color="auto"/>
                <w:right w:val="none" w:sz="0" w:space="0" w:color="auto"/>
              </w:divBdr>
              <w:divsChild>
                <w:div w:id="1943032225">
                  <w:marLeft w:val="0"/>
                  <w:marRight w:val="0"/>
                  <w:marTop w:val="0"/>
                  <w:marBottom w:val="0"/>
                  <w:divBdr>
                    <w:top w:val="none" w:sz="0" w:space="0" w:color="auto"/>
                    <w:left w:val="none" w:sz="0" w:space="0" w:color="auto"/>
                    <w:bottom w:val="none" w:sz="0" w:space="0" w:color="auto"/>
                    <w:right w:val="none" w:sz="0" w:space="0" w:color="auto"/>
                  </w:divBdr>
                  <w:divsChild>
                    <w:div w:id="433013969">
                      <w:marLeft w:val="0"/>
                      <w:marRight w:val="0"/>
                      <w:marTop w:val="0"/>
                      <w:marBottom w:val="0"/>
                      <w:divBdr>
                        <w:top w:val="none" w:sz="0" w:space="0" w:color="auto"/>
                        <w:left w:val="none" w:sz="0" w:space="0" w:color="auto"/>
                        <w:bottom w:val="none" w:sz="0" w:space="0" w:color="auto"/>
                        <w:right w:val="none" w:sz="0" w:space="0" w:color="auto"/>
                      </w:divBdr>
                      <w:divsChild>
                        <w:div w:id="1612474742">
                          <w:marLeft w:val="0"/>
                          <w:marRight w:val="0"/>
                          <w:marTop w:val="0"/>
                          <w:marBottom w:val="0"/>
                          <w:divBdr>
                            <w:top w:val="none" w:sz="0" w:space="0" w:color="auto"/>
                            <w:left w:val="none" w:sz="0" w:space="0" w:color="auto"/>
                            <w:bottom w:val="none" w:sz="0" w:space="0" w:color="auto"/>
                            <w:right w:val="none" w:sz="0" w:space="0" w:color="auto"/>
                          </w:divBdr>
                          <w:divsChild>
                            <w:div w:id="979190517">
                              <w:marLeft w:val="0"/>
                              <w:marRight w:val="0"/>
                              <w:marTop w:val="0"/>
                              <w:marBottom w:val="0"/>
                              <w:divBdr>
                                <w:top w:val="none" w:sz="0" w:space="0" w:color="auto"/>
                                <w:left w:val="none" w:sz="0" w:space="0" w:color="auto"/>
                                <w:bottom w:val="none" w:sz="0" w:space="0" w:color="auto"/>
                                <w:right w:val="none" w:sz="0" w:space="0" w:color="auto"/>
                              </w:divBdr>
                              <w:divsChild>
                                <w:div w:id="1701586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78635119">
      <w:bodyDiv w:val="1"/>
      <w:marLeft w:val="0"/>
      <w:marRight w:val="0"/>
      <w:marTop w:val="0"/>
      <w:marBottom w:val="0"/>
      <w:divBdr>
        <w:top w:val="none" w:sz="0" w:space="0" w:color="auto"/>
        <w:left w:val="none" w:sz="0" w:space="0" w:color="auto"/>
        <w:bottom w:val="none" w:sz="0" w:space="0" w:color="auto"/>
        <w:right w:val="none" w:sz="0" w:space="0" w:color="auto"/>
      </w:divBdr>
    </w:div>
    <w:div w:id="587008744">
      <w:bodyDiv w:val="1"/>
      <w:marLeft w:val="0"/>
      <w:marRight w:val="0"/>
      <w:marTop w:val="0"/>
      <w:marBottom w:val="0"/>
      <w:divBdr>
        <w:top w:val="none" w:sz="0" w:space="0" w:color="auto"/>
        <w:left w:val="none" w:sz="0" w:space="0" w:color="auto"/>
        <w:bottom w:val="none" w:sz="0" w:space="0" w:color="auto"/>
        <w:right w:val="none" w:sz="0" w:space="0" w:color="auto"/>
      </w:divBdr>
    </w:div>
    <w:div w:id="604582663">
      <w:bodyDiv w:val="1"/>
      <w:marLeft w:val="0"/>
      <w:marRight w:val="0"/>
      <w:marTop w:val="0"/>
      <w:marBottom w:val="0"/>
      <w:divBdr>
        <w:top w:val="none" w:sz="0" w:space="0" w:color="auto"/>
        <w:left w:val="none" w:sz="0" w:space="0" w:color="auto"/>
        <w:bottom w:val="none" w:sz="0" w:space="0" w:color="auto"/>
        <w:right w:val="none" w:sz="0" w:space="0" w:color="auto"/>
      </w:divBdr>
    </w:div>
    <w:div w:id="608321899">
      <w:bodyDiv w:val="1"/>
      <w:marLeft w:val="0"/>
      <w:marRight w:val="0"/>
      <w:marTop w:val="0"/>
      <w:marBottom w:val="0"/>
      <w:divBdr>
        <w:top w:val="none" w:sz="0" w:space="0" w:color="auto"/>
        <w:left w:val="none" w:sz="0" w:space="0" w:color="auto"/>
        <w:bottom w:val="none" w:sz="0" w:space="0" w:color="auto"/>
        <w:right w:val="none" w:sz="0" w:space="0" w:color="auto"/>
      </w:divBdr>
    </w:div>
    <w:div w:id="1053768036">
      <w:bodyDiv w:val="1"/>
      <w:marLeft w:val="0"/>
      <w:marRight w:val="0"/>
      <w:marTop w:val="0"/>
      <w:marBottom w:val="0"/>
      <w:divBdr>
        <w:top w:val="none" w:sz="0" w:space="0" w:color="auto"/>
        <w:left w:val="none" w:sz="0" w:space="0" w:color="auto"/>
        <w:bottom w:val="none" w:sz="0" w:space="0" w:color="auto"/>
        <w:right w:val="none" w:sz="0" w:space="0" w:color="auto"/>
      </w:divBdr>
    </w:div>
    <w:div w:id="1098677572">
      <w:bodyDiv w:val="1"/>
      <w:marLeft w:val="0"/>
      <w:marRight w:val="0"/>
      <w:marTop w:val="0"/>
      <w:marBottom w:val="0"/>
      <w:divBdr>
        <w:top w:val="none" w:sz="0" w:space="0" w:color="auto"/>
        <w:left w:val="none" w:sz="0" w:space="0" w:color="auto"/>
        <w:bottom w:val="none" w:sz="0" w:space="0" w:color="auto"/>
        <w:right w:val="none" w:sz="0" w:space="0" w:color="auto"/>
      </w:divBdr>
    </w:div>
    <w:div w:id="1426224859">
      <w:bodyDiv w:val="1"/>
      <w:marLeft w:val="0"/>
      <w:marRight w:val="0"/>
      <w:marTop w:val="0"/>
      <w:marBottom w:val="0"/>
      <w:divBdr>
        <w:top w:val="none" w:sz="0" w:space="0" w:color="auto"/>
        <w:left w:val="none" w:sz="0" w:space="0" w:color="auto"/>
        <w:bottom w:val="none" w:sz="0" w:space="0" w:color="auto"/>
        <w:right w:val="none" w:sz="0" w:space="0" w:color="auto"/>
      </w:divBdr>
    </w:div>
    <w:div w:id="1493837707">
      <w:bodyDiv w:val="1"/>
      <w:marLeft w:val="0"/>
      <w:marRight w:val="0"/>
      <w:marTop w:val="0"/>
      <w:marBottom w:val="0"/>
      <w:divBdr>
        <w:top w:val="none" w:sz="0" w:space="0" w:color="auto"/>
        <w:left w:val="none" w:sz="0" w:space="0" w:color="auto"/>
        <w:bottom w:val="none" w:sz="0" w:space="0" w:color="auto"/>
        <w:right w:val="none" w:sz="0" w:space="0" w:color="auto"/>
      </w:divBdr>
    </w:div>
    <w:div w:id="1511094352">
      <w:bodyDiv w:val="1"/>
      <w:marLeft w:val="0"/>
      <w:marRight w:val="0"/>
      <w:marTop w:val="0"/>
      <w:marBottom w:val="0"/>
      <w:divBdr>
        <w:top w:val="none" w:sz="0" w:space="0" w:color="auto"/>
        <w:left w:val="none" w:sz="0" w:space="0" w:color="auto"/>
        <w:bottom w:val="none" w:sz="0" w:space="0" w:color="auto"/>
        <w:right w:val="none" w:sz="0" w:space="0" w:color="auto"/>
      </w:divBdr>
    </w:div>
    <w:div w:id="1661689115">
      <w:bodyDiv w:val="1"/>
      <w:marLeft w:val="0"/>
      <w:marRight w:val="0"/>
      <w:marTop w:val="0"/>
      <w:marBottom w:val="0"/>
      <w:divBdr>
        <w:top w:val="none" w:sz="0" w:space="0" w:color="auto"/>
        <w:left w:val="none" w:sz="0" w:space="0" w:color="auto"/>
        <w:bottom w:val="none" w:sz="0" w:space="0" w:color="auto"/>
        <w:right w:val="none" w:sz="0" w:space="0" w:color="auto"/>
      </w:divBdr>
    </w:div>
    <w:div w:id="1675109860">
      <w:bodyDiv w:val="1"/>
      <w:marLeft w:val="0"/>
      <w:marRight w:val="0"/>
      <w:marTop w:val="0"/>
      <w:marBottom w:val="0"/>
      <w:divBdr>
        <w:top w:val="none" w:sz="0" w:space="0" w:color="auto"/>
        <w:left w:val="none" w:sz="0" w:space="0" w:color="auto"/>
        <w:bottom w:val="none" w:sz="0" w:space="0" w:color="auto"/>
        <w:right w:val="none" w:sz="0" w:space="0" w:color="auto"/>
      </w:divBdr>
    </w:div>
    <w:div w:id="1689527199">
      <w:bodyDiv w:val="1"/>
      <w:marLeft w:val="0"/>
      <w:marRight w:val="0"/>
      <w:marTop w:val="0"/>
      <w:marBottom w:val="0"/>
      <w:divBdr>
        <w:top w:val="none" w:sz="0" w:space="0" w:color="auto"/>
        <w:left w:val="none" w:sz="0" w:space="0" w:color="auto"/>
        <w:bottom w:val="none" w:sz="0" w:space="0" w:color="auto"/>
        <w:right w:val="none" w:sz="0" w:space="0" w:color="auto"/>
      </w:divBdr>
    </w:div>
    <w:div w:id="1696926678">
      <w:bodyDiv w:val="1"/>
      <w:marLeft w:val="0"/>
      <w:marRight w:val="0"/>
      <w:marTop w:val="0"/>
      <w:marBottom w:val="0"/>
      <w:divBdr>
        <w:top w:val="none" w:sz="0" w:space="0" w:color="auto"/>
        <w:left w:val="none" w:sz="0" w:space="0" w:color="auto"/>
        <w:bottom w:val="none" w:sz="0" w:space="0" w:color="auto"/>
        <w:right w:val="none" w:sz="0" w:space="0" w:color="auto"/>
      </w:divBdr>
    </w:div>
    <w:div w:id="1718123461">
      <w:bodyDiv w:val="1"/>
      <w:marLeft w:val="0"/>
      <w:marRight w:val="0"/>
      <w:marTop w:val="0"/>
      <w:marBottom w:val="0"/>
      <w:divBdr>
        <w:top w:val="none" w:sz="0" w:space="0" w:color="auto"/>
        <w:left w:val="none" w:sz="0" w:space="0" w:color="auto"/>
        <w:bottom w:val="none" w:sz="0" w:space="0" w:color="auto"/>
        <w:right w:val="none" w:sz="0" w:space="0" w:color="auto"/>
      </w:divBdr>
    </w:div>
    <w:div w:id="1732003626">
      <w:bodyDiv w:val="1"/>
      <w:marLeft w:val="0"/>
      <w:marRight w:val="0"/>
      <w:marTop w:val="0"/>
      <w:marBottom w:val="0"/>
      <w:divBdr>
        <w:top w:val="none" w:sz="0" w:space="0" w:color="auto"/>
        <w:left w:val="none" w:sz="0" w:space="0" w:color="auto"/>
        <w:bottom w:val="none" w:sz="0" w:space="0" w:color="auto"/>
        <w:right w:val="none" w:sz="0" w:space="0" w:color="auto"/>
      </w:divBdr>
    </w:div>
    <w:div w:id="1735423157">
      <w:bodyDiv w:val="1"/>
      <w:marLeft w:val="0"/>
      <w:marRight w:val="0"/>
      <w:marTop w:val="0"/>
      <w:marBottom w:val="0"/>
      <w:divBdr>
        <w:top w:val="none" w:sz="0" w:space="0" w:color="auto"/>
        <w:left w:val="none" w:sz="0" w:space="0" w:color="auto"/>
        <w:bottom w:val="none" w:sz="0" w:space="0" w:color="auto"/>
        <w:right w:val="none" w:sz="0" w:space="0" w:color="auto"/>
      </w:divBdr>
    </w:div>
    <w:div w:id="1740594698">
      <w:bodyDiv w:val="1"/>
      <w:marLeft w:val="0"/>
      <w:marRight w:val="0"/>
      <w:marTop w:val="0"/>
      <w:marBottom w:val="0"/>
      <w:divBdr>
        <w:top w:val="none" w:sz="0" w:space="0" w:color="auto"/>
        <w:left w:val="none" w:sz="0" w:space="0" w:color="auto"/>
        <w:bottom w:val="none" w:sz="0" w:space="0" w:color="auto"/>
        <w:right w:val="none" w:sz="0" w:space="0" w:color="auto"/>
      </w:divBdr>
    </w:div>
    <w:div w:id="1837381381">
      <w:bodyDiv w:val="1"/>
      <w:marLeft w:val="0"/>
      <w:marRight w:val="0"/>
      <w:marTop w:val="0"/>
      <w:marBottom w:val="0"/>
      <w:divBdr>
        <w:top w:val="none" w:sz="0" w:space="0" w:color="auto"/>
        <w:left w:val="none" w:sz="0" w:space="0" w:color="auto"/>
        <w:bottom w:val="none" w:sz="0" w:space="0" w:color="auto"/>
        <w:right w:val="none" w:sz="0" w:space="0" w:color="auto"/>
      </w:divBdr>
    </w:div>
    <w:div w:id="1919484308">
      <w:bodyDiv w:val="1"/>
      <w:marLeft w:val="0"/>
      <w:marRight w:val="0"/>
      <w:marTop w:val="0"/>
      <w:marBottom w:val="0"/>
      <w:divBdr>
        <w:top w:val="none" w:sz="0" w:space="0" w:color="auto"/>
        <w:left w:val="none" w:sz="0" w:space="0" w:color="auto"/>
        <w:bottom w:val="none" w:sz="0" w:space="0" w:color="auto"/>
        <w:right w:val="none" w:sz="0" w:space="0" w:color="auto"/>
      </w:divBdr>
    </w:div>
    <w:div w:id="2021806772">
      <w:bodyDiv w:val="1"/>
      <w:marLeft w:val="0"/>
      <w:marRight w:val="0"/>
      <w:marTop w:val="0"/>
      <w:marBottom w:val="0"/>
      <w:divBdr>
        <w:top w:val="none" w:sz="0" w:space="0" w:color="auto"/>
        <w:left w:val="none" w:sz="0" w:space="0" w:color="auto"/>
        <w:bottom w:val="none" w:sz="0" w:space="0" w:color="auto"/>
        <w:right w:val="none" w:sz="0" w:space="0" w:color="auto"/>
      </w:divBdr>
    </w:div>
    <w:div w:id="210017116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footer" Target="foot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s502lm\My%20Documents\psychology\Office%20Templates\thesi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8E560F-A4FB-4A4B-B028-DC6F04255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\Documents and Settings\ps502lm\My Documents\psychology\Office Templates\thesis.dotx</Template>
  <TotalTime>0</TotalTime>
  <Pages>25</Pages>
  <Words>20868</Words>
  <Characters>118952</Characters>
  <Application>Microsoft Macintosh Word</Application>
  <DocSecurity>0</DocSecurity>
  <Lines>991</Lines>
  <Paragraphs>279</Paragraphs>
  <ScaleCrop>false</ScaleCrop>
  <HeadingPairs>
    <vt:vector size="2" baseType="variant">
      <vt:variant>
        <vt:lpstr>Title</vt:lpstr>
      </vt:variant>
      <vt:variant>
        <vt:i4>1</vt:i4>
      </vt:variant>
    </vt:vector>
  </HeadingPairs>
  <TitlesOfParts>
    <vt:vector size="1" baseType="lpstr">
      <vt:lpstr>RUNNING HEAD: Neural correlates of motor preparation at the effector</vt:lpstr>
    </vt:vector>
  </TitlesOfParts>
  <LinksUpToDate>false</LinksUpToDate>
  <CharactersWithSpaces>139541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HEAD: Neural correlates of motor preparation at the effector</dc:title>
  <dc:creator/>
  <cp:lastModifiedBy/>
  <cp:revision>1</cp:revision>
  <cp:lastPrinted>2013-07-22T09:17:00Z</cp:lastPrinted>
  <dcterms:created xsi:type="dcterms:W3CDTF">2015-04-21T15:01:00Z</dcterms:created>
  <dcterms:modified xsi:type="dcterms:W3CDTF">2015-04-21T16:18:00Z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Document_1">
    <vt:lpwstr>True</vt:lpwstr>
  </property>
  <property fmtid="{D5CDD505-2E9C-101B-9397-08002B2CF9AE}" pid="4" name="Mendeley User Name_1">
    <vt:lpwstr>luke.mason@gold.ac.uk@www.mendeley.com</vt:lpwstr>
  </property>
  <property fmtid="{D5CDD505-2E9C-101B-9397-08002B2CF9AE}" pid="5" name="Mendeley Recent Style Name 0_1">
    <vt:lpwstr>American Medical Association</vt:lpwstr>
  </property>
  <property fmtid="{D5CDD505-2E9C-101B-9397-08002B2CF9AE}" pid="6" name="Mendeley Recent Style Id 0_1">
    <vt:lpwstr>http://www.zotero.org/styles/american-medical-association</vt:lpwstr>
  </property>
  <property fmtid="{D5CDD505-2E9C-101B-9397-08002B2CF9AE}" pid="7" name="Mendeley Recent Style Name 1_1">
    <vt:lpwstr>American Political Science Association</vt:lpwstr>
  </property>
  <property fmtid="{D5CDD505-2E9C-101B-9397-08002B2CF9AE}" pid="8" name="Mendeley Recent Style Id 1_1">
    <vt:lpwstr>http://www.zotero.org/styles/american-political-science-association</vt:lpwstr>
  </property>
  <property fmtid="{D5CDD505-2E9C-101B-9397-08002B2CF9AE}" pid="9" name="Mendeley Recent Style Name 2_1">
    <vt:lpwstr>American Psychological Association 6th edition</vt:lpwstr>
  </property>
  <property fmtid="{D5CDD505-2E9C-101B-9397-08002B2CF9AE}" pid="10" name="Mendeley Recent Style Id 2_1">
    <vt:lpwstr>http://www.zotero.org/styles/apa</vt:lpwstr>
  </property>
  <property fmtid="{D5CDD505-2E9C-101B-9397-08002B2CF9AE}" pid="11" name="Mendeley Recent Style Name 3_1">
    <vt:lpwstr>American Sociological Association</vt:lpwstr>
  </property>
  <property fmtid="{D5CDD505-2E9C-101B-9397-08002B2CF9AE}" pid="12" name="Mendeley Recent Style Id 3_1">
    <vt:lpwstr>http://www.zotero.org/styles/american-sociological-association</vt:lpwstr>
  </property>
  <property fmtid="{D5CDD505-2E9C-101B-9397-08002B2CF9AE}" pid="13" name="Mendeley Recent Style Name 4_1">
    <vt:lpwstr>Chicago Manual of Style 16th edition (author-date)</vt:lpwstr>
  </property>
  <property fmtid="{D5CDD505-2E9C-101B-9397-08002B2CF9AE}" pid="14" name="Mendeley Recent Style Id 4_1">
    <vt:lpwstr>http://www.zotero.org/styles/chicago-author-date</vt:lpwstr>
  </property>
  <property fmtid="{D5CDD505-2E9C-101B-9397-08002B2CF9AE}" pid="15" name="Mendeley Recent Style Name 5_1">
    <vt:lpwstr>Harvard Reference format 1 (author-date)</vt:lpwstr>
  </property>
  <property fmtid="{D5CDD505-2E9C-101B-9397-08002B2CF9AE}" pid="16" name="Mendeley Recent Style Id 5_1">
    <vt:lpwstr>http://www.zotero.org/styles/harvard1</vt:lpwstr>
  </property>
  <property fmtid="{D5CDD505-2E9C-101B-9397-08002B2CF9AE}" pid="17" name="Mendeley Recent Style Name 6_1">
    <vt:lpwstr>IEEE</vt:lpwstr>
  </property>
  <property fmtid="{D5CDD505-2E9C-101B-9397-08002B2CF9AE}" pid="18" name="Mendeley Recent Style Id 6_1">
    <vt:lpwstr>http://www.zotero.org/styles/ieee</vt:lpwstr>
  </property>
  <property fmtid="{D5CDD505-2E9C-101B-9397-08002B2CF9AE}" pid="19" name="Mendeley Recent Style Name 7_1">
    <vt:lpwstr>Modern Humanities Research Association 3rd edition (note with bibliography)</vt:lpwstr>
  </property>
  <property fmtid="{D5CDD505-2E9C-101B-9397-08002B2CF9AE}" pid="20" name="Mendeley Recent Style Id 7_1">
    <vt:lpwstr>http://www.zotero.org/styles/modern-humanities-research-association</vt:lpwstr>
  </property>
  <property fmtid="{D5CDD505-2E9C-101B-9397-08002B2CF9AE}" pid="21" name="Mendeley Recent Style Name 8_1">
    <vt:lpwstr>Modern Language Association 7th edition</vt:lpwstr>
  </property>
  <property fmtid="{D5CDD505-2E9C-101B-9397-08002B2CF9AE}" pid="22" name="Mendeley Recent Style Id 8_1">
    <vt:lpwstr>http://www.zotero.org/styles/modern-language-association</vt:lpwstr>
  </property>
  <property fmtid="{D5CDD505-2E9C-101B-9397-08002B2CF9AE}" pid="23" name="Mendeley Recent Style Name 9_1">
    <vt:lpwstr>Nature</vt:lpwstr>
  </property>
  <property fmtid="{D5CDD505-2E9C-101B-9397-08002B2CF9AE}" pid="24" name="Mendeley Recent Style Id 9_1">
    <vt:lpwstr>http://www.zotero.org/styles/nature</vt:lpwstr>
  </property>
  <property fmtid="{D5CDD505-2E9C-101B-9397-08002B2CF9AE}" pid="25" name="Google.Documents.Tracking">
    <vt:lpwstr>true</vt:lpwstr>
  </property>
  <property fmtid="{D5CDD505-2E9C-101B-9397-08002B2CF9AE}" pid="26" name="Google.Documents.DocumentId">
    <vt:lpwstr>1o6g1cJfyiZTnswtpEdKJoIAJUE6YsGuutHWwaVf8QZs</vt:lpwstr>
  </property>
  <property fmtid="{D5CDD505-2E9C-101B-9397-08002B2CF9AE}" pid="27" name="Google.Documents.RevisionId">
    <vt:lpwstr>13424080420190178225</vt:lpwstr>
  </property>
  <property fmtid="{D5CDD505-2E9C-101B-9397-08002B2CF9AE}" pid="28" name="Google.Documents.PluginVersion">
    <vt:lpwstr>2.0.2662.553</vt:lpwstr>
  </property>
  <property fmtid="{D5CDD505-2E9C-101B-9397-08002B2CF9AE}" pid="29" name="Google.Documents.MergeIncapabilityFlags">
    <vt:i4>0</vt:i4>
  </property>
</Properties>
</file>