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C1AA8" w14:textId="25BF3A43" w:rsidR="00085C70" w:rsidRPr="00F81F9C" w:rsidRDefault="00F81F9C" w:rsidP="00085C70">
      <w:pPr>
        <w:rPr>
          <w:rFonts w:asciiTheme="minorHAnsi" w:hAnsiTheme="minorHAnsi"/>
          <w:sz w:val="22"/>
          <w:szCs w:val="22"/>
        </w:rPr>
      </w:pPr>
      <w:r>
        <w:rPr>
          <w:rFonts w:asciiTheme="minorHAnsi" w:hAnsiTheme="minorHAnsi"/>
          <w:sz w:val="22"/>
          <w:szCs w:val="22"/>
        </w:rPr>
        <w:t>Lynn Turner</w:t>
      </w:r>
    </w:p>
    <w:p w14:paraId="3070FC0E" w14:textId="79828331" w:rsidR="00085C70" w:rsidRPr="00F81F9C" w:rsidRDefault="00085C70" w:rsidP="00085C70">
      <w:pPr>
        <w:autoSpaceDE w:val="0"/>
        <w:autoSpaceDN w:val="0"/>
        <w:adjustRightInd w:val="0"/>
        <w:outlineLvl w:val="0"/>
        <w:rPr>
          <w:rFonts w:asciiTheme="minorHAnsi" w:hAnsiTheme="minorHAnsi"/>
          <w:b/>
          <w:sz w:val="22"/>
          <w:szCs w:val="22"/>
        </w:rPr>
      </w:pPr>
      <w:r w:rsidRPr="00F81F9C">
        <w:rPr>
          <w:rFonts w:asciiTheme="minorHAnsi" w:hAnsiTheme="minorHAnsi"/>
          <w:b/>
          <w:sz w:val="22"/>
          <w:szCs w:val="22"/>
        </w:rPr>
        <w:t xml:space="preserve">Chapter for: </w:t>
      </w:r>
      <w:r w:rsidRPr="00F81F9C">
        <w:rPr>
          <w:rFonts w:asciiTheme="minorHAnsi" w:hAnsiTheme="minorHAnsi"/>
          <w:b/>
          <w:i/>
          <w:sz w:val="22"/>
          <w:szCs w:val="22"/>
        </w:rPr>
        <w:t>Desire in Ashes: Deconstruction, Psychoanalysis, Philosophy</w:t>
      </w:r>
    </w:p>
    <w:p w14:paraId="1CE28ACC" w14:textId="77777777" w:rsidR="00085C70" w:rsidRDefault="00085C70" w:rsidP="00063CA5">
      <w:pPr>
        <w:jc w:val="center"/>
        <w:rPr>
          <w:rFonts w:asciiTheme="minorHAnsi" w:hAnsiTheme="minorHAnsi"/>
          <w:b/>
          <w:color w:val="0000FF"/>
          <w:sz w:val="28"/>
          <w:szCs w:val="28"/>
        </w:rPr>
      </w:pPr>
    </w:p>
    <w:p w14:paraId="662E11C0" w14:textId="04E407EF" w:rsidR="00063CA5" w:rsidRDefault="002849C1" w:rsidP="00063CA5">
      <w:pPr>
        <w:jc w:val="center"/>
        <w:rPr>
          <w:rFonts w:asciiTheme="minorHAnsi" w:hAnsiTheme="minorHAnsi"/>
          <w:b/>
          <w:color w:val="0000FF"/>
          <w:sz w:val="28"/>
          <w:szCs w:val="28"/>
        </w:rPr>
      </w:pPr>
      <w:r>
        <w:rPr>
          <w:rFonts w:asciiTheme="minorHAnsi" w:hAnsiTheme="minorHAnsi"/>
          <w:b/>
          <w:color w:val="0000FF"/>
          <w:sz w:val="28"/>
          <w:szCs w:val="28"/>
        </w:rPr>
        <w:t>Fort Spa</w:t>
      </w:r>
      <w:r w:rsidR="00164282">
        <w:rPr>
          <w:rFonts w:asciiTheme="minorHAnsi" w:hAnsiTheme="minorHAnsi"/>
          <w:b/>
          <w:color w:val="0000FF"/>
          <w:sz w:val="28"/>
          <w:szCs w:val="28"/>
        </w:rPr>
        <w:t>:</w:t>
      </w:r>
    </w:p>
    <w:p w14:paraId="2AB88C1D" w14:textId="22445157" w:rsidR="00164282" w:rsidRPr="0046329F" w:rsidRDefault="00164282" w:rsidP="00063CA5">
      <w:pPr>
        <w:jc w:val="center"/>
        <w:rPr>
          <w:rFonts w:asciiTheme="minorHAnsi" w:hAnsiTheme="minorHAnsi"/>
          <w:b/>
          <w:color w:val="0000FF"/>
          <w:sz w:val="28"/>
          <w:szCs w:val="28"/>
        </w:rPr>
      </w:pPr>
      <w:r>
        <w:rPr>
          <w:rFonts w:asciiTheme="minorHAnsi" w:hAnsiTheme="minorHAnsi"/>
          <w:b/>
          <w:color w:val="0000FF"/>
          <w:sz w:val="28"/>
          <w:szCs w:val="28"/>
        </w:rPr>
        <w:t>In at the Deep End with Derrida and Ferenczi</w:t>
      </w:r>
    </w:p>
    <w:p w14:paraId="06ABAA0F" w14:textId="77777777" w:rsidR="0066266C" w:rsidRDefault="0066266C" w:rsidP="007A7DED">
      <w:pPr>
        <w:rPr>
          <w:rFonts w:asciiTheme="minorHAnsi" w:hAnsiTheme="minorHAnsi"/>
          <w:b/>
          <w:sz w:val="24"/>
          <w:szCs w:val="24"/>
        </w:rPr>
      </w:pPr>
    </w:p>
    <w:p w14:paraId="5DC39C2F" w14:textId="77777777" w:rsidR="00164282" w:rsidRPr="00164282" w:rsidRDefault="0046329F" w:rsidP="000B6405">
      <w:pPr>
        <w:ind w:left="2880" w:firstLine="720"/>
        <w:jc w:val="right"/>
        <w:rPr>
          <w:sz w:val="24"/>
          <w:szCs w:val="24"/>
        </w:rPr>
      </w:pPr>
      <w:r w:rsidRPr="00164282">
        <w:rPr>
          <w:i/>
          <w:sz w:val="24"/>
          <w:szCs w:val="24"/>
        </w:rPr>
        <w:t>Now, it is here that the very possibility of a speculation that would be neither philosophical nor scie</w:t>
      </w:r>
      <w:r w:rsidR="00D61E3D" w:rsidRPr="00164282">
        <w:rPr>
          <w:i/>
          <w:sz w:val="24"/>
          <w:szCs w:val="24"/>
        </w:rPr>
        <w:t>ntific in the classical sense (</w:t>
      </w:r>
      <w:r w:rsidR="000B6405" w:rsidRPr="00164282">
        <w:rPr>
          <w:i/>
          <w:sz w:val="24"/>
          <w:szCs w:val="24"/>
        </w:rPr>
        <w:t xml:space="preserve">the </w:t>
      </w:r>
      <w:r w:rsidR="00D61E3D" w:rsidRPr="00164282">
        <w:rPr>
          <w:i/>
          <w:sz w:val="24"/>
          <w:szCs w:val="24"/>
        </w:rPr>
        <w:t>devil for science and philosophy)</w:t>
      </w:r>
      <w:r w:rsidRPr="00164282">
        <w:rPr>
          <w:i/>
          <w:sz w:val="24"/>
          <w:szCs w:val="24"/>
        </w:rPr>
        <w:t>, nevertheless could open onto another science, as it does to another fiction […]</w:t>
      </w:r>
      <w:r w:rsidR="001D4075" w:rsidRPr="00164282">
        <w:rPr>
          <w:i/>
          <w:sz w:val="24"/>
          <w:szCs w:val="24"/>
        </w:rPr>
        <w:t>.</w:t>
      </w:r>
      <w:r w:rsidRPr="00164282">
        <w:rPr>
          <w:sz w:val="24"/>
          <w:szCs w:val="24"/>
        </w:rPr>
        <w:t xml:space="preserve"> </w:t>
      </w:r>
    </w:p>
    <w:p w14:paraId="48097F68" w14:textId="344BA8BE" w:rsidR="0046329F" w:rsidRPr="00164282" w:rsidRDefault="00263751" w:rsidP="000B6405">
      <w:pPr>
        <w:ind w:left="2880" w:firstLine="720"/>
        <w:jc w:val="right"/>
        <w:rPr>
          <w:sz w:val="24"/>
          <w:szCs w:val="24"/>
        </w:rPr>
      </w:pPr>
      <w:r w:rsidRPr="00164282">
        <w:rPr>
          <w:sz w:val="24"/>
          <w:szCs w:val="24"/>
        </w:rPr>
        <w:t>–</w:t>
      </w:r>
      <w:r w:rsidR="0046329F" w:rsidRPr="00164282">
        <w:rPr>
          <w:sz w:val="24"/>
          <w:szCs w:val="24"/>
        </w:rPr>
        <w:t xml:space="preserve"> </w:t>
      </w:r>
      <w:r w:rsidR="00164282" w:rsidRPr="00164282">
        <w:rPr>
          <w:sz w:val="24"/>
          <w:szCs w:val="24"/>
        </w:rPr>
        <w:t xml:space="preserve">Jacques </w:t>
      </w:r>
      <w:r w:rsidR="0046329F" w:rsidRPr="00164282">
        <w:rPr>
          <w:sz w:val="24"/>
          <w:szCs w:val="24"/>
        </w:rPr>
        <w:t>Derrida</w:t>
      </w:r>
      <w:r w:rsidR="00D6661E" w:rsidRPr="00164282">
        <w:rPr>
          <w:rStyle w:val="EndnoteReference"/>
          <w:sz w:val="24"/>
          <w:szCs w:val="24"/>
        </w:rPr>
        <w:endnoteReference w:id="1"/>
      </w:r>
    </w:p>
    <w:p w14:paraId="69E9839F" w14:textId="77777777" w:rsidR="00263751" w:rsidRPr="00164282" w:rsidRDefault="00263751" w:rsidP="000B6405">
      <w:pPr>
        <w:ind w:left="2880" w:firstLine="720"/>
        <w:jc w:val="right"/>
        <w:rPr>
          <w:sz w:val="24"/>
          <w:szCs w:val="24"/>
        </w:rPr>
      </w:pPr>
    </w:p>
    <w:p w14:paraId="3970F6A2" w14:textId="77777777" w:rsidR="00006370" w:rsidRPr="00164282" w:rsidRDefault="00263751" w:rsidP="00263751">
      <w:pPr>
        <w:jc w:val="right"/>
        <w:rPr>
          <w:i/>
          <w:sz w:val="24"/>
          <w:szCs w:val="24"/>
        </w:rPr>
      </w:pPr>
      <w:r w:rsidRPr="00164282">
        <w:rPr>
          <w:i/>
          <w:sz w:val="24"/>
          <w:szCs w:val="24"/>
        </w:rPr>
        <w:t xml:space="preserve">[…] when the psychic system fails, </w:t>
      </w:r>
    </w:p>
    <w:p w14:paraId="79293553" w14:textId="10ADE257" w:rsidR="00263751" w:rsidRPr="00164282" w:rsidRDefault="00263751" w:rsidP="00263751">
      <w:pPr>
        <w:jc w:val="right"/>
        <w:rPr>
          <w:i/>
          <w:sz w:val="24"/>
          <w:szCs w:val="24"/>
        </w:rPr>
      </w:pPr>
      <w:r w:rsidRPr="00164282">
        <w:rPr>
          <w:i/>
          <w:sz w:val="24"/>
          <w:szCs w:val="24"/>
        </w:rPr>
        <w:t>the organism begins to think</w:t>
      </w:r>
      <w:r w:rsidRPr="00164282">
        <w:rPr>
          <w:sz w:val="24"/>
          <w:szCs w:val="24"/>
        </w:rPr>
        <w:t>.</w:t>
      </w:r>
      <w:r w:rsidR="00006370" w:rsidRPr="00164282">
        <w:rPr>
          <w:sz w:val="24"/>
          <w:szCs w:val="24"/>
        </w:rPr>
        <w:t xml:space="preserve"> – </w:t>
      </w:r>
      <w:r w:rsidR="00164282" w:rsidRPr="00164282">
        <w:rPr>
          <w:sz w:val="24"/>
          <w:szCs w:val="24"/>
        </w:rPr>
        <w:t xml:space="preserve">Sándor </w:t>
      </w:r>
      <w:r w:rsidRPr="00164282">
        <w:rPr>
          <w:sz w:val="24"/>
          <w:szCs w:val="24"/>
        </w:rPr>
        <w:t>Ferenczi</w:t>
      </w:r>
      <w:r w:rsidR="00D6661E" w:rsidRPr="00164282">
        <w:rPr>
          <w:rStyle w:val="EndnoteReference"/>
          <w:sz w:val="24"/>
          <w:szCs w:val="24"/>
        </w:rPr>
        <w:endnoteReference w:id="2"/>
      </w:r>
    </w:p>
    <w:p w14:paraId="40F9BE62" w14:textId="77777777" w:rsidR="0046329F" w:rsidRPr="00C41F49" w:rsidRDefault="0046329F" w:rsidP="007A7DED">
      <w:pPr>
        <w:rPr>
          <w:rFonts w:asciiTheme="minorHAnsi" w:hAnsiTheme="minorHAnsi"/>
          <w:b/>
          <w:sz w:val="24"/>
          <w:szCs w:val="24"/>
        </w:rPr>
      </w:pPr>
    </w:p>
    <w:p w14:paraId="108C3680" w14:textId="77777777" w:rsidR="0046329F" w:rsidRDefault="0046329F" w:rsidP="007A7DED">
      <w:pPr>
        <w:rPr>
          <w:rFonts w:asciiTheme="minorHAnsi" w:hAnsiTheme="minorHAnsi"/>
          <w:sz w:val="24"/>
          <w:szCs w:val="24"/>
        </w:rPr>
      </w:pPr>
    </w:p>
    <w:p w14:paraId="46C13D57" w14:textId="04100D82" w:rsidR="00FB2A27" w:rsidRDefault="0046329F" w:rsidP="007A7DED">
      <w:pPr>
        <w:rPr>
          <w:rFonts w:asciiTheme="minorHAnsi" w:hAnsiTheme="minorHAnsi"/>
          <w:sz w:val="24"/>
          <w:szCs w:val="24"/>
        </w:rPr>
      </w:pPr>
      <w:r>
        <w:rPr>
          <w:rFonts w:asciiTheme="minorHAnsi" w:hAnsiTheme="minorHAnsi"/>
          <w:sz w:val="24"/>
          <w:szCs w:val="24"/>
        </w:rPr>
        <w:t xml:space="preserve">Deconstruction, Psychoanalysis, Philosophy: this </w:t>
      </w:r>
      <w:r w:rsidR="000B6405">
        <w:rPr>
          <w:rFonts w:asciiTheme="minorHAnsi" w:hAnsiTheme="minorHAnsi"/>
          <w:sz w:val="24"/>
          <w:szCs w:val="24"/>
        </w:rPr>
        <w:t xml:space="preserve">contact zone </w:t>
      </w:r>
      <w:r>
        <w:rPr>
          <w:rFonts w:asciiTheme="minorHAnsi" w:hAnsiTheme="minorHAnsi"/>
          <w:sz w:val="24"/>
          <w:szCs w:val="24"/>
        </w:rPr>
        <w:t>remains a journey into hot water</w:t>
      </w:r>
      <w:r w:rsidR="006011E4">
        <w:rPr>
          <w:rFonts w:asciiTheme="minorHAnsi" w:hAnsiTheme="minorHAnsi"/>
          <w:sz w:val="24"/>
          <w:szCs w:val="24"/>
        </w:rPr>
        <w:t xml:space="preserve">, </w:t>
      </w:r>
      <w:r w:rsidR="00D607D0">
        <w:rPr>
          <w:rFonts w:asciiTheme="minorHAnsi" w:hAnsiTheme="minorHAnsi"/>
          <w:sz w:val="24"/>
          <w:szCs w:val="24"/>
        </w:rPr>
        <w:t xml:space="preserve">waters further </w:t>
      </w:r>
      <w:r w:rsidR="006011E4">
        <w:rPr>
          <w:rFonts w:asciiTheme="minorHAnsi" w:hAnsiTheme="minorHAnsi"/>
          <w:sz w:val="24"/>
          <w:szCs w:val="24"/>
        </w:rPr>
        <w:t xml:space="preserve">heated by the </w:t>
      </w:r>
      <w:r w:rsidR="00CD4E63">
        <w:rPr>
          <w:rFonts w:asciiTheme="minorHAnsi" w:hAnsiTheme="minorHAnsi"/>
          <w:sz w:val="24"/>
          <w:szCs w:val="24"/>
        </w:rPr>
        <w:t>addition</w:t>
      </w:r>
      <w:r w:rsidR="006011E4">
        <w:rPr>
          <w:rFonts w:asciiTheme="minorHAnsi" w:hAnsiTheme="minorHAnsi"/>
          <w:sz w:val="24"/>
          <w:szCs w:val="24"/>
        </w:rPr>
        <w:t xml:space="preserve"> of a fourth </w:t>
      </w:r>
      <w:r w:rsidR="00275903">
        <w:rPr>
          <w:rFonts w:asciiTheme="minorHAnsi" w:hAnsiTheme="minorHAnsi"/>
          <w:sz w:val="24"/>
          <w:szCs w:val="24"/>
        </w:rPr>
        <w:t>ingredient</w:t>
      </w:r>
      <w:r w:rsidR="00A00D60">
        <w:rPr>
          <w:rFonts w:asciiTheme="minorHAnsi" w:hAnsiTheme="minorHAnsi"/>
          <w:sz w:val="24"/>
          <w:szCs w:val="24"/>
        </w:rPr>
        <w:t xml:space="preserve"> - F</w:t>
      </w:r>
      <w:r w:rsidR="006011E4">
        <w:rPr>
          <w:rFonts w:asciiTheme="minorHAnsi" w:hAnsiTheme="minorHAnsi"/>
          <w:sz w:val="24"/>
          <w:szCs w:val="24"/>
        </w:rPr>
        <w:t>eminism</w:t>
      </w:r>
      <w:r>
        <w:rPr>
          <w:rFonts w:asciiTheme="minorHAnsi" w:hAnsiTheme="minorHAnsi"/>
          <w:sz w:val="24"/>
          <w:szCs w:val="24"/>
        </w:rPr>
        <w:t xml:space="preserve">. </w:t>
      </w:r>
      <w:r w:rsidR="00FB2A27">
        <w:rPr>
          <w:rFonts w:asciiTheme="minorHAnsi" w:hAnsiTheme="minorHAnsi"/>
          <w:sz w:val="24"/>
          <w:szCs w:val="24"/>
        </w:rPr>
        <w:t xml:space="preserve">This chapter specifically </w:t>
      </w:r>
      <w:r w:rsidR="00A00D60">
        <w:rPr>
          <w:rFonts w:asciiTheme="minorHAnsi" w:hAnsiTheme="minorHAnsi"/>
          <w:sz w:val="24"/>
          <w:szCs w:val="24"/>
        </w:rPr>
        <w:t>engages</w:t>
      </w:r>
      <w:r w:rsidR="00FB2A27">
        <w:rPr>
          <w:rFonts w:asciiTheme="minorHAnsi" w:hAnsiTheme="minorHAnsi"/>
          <w:sz w:val="24"/>
          <w:szCs w:val="24"/>
        </w:rPr>
        <w:t xml:space="preserve"> the return of the body and the biological within contemporary material feminism in light of Derrida’s early insistence on the </w:t>
      </w:r>
      <w:r w:rsidR="00FB2A27" w:rsidRPr="00745BBC">
        <w:rPr>
          <w:rFonts w:asciiTheme="minorHAnsi" w:hAnsiTheme="minorHAnsi"/>
          <w:sz w:val="24"/>
          <w:szCs w:val="24"/>
        </w:rPr>
        <w:t xml:space="preserve">soma and psyche </w:t>
      </w:r>
      <w:r w:rsidR="00FB2A27">
        <w:rPr>
          <w:rFonts w:asciiTheme="minorHAnsi" w:hAnsiTheme="minorHAnsi"/>
          <w:sz w:val="24"/>
          <w:szCs w:val="24"/>
        </w:rPr>
        <w:t xml:space="preserve">as that which </w:t>
      </w:r>
      <w:r w:rsidR="003C14D0">
        <w:rPr>
          <w:rFonts w:asciiTheme="minorHAnsi" w:hAnsiTheme="minorHAnsi"/>
          <w:sz w:val="24"/>
          <w:szCs w:val="24"/>
        </w:rPr>
        <w:t>is</w:t>
      </w:r>
      <w:r w:rsidR="00FB2A27">
        <w:rPr>
          <w:rFonts w:asciiTheme="minorHAnsi" w:hAnsiTheme="minorHAnsi"/>
          <w:sz w:val="24"/>
          <w:szCs w:val="24"/>
        </w:rPr>
        <w:t xml:space="preserve"> mutually informed</w:t>
      </w:r>
      <w:r w:rsidR="00FB2A27" w:rsidRPr="00745BBC">
        <w:rPr>
          <w:rFonts w:asciiTheme="minorHAnsi" w:hAnsiTheme="minorHAnsi"/>
          <w:sz w:val="24"/>
          <w:szCs w:val="24"/>
        </w:rPr>
        <w:t>.</w:t>
      </w:r>
      <w:r w:rsidR="00FB2A27" w:rsidRPr="00745BBC">
        <w:rPr>
          <w:rStyle w:val="EndnoteReference"/>
          <w:rFonts w:asciiTheme="minorHAnsi" w:hAnsiTheme="minorHAnsi"/>
          <w:sz w:val="24"/>
          <w:szCs w:val="24"/>
        </w:rPr>
        <w:endnoteReference w:id="3"/>
      </w:r>
    </w:p>
    <w:p w14:paraId="3AE31BCA" w14:textId="0C530241" w:rsidR="002A5CD6" w:rsidRDefault="00404AEC" w:rsidP="00544C8F">
      <w:pPr>
        <w:rPr>
          <w:rFonts w:asciiTheme="minorHAnsi" w:hAnsiTheme="minorHAnsi"/>
          <w:sz w:val="24"/>
          <w:szCs w:val="24"/>
        </w:rPr>
      </w:pPr>
      <w:r w:rsidRPr="00745BBC">
        <w:rPr>
          <w:rFonts w:asciiTheme="minorHAnsi" w:hAnsiTheme="minorHAnsi"/>
          <w:sz w:val="24"/>
          <w:szCs w:val="24"/>
        </w:rPr>
        <w:t xml:space="preserve">Without a significant barrier </w:t>
      </w:r>
      <w:r w:rsidR="00A905AC" w:rsidRPr="00745BBC">
        <w:rPr>
          <w:rFonts w:asciiTheme="minorHAnsi" w:hAnsiTheme="minorHAnsi"/>
          <w:sz w:val="24"/>
          <w:szCs w:val="24"/>
        </w:rPr>
        <w:t xml:space="preserve">decisively </w:t>
      </w:r>
      <w:r w:rsidR="00313C8A" w:rsidRPr="00745BBC">
        <w:rPr>
          <w:rFonts w:asciiTheme="minorHAnsi" w:hAnsiTheme="minorHAnsi"/>
          <w:sz w:val="24"/>
          <w:szCs w:val="24"/>
        </w:rPr>
        <w:t>separating them, the</w:t>
      </w:r>
      <w:r w:rsidRPr="00745BBC">
        <w:rPr>
          <w:rFonts w:asciiTheme="minorHAnsi" w:hAnsiTheme="minorHAnsi"/>
          <w:sz w:val="24"/>
          <w:szCs w:val="24"/>
        </w:rPr>
        <w:t xml:space="preserve"> commensality </w:t>
      </w:r>
      <w:r w:rsidR="00313C8A" w:rsidRPr="00745BBC">
        <w:rPr>
          <w:rFonts w:asciiTheme="minorHAnsi" w:hAnsiTheme="minorHAnsi"/>
          <w:sz w:val="24"/>
          <w:szCs w:val="24"/>
        </w:rPr>
        <w:t>of soma and psyche is</w:t>
      </w:r>
      <w:r w:rsidRPr="00745BBC">
        <w:rPr>
          <w:rFonts w:asciiTheme="minorHAnsi" w:hAnsiTheme="minorHAnsi"/>
          <w:sz w:val="24"/>
          <w:szCs w:val="24"/>
        </w:rPr>
        <w:t xml:space="preserve"> yet ‘marred’ </w:t>
      </w:r>
      <w:r w:rsidR="002211DE" w:rsidRPr="00745BBC">
        <w:rPr>
          <w:rFonts w:asciiTheme="minorHAnsi" w:hAnsiTheme="minorHAnsi"/>
          <w:sz w:val="24"/>
          <w:szCs w:val="24"/>
        </w:rPr>
        <w:t xml:space="preserve">or perhaps conditioned </w:t>
      </w:r>
      <w:r w:rsidR="00313C8A" w:rsidRPr="00745BBC">
        <w:rPr>
          <w:rFonts w:asciiTheme="minorHAnsi" w:hAnsiTheme="minorHAnsi"/>
          <w:sz w:val="24"/>
          <w:szCs w:val="24"/>
        </w:rPr>
        <w:t xml:space="preserve">in Derrida </w:t>
      </w:r>
      <w:r w:rsidRPr="00745BBC">
        <w:rPr>
          <w:rFonts w:asciiTheme="minorHAnsi" w:hAnsiTheme="minorHAnsi"/>
          <w:sz w:val="24"/>
          <w:szCs w:val="24"/>
        </w:rPr>
        <w:t xml:space="preserve">by the work of repression that is also the scene of writing. </w:t>
      </w:r>
      <w:r w:rsidR="00AC78BC">
        <w:rPr>
          <w:rFonts w:asciiTheme="minorHAnsi" w:hAnsiTheme="minorHAnsi"/>
          <w:sz w:val="24"/>
          <w:szCs w:val="24"/>
        </w:rPr>
        <w:t>The return of the repressed</w:t>
      </w:r>
      <w:r w:rsidR="00987322">
        <w:rPr>
          <w:rFonts w:asciiTheme="minorHAnsi" w:hAnsiTheme="minorHAnsi"/>
          <w:sz w:val="24"/>
          <w:szCs w:val="24"/>
        </w:rPr>
        <w:t xml:space="preserve"> in the deconstructive transformation of psychoanalysis</w:t>
      </w:r>
      <w:r w:rsidR="006011E4">
        <w:rPr>
          <w:rFonts w:asciiTheme="minorHAnsi" w:hAnsiTheme="minorHAnsi"/>
          <w:sz w:val="24"/>
          <w:szCs w:val="24"/>
        </w:rPr>
        <w:t>,</w:t>
      </w:r>
      <w:r w:rsidR="0058743A">
        <w:rPr>
          <w:rFonts w:asciiTheme="minorHAnsi" w:hAnsiTheme="minorHAnsi"/>
          <w:sz w:val="24"/>
          <w:szCs w:val="24"/>
        </w:rPr>
        <w:t xml:space="preserve"> however, cannot be guaranteed: t</w:t>
      </w:r>
      <w:r w:rsidR="00AC78BC">
        <w:rPr>
          <w:rFonts w:asciiTheme="minorHAnsi" w:hAnsiTheme="minorHAnsi"/>
          <w:sz w:val="24"/>
          <w:szCs w:val="24"/>
        </w:rPr>
        <w:t xml:space="preserve">he death drive </w:t>
      </w:r>
      <w:r w:rsidR="00E53FA0">
        <w:rPr>
          <w:rFonts w:asciiTheme="minorHAnsi" w:hAnsiTheme="minorHAnsi"/>
          <w:sz w:val="24"/>
          <w:szCs w:val="24"/>
        </w:rPr>
        <w:t xml:space="preserve">already at home </w:t>
      </w:r>
      <w:r w:rsidR="00AC78BC">
        <w:rPr>
          <w:rFonts w:asciiTheme="minorHAnsi" w:hAnsiTheme="minorHAnsi"/>
          <w:sz w:val="24"/>
          <w:szCs w:val="24"/>
        </w:rPr>
        <w:t>within the archive puts paid to that.</w:t>
      </w:r>
      <w:r w:rsidR="00AC78BC">
        <w:rPr>
          <w:rStyle w:val="EndnoteReference"/>
          <w:rFonts w:asciiTheme="minorHAnsi" w:hAnsiTheme="minorHAnsi"/>
          <w:sz w:val="24"/>
          <w:szCs w:val="24"/>
        </w:rPr>
        <w:endnoteReference w:id="4"/>
      </w:r>
      <w:r w:rsidR="00AC78BC">
        <w:rPr>
          <w:rFonts w:asciiTheme="minorHAnsi" w:hAnsiTheme="minorHAnsi"/>
          <w:sz w:val="24"/>
          <w:szCs w:val="24"/>
        </w:rPr>
        <w:t xml:space="preserve"> </w:t>
      </w:r>
      <w:r w:rsidR="00A00D60">
        <w:rPr>
          <w:rFonts w:asciiTheme="minorHAnsi" w:hAnsiTheme="minorHAnsi"/>
          <w:sz w:val="24"/>
          <w:szCs w:val="24"/>
        </w:rPr>
        <w:t>Strongly identified with the body as the scene of representation,</w:t>
      </w:r>
      <w:r w:rsidR="006011E4">
        <w:rPr>
          <w:rFonts w:asciiTheme="minorHAnsi" w:hAnsiTheme="minorHAnsi"/>
          <w:sz w:val="24"/>
          <w:szCs w:val="24"/>
        </w:rPr>
        <w:t xml:space="preserve"> i</w:t>
      </w:r>
      <w:r w:rsidR="00AD7510">
        <w:rPr>
          <w:rFonts w:asciiTheme="minorHAnsi" w:hAnsiTheme="minorHAnsi"/>
          <w:sz w:val="24"/>
          <w:szCs w:val="24"/>
        </w:rPr>
        <w:t xml:space="preserve">t has taken a long time for feminist theory to shake loose the influence of </w:t>
      </w:r>
      <w:r w:rsidR="00D607D0">
        <w:rPr>
          <w:rFonts w:asciiTheme="minorHAnsi" w:hAnsiTheme="minorHAnsi"/>
          <w:sz w:val="24"/>
          <w:szCs w:val="24"/>
        </w:rPr>
        <w:t xml:space="preserve">Jacques </w:t>
      </w:r>
      <w:r w:rsidR="00AD7510">
        <w:rPr>
          <w:rFonts w:asciiTheme="minorHAnsi" w:hAnsiTheme="minorHAnsi"/>
          <w:sz w:val="24"/>
          <w:szCs w:val="24"/>
        </w:rPr>
        <w:t xml:space="preserve">Lacan’s </w:t>
      </w:r>
      <w:r w:rsidR="00AD7510" w:rsidRPr="00AD7510">
        <w:rPr>
          <w:rFonts w:asciiTheme="minorHAnsi" w:hAnsiTheme="minorHAnsi"/>
          <w:i/>
          <w:sz w:val="24"/>
          <w:szCs w:val="24"/>
        </w:rPr>
        <w:t>Ecrits</w:t>
      </w:r>
      <w:r w:rsidR="00A00D60">
        <w:rPr>
          <w:rFonts w:asciiTheme="minorHAnsi" w:hAnsiTheme="minorHAnsi"/>
          <w:sz w:val="24"/>
          <w:szCs w:val="24"/>
        </w:rPr>
        <w:t>.</w:t>
      </w:r>
      <w:r w:rsidR="00E53FA0">
        <w:rPr>
          <w:rFonts w:asciiTheme="minorHAnsi" w:hAnsiTheme="minorHAnsi"/>
          <w:sz w:val="24"/>
          <w:szCs w:val="24"/>
        </w:rPr>
        <w:t xml:space="preserve"> </w:t>
      </w:r>
      <w:r w:rsidR="00A00D60">
        <w:rPr>
          <w:rFonts w:asciiTheme="minorHAnsi" w:hAnsiTheme="minorHAnsi"/>
          <w:sz w:val="24"/>
          <w:szCs w:val="24"/>
        </w:rPr>
        <w:t>These ‘writings’ were f</w:t>
      </w:r>
      <w:r w:rsidR="00A905AC">
        <w:rPr>
          <w:rFonts w:asciiTheme="minorHAnsi" w:hAnsiTheme="minorHAnsi"/>
          <w:sz w:val="24"/>
          <w:szCs w:val="24"/>
        </w:rPr>
        <w:t xml:space="preserve">ormerly assumed to </w:t>
      </w:r>
      <w:r w:rsidR="008B710C">
        <w:rPr>
          <w:rFonts w:asciiTheme="minorHAnsi" w:hAnsiTheme="minorHAnsi"/>
          <w:sz w:val="24"/>
          <w:szCs w:val="24"/>
        </w:rPr>
        <w:t xml:space="preserve">authorise </w:t>
      </w:r>
      <w:r w:rsidR="00A905AC">
        <w:rPr>
          <w:rFonts w:asciiTheme="minorHAnsi" w:hAnsiTheme="minorHAnsi"/>
          <w:sz w:val="24"/>
          <w:szCs w:val="24"/>
        </w:rPr>
        <w:t>a non-essentialist version of the body by virtue of its fading before the signifier</w:t>
      </w:r>
      <w:r w:rsidR="00985014">
        <w:rPr>
          <w:rFonts w:asciiTheme="minorHAnsi" w:hAnsiTheme="minorHAnsi"/>
          <w:sz w:val="24"/>
          <w:szCs w:val="24"/>
        </w:rPr>
        <w:t xml:space="preserve">, with the concomitant assumption that this – and only this </w:t>
      </w:r>
      <w:r w:rsidR="00E53FA0">
        <w:rPr>
          <w:rFonts w:asciiTheme="minorHAnsi" w:hAnsiTheme="minorHAnsi"/>
          <w:sz w:val="24"/>
          <w:szCs w:val="24"/>
        </w:rPr>
        <w:t xml:space="preserve">– </w:t>
      </w:r>
      <w:r w:rsidR="00985014">
        <w:rPr>
          <w:rFonts w:asciiTheme="minorHAnsi" w:hAnsiTheme="minorHAnsi"/>
          <w:sz w:val="24"/>
          <w:szCs w:val="24"/>
        </w:rPr>
        <w:t xml:space="preserve">shift into signification gave room for </w:t>
      </w:r>
      <w:r w:rsidR="00121973">
        <w:rPr>
          <w:rFonts w:asciiTheme="minorHAnsi" w:hAnsiTheme="minorHAnsi"/>
          <w:sz w:val="24"/>
          <w:szCs w:val="24"/>
        </w:rPr>
        <w:t>a political future of emancipation</w:t>
      </w:r>
      <w:r w:rsidR="00E53FA0">
        <w:rPr>
          <w:rFonts w:asciiTheme="minorHAnsi" w:hAnsiTheme="minorHAnsi"/>
          <w:sz w:val="24"/>
          <w:szCs w:val="24"/>
        </w:rPr>
        <w:t>.</w:t>
      </w:r>
      <w:r w:rsidR="00E53FA0">
        <w:rPr>
          <w:rStyle w:val="EndnoteReference"/>
          <w:rFonts w:asciiTheme="minorHAnsi" w:hAnsiTheme="minorHAnsi"/>
          <w:sz w:val="24"/>
          <w:szCs w:val="24"/>
        </w:rPr>
        <w:endnoteReference w:id="5"/>
      </w:r>
      <w:r w:rsidR="00D607D0">
        <w:rPr>
          <w:rFonts w:asciiTheme="minorHAnsi" w:hAnsiTheme="minorHAnsi"/>
          <w:sz w:val="24"/>
          <w:szCs w:val="24"/>
        </w:rPr>
        <w:t xml:space="preserve"> Loosening this legacy</w:t>
      </w:r>
      <w:r w:rsidR="00A905AC">
        <w:rPr>
          <w:rFonts w:asciiTheme="minorHAnsi" w:hAnsiTheme="minorHAnsi"/>
          <w:sz w:val="24"/>
          <w:szCs w:val="24"/>
        </w:rPr>
        <w:t xml:space="preserve"> </w:t>
      </w:r>
      <w:r w:rsidR="00D607D0">
        <w:rPr>
          <w:rFonts w:asciiTheme="minorHAnsi" w:hAnsiTheme="minorHAnsi"/>
          <w:sz w:val="24"/>
          <w:szCs w:val="24"/>
        </w:rPr>
        <w:t>allows us to</w:t>
      </w:r>
      <w:r w:rsidR="00313C8A">
        <w:rPr>
          <w:rFonts w:asciiTheme="minorHAnsi" w:hAnsiTheme="minorHAnsi"/>
          <w:sz w:val="24"/>
          <w:szCs w:val="24"/>
        </w:rPr>
        <w:t xml:space="preserve"> </w:t>
      </w:r>
      <w:r w:rsidR="00AD7510">
        <w:rPr>
          <w:rFonts w:asciiTheme="minorHAnsi" w:hAnsiTheme="minorHAnsi"/>
          <w:sz w:val="24"/>
          <w:szCs w:val="24"/>
        </w:rPr>
        <w:t>entertain the notion of the body as something beyond a</w:t>
      </w:r>
      <w:r w:rsidR="00A00D60">
        <w:rPr>
          <w:rFonts w:asciiTheme="minorHAnsi" w:hAnsiTheme="minorHAnsi"/>
          <w:sz w:val="24"/>
          <w:szCs w:val="24"/>
        </w:rPr>
        <w:t xml:space="preserve"> disengaged</w:t>
      </w:r>
      <w:r w:rsidR="00AD7510">
        <w:rPr>
          <w:rFonts w:asciiTheme="minorHAnsi" w:hAnsiTheme="minorHAnsi"/>
          <w:sz w:val="24"/>
          <w:szCs w:val="24"/>
        </w:rPr>
        <w:t xml:space="preserve"> support for the inscription of the psyche. </w:t>
      </w:r>
      <w:r w:rsidR="00E43820">
        <w:rPr>
          <w:rFonts w:asciiTheme="minorHAnsi" w:hAnsiTheme="minorHAnsi"/>
          <w:sz w:val="24"/>
          <w:szCs w:val="24"/>
        </w:rPr>
        <w:t xml:space="preserve">For the sake of brevity this chapter will only nod towards the Deleuzian turn in feminism of the 1990’s and its important </w:t>
      </w:r>
      <w:r w:rsidR="00985014">
        <w:rPr>
          <w:rFonts w:asciiTheme="minorHAnsi" w:hAnsiTheme="minorHAnsi"/>
          <w:sz w:val="24"/>
          <w:szCs w:val="24"/>
        </w:rPr>
        <w:t xml:space="preserve">alternate </w:t>
      </w:r>
      <w:r w:rsidR="00E43820">
        <w:rPr>
          <w:rFonts w:asciiTheme="minorHAnsi" w:hAnsiTheme="minorHAnsi"/>
          <w:sz w:val="24"/>
          <w:szCs w:val="24"/>
        </w:rPr>
        <w:t>emphasis on what a body can do</w:t>
      </w:r>
      <w:r w:rsidR="009F1E5C">
        <w:rPr>
          <w:rFonts w:asciiTheme="minorHAnsi" w:hAnsiTheme="minorHAnsi"/>
          <w:sz w:val="24"/>
          <w:szCs w:val="24"/>
        </w:rPr>
        <w:t>,</w:t>
      </w:r>
      <w:r w:rsidR="00E43820">
        <w:rPr>
          <w:rFonts w:asciiTheme="minorHAnsi" w:hAnsiTheme="minorHAnsi"/>
          <w:sz w:val="24"/>
          <w:szCs w:val="24"/>
        </w:rPr>
        <w:t xml:space="preserve"> since this work tended to </w:t>
      </w:r>
      <w:r w:rsidR="00AC78BC">
        <w:rPr>
          <w:rFonts w:asciiTheme="minorHAnsi" w:hAnsiTheme="minorHAnsi"/>
          <w:sz w:val="24"/>
          <w:szCs w:val="24"/>
        </w:rPr>
        <w:t>misapprehend</w:t>
      </w:r>
      <w:r w:rsidR="00E43820">
        <w:rPr>
          <w:rFonts w:asciiTheme="minorHAnsi" w:hAnsiTheme="minorHAnsi"/>
          <w:sz w:val="24"/>
          <w:szCs w:val="24"/>
        </w:rPr>
        <w:t xml:space="preserve"> Derrida as closer to Lacan and thus in continuation with the dialectical tradition.</w:t>
      </w:r>
      <w:r w:rsidR="00E43820">
        <w:rPr>
          <w:rStyle w:val="EndnoteReference"/>
          <w:rFonts w:asciiTheme="minorHAnsi" w:hAnsiTheme="minorHAnsi"/>
          <w:sz w:val="24"/>
          <w:szCs w:val="24"/>
        </w:rPr>
        <w:endnoteReference w:id="6"/>
      </w:r>
      <w:r w:rsidR="00E43820">
        <w:rPr>
          <w:rFonts w:asciiTheme="minorHAnsi" w:hAnsiTheme="minorHAnsi"/>
          <w:sz w:val="24"/>
          <w:szCs w:val="24"/>
        </w:rPr>
        <w:t xml:space="preserve"> </w:t>
      </w:r>
      <w:r w:rsidR="00933625">
        <w:rPr>
          <w:rFonts w:asciiTheme="minorHAnsi" w:hAnsiTheme="minorHAnsi"/>
          <w:sz w:val="24"/>
          <w:szCs w:val="24"/>
        </w:rPr>
        <w:t>Departing from</w:t>
      </w:r>
      <w:r w:rsidR="004229B6">
        <w:rPr>
          <w:rFonts w:asciiTheme="minorHAnsi" w:hAnsiTheme="minorHAnsi"/>
          <w:sz w:val="24"/>
          <w:szCs w:val="24"/>
        </w:rPr>
        <w:t xml:space="preserve"> that tradition</w:t>
      </w:r>
      <w:r w:rsidR="0091298A">
        <w:rPr>
          <w:rFonts w:asciiTheme="minorHAnsi" w:hAnsiTheme="minorHAnsi"/>
          <w:sz w:val="24"/>
          <w:szCs w:val="24"/>
        </w:rPr>
        <w:t>,</w:t>
      </w:r>
      <w:r w:rsidR="004229B6">
        <w:rPr>
          <w:rFonts w:asciiTheme="minorHAnsi" w:hAnsiTheme="minorHAnsi"/>
          <w:sz w:val="24"/>
          <w:szCs w:val="24"/>
        </w:rPr>
        <w:t xml:space="preserve"> </w:t>
      </w:r>
      <w:r w:rsidR="00A835C5">
        <w:rPr>
          <w:rFonts w:asciiTheme="minorHAnsi" w:hAnsiTheme="minorHAnsi"/>
          <w:sz w:val="24"/>
          <w:szCs w:val="24"/>
        </w:rPr>
        <w:t xml:space="preserve">‘Fort </w:t>
      </w:r>
      <w:r w:rsidR="00E4788C">
        <w:rPr>
          <w:rFonts w:asciiTheme="minorHAnsi" w:hAnsiTheme="minorHAnsi"/>
          <w:sz w:val="24"/>
          <w:szCs w:val="24"/>
        </w:rPr>
        <w:t xml:space="preserve">Spa’ </w:t>
      </w:r>
      <w:r w:rsidR="00477D00">
        <w:rPr>
          <w:rFonts w:asciiTheme="minorHAnsi" w:hAnsiTheme="minorHAnsi"/>
          <w:sz w:val="24"/>
          <w:szCs w:val="24"/>
        </w:rPr>
        <w:t xml:space="preserve">solicits another kind of speculation </w:t>
      </w:r>
      <w:r w:rsidR="00121973">
        <w:rPr>
          <w:rFonts w:asciiTheme="minorHAnsi" w:hAnsiTheme="minorHAnsi"/>
          <w:sz w:val="24"/>
          <w:szCs w:val="24"/>
        </w:rPr>
        <w:t>in view of another kind of body.</w:t>
      </w:r>
      <w:r w:rsidR="003A4529" w:rsidRPr="003A4529">
        <w:rPr>
          <w:rStyle w:val="EndnoteReference"/>
          <w:rFonts w:asciiTheme="minorHAnsi" w:hAnsiTheme="minorHAnsi"/>
          <w:sz w:val="24"/>
          <w:szCs w:val="24"/>
        </w:rPr>
        <w:t xml:space="preserve"> </w:t>
      </w:r>
      <w:r w:rsidR="003A4529">
        <w:rPr>
          <w:rStyle w:val="EndnoteReference"/>
          <w:rFonts w:asciiTheme="minorHAnsi" w:hAnsiTheme="minorHAnsi"/>
          <w:sz w:val="24"/>
          <w:szCs w:val="24"/>
        </w:rPr>
        <w:endnoteReference w:id="7"/>
      </w:r>
      <w:r w:rsidR="003A4529">
        <w:rPr>
          <w:rFonts w:asciiTheme="minorHAnsi" w:eastAsiaTheme="minorEastAsia" w:hAnsiTheme="minorHAnsi"/>
          <w:sz w:val="24"/>
          <w:szCs w:val="24"/>
          <w:lang w:val="en-US" w:eastAsia="en-US"/>
        </w:rPr>
        <w:t xml:space="preserve"> </w:t>
      </w:r>
      <w:r w:rsidR="00121973">
        <w:rPr>
          <w:rFonts w:asciiTheme="minorHAnsi" w:hAnsiTheme="minorHAnsi"/>
          <w:sz w:val="24"/>
          <w:szCs w:val="24"/>
        </w:rPr>
        <w:t xml:space="preserve"> </w:t>
      </w:r>
      <w:r w:rsidR="00CB7F0D">
        <w:rPr>
          <w:rFonts w:asciiTheme="minorHAnsi" w:hAnsiTheme="minorHAnsi"/>
          <w:sz w:val="24"/>
          <w:szCs w:val="24"/>
        </w:rPr>
        <w:t>Mixing deconstruction, psychoanalysis, philosophy and feminism, this chapter welcomes a return not simply to ‘the body’ as if there were only one, but to biology as a scene of dynamism. Rather than the infernal trap that would spring the most patriarchal of destinies upon women without hesitation, as found in the explicit appeal to the teleology of nature in Sigmund Freud’s essay on “Femininity,” biology becomes something for us to think with.</w:t>
      </w:r>
      <w:r w:rsidR="00CB7F0D">
        <w:rPr>
          <w:rStyle w:val="EndnoteReference"/>
          <w:rFonts w:asciiTheme="minorHAnsi" w:hAnsiTheme="minorHAnsi"/>
          <w:sz w:val="24"/>
          <w:szCs w:val="24"/>
        </w:rPr>
        <w:endnoteReference w:id="8"/>
      </w:r>
      <w:r w:rsidR="00CB7F0D">
        <w:rPr>
          <w:rFonts w:asciiTheme="minorHAnsi" w:hAnsiTheme="minorHAnsi"/>
          <w:sz w:val="24"/>
          <w:szCs w:val="24"/>
        </w:rPr>
        <w:t xml:space="preserve"> ‘Fort Spa’ keeps the performative </w:t>
      </w:r>
      <w:r w:rsidR="000B68A1">
        <w:rPr>
          <w:rFonts w:asciiTheme="minorHAnsi" w:hAnsiTheme="minorHAnsi"/>
          <w:sz w:val="24"/>
          <w:szCs w:val="24"/>
        </w:rPr>
        <w:t>‘SF’ of Donna Haraway in mind: t</w:t>
      </w:r>
      <w:r w:rsidR="00CB7F0D">
        <w:rPr>
          <w:rFonts w:asciiTheme="minorHAnsi" w:hAnsiTheme="minorHAnsi"/>
          <w:sz w:val="24"/>
          <w:szCs w:val="24"/>
        </w:rPr>
        <w:t xml:space="preserve">rained as a biologist, her work frequently solicits the supplement of a </w:t>
      </w:r>
      <w:r w:rsidR="00CB7F0D" w:rsidRPr="00F43964">
        <w:rPr>
          <w:rFonts w:asciiTheme="minorHAnsi" w:hAnsiTheme="minorHAnsi"/>
          <w:sz w:val="24"/>
          <w:szCs w:val="24"/>
        </w:rPr>
        <w:t xml:space="preserve">‘speculative </w:t>
      </w:r>
      <w:r w:rsidR="00CB7F0D">
        <w:rPr>
          <w:rFonts w:asciiTheme="minorHAnsi" w:hAnsiTheme="minorHAnsi"/>
          <w:sz w:val="24"/>
          <w:szCs w:val="24"/>
        </w:rPr>
        <w:t xml:space="preserve">fabulation’ or </w:t>
      </w:r>
      <w:r w:rsidR="00CB7F0D" w:rsidRPr="00F43964">
        <w:rPr>
          <w:rFonts w:asciiTheme="minorHAnsi" w:hAnsiTheme="minorHAnsi"/>
          <w:sz w:val="24"/>
          <w:szCs w:val="24"/>
        </w:rPr>
        <w:t>‘speculative feminism’</w:t>
      </w:r>
      <w:r w:rsidR="00CB7F0D">
        <w:rPr>
          <w:rFonts w:asciiTheme="minorHAnsi" w:hAnsiTheme="minorHAnsi"/>
          <w:sz w:val="24"/>
          <w:szCs w:val="24"/>
        </w:rPr>
        <w:t xml:space="preserve"> that might dispel the tendency of origin stories from condensing into </w:t>
      </w:r>
      <w:r w:rsidR="00CB7F0D" w:rsidRPr="000536C1">
        <w:rPr>
          <w:rFonts w:asciiTheme="minorHAnsi" w:hAnsiTheme="minorHAnsi"/>
          <w:sz w:val="24"/>
          <w:szCs w:val="24"/>
        </w:rPr>
        <w:t>patri-</w:t>
      </w:r>
      <w:r w:rsidR="00CB7F0D" w:rsidRPr="000536C1">
        <w:rPr>
          <w:rFonts w:asciiTheme="minorHAnsi" w:hAnsiTheme="minorHAnsi"/>
          <w:i/>
          <w:sz w:val="24"/>
          <w:szCs w:val="24"/>
        </w:rPr>
        <w:t>arkhe</w:t>
      </w:r>
      <w:r w:rsidR="00362413">
        <w:rPr>
          <w:rFonts w:asciiTheme="minorHAnsi" w:hAnsiTheme="minorHAnsi"/>
          <w:i/>
          <w:sz w:val="24"/>
          <w:szCs w:val="24"/>
        </w:rPr>
        <w:t>.</w:t>
      </w:r>
      <w:r w:rsidR="00362413" w:rsidRPr="000536C1">
        <w:rPr>
          <w:rStyle w:val="EndnoteReference"/>
          <w:rFonts w:asciiTheme="minorHAnsi" w:hAnsiTheme="minorHAnsi"/>
          <w:sz w:val="24"/>
          <w:szCs w:val="24"/>
        </w:rPr>
        <w:endnoteReference w:id="9"/>
      </w:r>
      <w:r w:rsidR="00CB7F0D" w:rsidRPr="000536C1">
        <w:rPr>
          <w:rFonts w:asciiTheme="minorHAnsi" w:hAnsiTheme="minorHAnsi"/>
          <w:sz w:val="24"/>
          <w:szCs w:val="24"/>
        </w:rPr>
        <w:t xml:space="preserve"> </w:t>
      </w:r>
      <w:r w:rsidR="00CB7F0D">
        <w:rPr>
          <w:rFonts w:asciiTheme="minorHAnsi" w:eastAsiaTheme="minorEastAsia" w:hAnsiTheme="minorHAnsi"/>
          <w:sz w:val="24"/>
          <w:szCs w:val="24"/>
          <w:lang w:val="en-US" w:eastAsia="en-US"/>
        </w:rPr>
        <w:t>Adding in</w:t>
      </w:r>
      <w:r w:rsidR="00CB7F0D" w:rsidRPr="000536C1">
        <w:rPr>
          <w:rFonts w:asciiTheme="minorHAnsi" w:eastAsiaTheme="minorEastAsia" w:hAnsiTheme="minorHAnsi"/>
          <w:sz w:val="24"/>
          <w:szCs w:val="24"/>
          <w:lang w:val="en-US" w:eastAsia="en-US"/>
        </w:rPr>
        <w:t xml:space="preserve"> </w:t>
      </w:r>
      <w:r w:rsidR="00CB7F0D" w:rsidRPr="000536C1">
        <w:rPr>
          <w:rFonts w:asciiTheme="minorHAnsi" w:eastAsiaTheme="minorEastAsia" w:hAnsiTheme="minorHAnsi"/>
          <w:sz w:val="24"/>
          <w:szCs w:val="24"/>
          <w:lang w:val="en-US" w:eastAsia="en-US"/>
        </w:rPr>
        <w:lastRenderedPageBreak/>
        <w:t xml:space="preserve">‘So Far’ </w:t>
      </w:r>
      <w:r w:rsidR="00CB7F0D">
        <w:rPr>
          <w:rFonts w:asciiTheme="minorHAnsi" w:eastAsiaTheme="minorEastAsia" w:hAnsiTheme="minorHAnsi"/>
          <w:sz w:val="24"/>
          <w:szCs w:val="24"/>
          <w:lang w:val="en-US" w:eastAsia="en-US"/>
        </w:rPr>
        <w:t>to the title of her paper headed by this acronym wa</w:t>
      </w:r>
      <w:r w:rsidR="00CB7F0D" w:rsidRPr="000536C1">
        <w:rPr>
          <w:rFonts w:asciiTheme="minorHAnsi" w:eastAsiaTheme="minorEastAsia" w:hAnsiTheme="minorHAnsi"/>
          <w:sz w:val="24"/>
          <w:szCs w:val="24"/>
          <w:lang w:val="en-US" w:eastAsia="en-US"/>
        </w:rPr>
        <w:t xml:space="preserve">s not merely poetic </w:t>
      </w:r>
      <w:r w:rsidR="00CB7F0D">
        <w:rPr>
          <w:rFonts w:asciiTheme="minorHAnsi" w:eastAsiaTheme="minorEastAsia" w:hAnsiTheme="minorHAnsi"/>
          <w:sz w:val="24"/>
          <w:szCs w:val="24"/>
          <w:lang w:val="en-US" w:eastAsia="en-US"/>
        </w:rPr>
        <w:t>frivolity</w:t>
      </w:r>
      <w:r w:rsidR="00CB7F0D" w:rsidRPr="000536C1">
        <w:rPr>
          <w:rFonts w:asciiTheme="minorHAnsi" w:eastAsiaTheme="minorEastAsia" w:hAnsiTheme="minorHAnsi"/>
          <w:sz w:val="24"/>
          <w:szCs w:val="24"/>
          <w:lang w:val="en-US" w:eastAsia="en-US"/>
        </w:rPr>
        <w:t xml:space="preserve"> but a pointer to the conting</w:t>
      </w:r>
      <w:r w:rsidR="00CB7F0D">
        <w:rPr>
          <w:rFonts w:asciiTheme="minorHAnsi" w:eastAsiaTheme="minorEastAsia" w:hAnsiTheme="minorHAnsi"/>
          <w:sz w:val="24"/>
          <w:szCs w:val="24"/>
          <w:lang w:val="en-US" w:eastAsia="en-US"/>
        </w:rPr>
        <w:t>ency and the incompleteness of SF</w:t>
      </w:r>
      <w:r w:rsidR="00CB7F0D" w:rsidRPr="000536C1">
        <w:rPr>
          <w:rFonts w:asciiTheme="minorHAnsi" w:eastAsiaTheme="minorEastAsia" w:hAnsiTheme="minorHAnsi"/>
          <w:sz w:val="24"/>
          <w:szCs w:val="24"/>
          <w:lang w:val="en-US" w:eastAsia="en-US"/>
        </w:rPr>
        <w:t>.</w:t>
      </w:r>
      <w:r w:rsidR="00CB7F0D">
        <w:rPr>
          <w:rFonts w:asciiTheme="minorHAnsi" w:hAnsiTheme="minorHAnsi"/>
          <w:sz w:val="24"/>
          <w:szCs w:val="24"/>
        </w:rPr>
        <w:t xml:space="preserve"> </w:t>
      </w:r>
      <w:r w:rsidR="0049623C">
        <w:rPr>
          <w:rFonts w:asciiTheme="minorHAnsi" w:hAnsiTheme="minorHAnsi"/>
          <w:sz w:val="24"/>
          <w:szCs w:val="24"/>
        </w:rPr>
        <w:t xml:space="preserve">‘Fort Spa’ </w:t>
      </w:r>
      <w:r w:rsidR="00E17A09">
        <w:rPr>
          <w:rFonts w:asciiTheme="minorHAnsi" w:hAnsiTheme="minorHAnsi"/>
          <w:sz w:val="24"/>
          <w:szCs w:val="24"/>
        </w:rPr>
        <w:t>gives specific attention to</w:t>
      </w:r>
      <w:r w:rsidR="0049623C">
        <w:rPr>
          <w:rFonts w:asciiTheme="minorHAnsi" w:hAnsiTheme="minorHAnsi"/>
          <w:sz w:val="24"/>
          <w:szCs w:val="24"/>
        </w:rPr>
        <w:t xml:space="preserve"> Elizabeth A. Wilson, one of a new generation of feminists who are also readers of Derrida, and zones in on her recuperation of a dynamic biology in the more marginal archives of psychoanalysis such as the works of </w:t>
      </w:r>
      <w:r w:rsidR="003C14D0" w:rsidRPr="003C14D0">
        <w:rPr>
          <w:rFonts w:asciiTheme="minorHAnsi" w:eastAsiaTheme="minorEastAsia" w:hAnsiTheme="minorHAnsi"/>
          <w:sz w:val="24"/>
          <w:szCs w:val="24"/>
          <w:lang w:val="en-US" w:eastAsia="en-US"/>
        </w:rPr>
        <w:t>Sándor</w:t>
      </w:r>
      <w:r w:rsidR="003C14D0" w:rsidRPr="003C14D0">
        <w:rPr>
          <w:rFonts w:asciiTheme="minorHAnsi" w:hAnsiTheme="minorHAnsi"/>
          <w:sz w:val="24"/>
          <w:szCs w:val="24"/>
        </w:rPr>
        <w:t xml:space="preserve"> </w:t>
      </w:r>
      <w:r w:rsidR="0049623C" w:rsidRPr="003C14D0">
        <w:rPr>
          <w:rFonts w:asciiTheme="minorHAnsi" w:hAnsiTheme="minorHAnsi"/>
          <w:sz w:val="24"/>
          <w:szCs w:val="24"/>
        </w:rPr>
        <w:t>Ferenczi</w:t>
      </w:r>
      <w:r w:rsidR="0049623C">
        <w:rPr>
          <w:rFonts w:asciiTheme="minorHAnsi" w:hAnsiTheme="minorHAnsi"/>
          <w:sz w:val="24"/>
          <w:szCs w:val="24"/>
        </w:rPr>
        <w:t>.</w:t>
      </w:r>
      <w:r w:rsidR="003C14D0">
        <w:rPr>
          <w:rStyle w:val="EndnoteReference"/>
          <w:rFonts w:asciiTheme="minorHAnsi" w:hAnsiTheme="minorHAnsi"/>
          <w:sz w:val="24"/>
          <w:szCs w:val="24"/>
        </w:rPr>
        <w:endnoteReference w:id="10"/>
      </w:r>
      <w:r w:rsidR="0049623C">
        <w:rPr>
          <w:rFonts w:asciiTheme="minorHAnsi" w:hAnsiTheme="minorHAnsi"/>
          <w:sz w:val="24"/>
          <w:szCs w:val="24"/>
        </w:rPr>
        <w:t xml:space="preserve"> </w:t>
      </w:r>
      <w:r w:rsidR="002A5CD6">
        <w:rPr>
          <w:rFonts w:asciiTheme="minorHAnsi" w:hAnsiTheme="minorHAnsi"/>
          <w:sz w:val="24"/>
          <w:szCs w:val="24"/>
        </w:rPr>
        <w:t xml:space="preserve">While Wilson emphasises Ferenczi’s radicality in proposing what he names ‘bioanalysis’ thus stepping beyond </w:t>
      </w:r>
      <w:r w:rsidR="000860DF">
        <w:rPr>
          <w:rFonts w:asciiTheme="minorHAnsi" w:hAnsiTheme="minorHAnsi"/>
          <w:sz w:val="24"/>
          <w:szCs w:val="24"/>
        </w:rPr>
        <w:t>the psyche as a closed system, this chapter</w:t>
      </w:r>
      <w:r w:rsidR="002A5CD6">
        <w:rPr>
          <w:rFonts w:asciiTheme="minorHAnsi" w:hAnsiTheme="minorHAnsi"/>
          <w:sz w:val="24"/>
          <w:szCs w:val="24"/>
        </w:rPr>
        <w:t xml:space="preserve"> ask</w:t>
      </w:r>
      <w:r w:rsidR="000860DF">
        <w:rPr>
          <w:rFonts w:asciiTheme="minorHAnsi" w:hAnsiTheme="minorHAnsi"/>
          <w:sz w:val="24"/>
          <w:szCs w:val="24"/>
        </w:rPr>
        <w:t>s</w:t>
      </w:r>
      <w:r w:rsidR="002A5CD6">
        <w:rPr>
          <w:rFonts w:asciiTheme="minorHAnsi" w:hAnsiTheme="minorHAnsi"/>
          <w:sz w:val="24"/>
          <w:szCs w:val="24"/>
        </w:rPr>
        <w:t xml:space="preserve"> after the antiquated models of sexual difference that may yet hinder his speculation.  </w:t>
      </w:r>
      <w:r w:rsidR="000860DF">
        <w:rPr>
          <w:rFonts w:asciiTheme="minorHAnsi" w:hAnsiTheme="minorHAnsi"/>
          <w:sz w:val="24"/>
          <w:szCs w:val="24"/>
        </w:rPr>
        <w:t>With Derrida’s suggestive reading of the legacy of psychoanalysis in “To Speculate-on ‘Freud’” in mind, we can dive in.</w:t>
      </w:r>
    </w:p>
    <w:p w14:paraId="157489FC" w14:textId="77777777" w:rsidR="0049623C" w:rsidRDefault="0049623C" w:rsidP="00544C8F">
      <w:pPr>
        <w:rPr>
          <w:rFonts w:asciiTheme="minorHAnsi" w:hAnsiTheme="minorHAnsi"/>
          <w:sz w:val="24"/>
          <w:szCs w:val="24"/>
        </w:rPr>
      </w:pPr>
    </w:p>
    <w:p w14:paraId="3CBB2E7F" w14:textId="77777777" w:rsidR="00D61E3D" w:rsidRPr="00A51870" w:rsidRDefault="00D61E3D" w:rsidP="007A7DED">
      <w:pPr>
        <w:rPr>
          <w:rFonts w:asciiTheme="minorHAnsi" w:hAnsiTheme="minorHAnsi"/>
          <w:sz w:val="24"/>
          <w:szCs w:val="24"/>
        </w:rPr>
      </w:pPr>
    </w:p>
    <w:p w14:paraId="4F237C95" w14:textId="416126B5" w:rsidR="00404AEC" w:rsidRPr="00A51870" w:rsidRDefault="00073302" w:rsidP="00C72022">
      <w:pPr>
        <w:jc w:val="center"/>
        <w:rPr>
          <w:rFonts w:asciiTheme="minorHAnsi" w:hAnsiTheme="minorHAnsi"/>
          <w:b/>
          <w:sz w:val="24"/>
          <w:szCs w:val="24"/>
        </w:rPr>
      </w:pPr>
      <w:r>
        <w:rPr>
          <w:rFonts w:asciiTheme="minorHAnsi" w:hAnsiTheme="minorHAnsi"/>
          <w:b/>
          <w:sz w:val="24"/>
          <w:szCs w:val="24"/>
        </w:rPr>
        <w:t>S</w:t>
      </w:r>
      <w:r w:rsidR="00C72022" w:rsidRPr="00A51870">
        <w:rPr>
          <w:rFonts w:asciiTheme="minorHAnsi" w:hAnsiTheme="minorHAnsi"/>
          <w:b/>
          <w:sz w:val="24"/>
          <w:szCs w:val="24"/>
        </w:rPr>
        <w:t>F</w:t>
      </w:r>
    </w:p>
    <w:p w14:paraId="007FC4B3" w14:textId="77777777" w:rsidR="0046329F" w:rsidRDefault="0046329F" w:rsidP="007A7DED">
      <w:pPr>
        <w:rPr>
          <w:rFonts w:asciiTheme="minorHAnsi" w:hAnsiTheme="minorHAnsi"/>
          <w:sz w:val="24"/>
          <w:szCs w:val="24"/>
        </w:rPr>
      </w:pPr>
    </w:p>
    <w:p w14:paraId="0773C274" w14:textId="6764F9ED" w:rsidR="00C97D92" w:rsidRPr="00254572" w:rsidRDefault="00C97D92" w:rsidP="00C97D92">
      <w:pPr>
        <w:ind w:left="1440" w:firstLine="720"/>
        <w:jc w:val="right"/>
        <w:rPr>
          <w:rFonts w:asciiTheme="minorHAnsi" w:hAnsiTheme="minorHAnsi"/>
          <w:sz w:val="24"/>
          <w:szCs w:val="24"/>
        </w:rPr>
      </w:pPr>
      <w:r w:rsidRPr="00CE7EA8">
        <w:rPr>
          <w:rFonts w:asciiTheme="minorHAnsi" w:hAnsiTheme="minorHAnsi"/>
          <w:i/>
          <w:sz w:val="24"/>
          <w:szCs w:val="24"/>
        </w:rPr>
        <w:t>[…] the uncertainty of our speculation has been greatly increased by the necessity for borrowing from the science of biology. Biology is truly a land of unlimited possibilities.</w:t>
      </w:r>
      <w:r>
        <w:rPr>
          <w:rFonts w:asciiTheme="minorHAnsi" w:hAnsiTheme="minorHAnsi"/>
          <w:sz w:val="24"/>
          <w:szCs w:val="24"/>
        </w:rPr>
        <w:t xml:space="preserve"> – </w:t>
      </w:r>
      <w:r w:rsidR="00164282">
        <w:rPr>
          <w:rFonts w:asciiTheme="minorHAnsi" w:hAnsiTheme="minorHAnsi"/>
          <w:sz w:val="24"/>
          <w:szCs w:val="24"/>
        </w:rPr>
        <w:t xml:space="preserve">Sigmund </w:t>
      </w:r>
      <w:r>
        <w:rPr>
          <w:rFonts w:asciiTheme="minorHAnsi" w:hAnsiTheme="minorHAnsi"/>
          <w:sz w:val="24"/>
          <w:szCs w:val="24"/>
        </w:rPr>
        <w:t>Freud</w:t>
      </w:r>
      <w:r>
        <w:rPr>
          <w:rStyle w:val="EndnoteReference"/>
          <w:rFonts w:asciiTheme="minorHAnsi" w:hAnsiTheme="minorHAnsi"/>
          <w:sz w:val="24"/>
          <w:szCs w:val="24"/>
        </w:rPr>
        <w:endnoteReference w:id="11"/>
      </w:r>
    </w:p>
    <w:p w14:paraId="13719527" w14:textId="77777777" w:rsidR="00C97D92" w:rsidRPr="00A51870" w:rsidRDefault="00C97D92" w:rsidP="007A7DED">
      <w:pPr>
        <w:rPr>
          <w:rFonts w:asciiTheme="minorHAnsi" w:hAnsiTheme="minorHAnsi"/>
          <w:sz w:val="24"/>
          <w:szCs w:val="24"/>
        </w:rPr>
      </w:pPr>
    </w:p>
    <w:p w14:paraId="79F35FE7" w14:textId="52C1C576" w:rsidR="00C70388" w:rsidRPr="00E00A15" w:rsidRDefault="00321225" w:rsidP="00263751">
      <w:pPr>
        <w:widowControl w:val="0"/>
        <w:autoSpaceDE w:val="0"/>
        <w:autoSpaceDN w:val="0"/>
        <w:adjustRightInd w:val="0"/>
        <w:rPr>
          <w:rFonts w:asciiTheme="minorHAnsi" w:hAnsiTheme="minorHAnsi"/>
          <w:sz w:val="24"/>
          <w:szCs w:val="24"/>
        </w:rPr>
      </w:pPr>
      <w:r w:rsidRPr="00A51870">
        <w:rPr>
          <w:rFonts w:asciiTheme="minorHAnsi" w:hAnsiTheme="minorHAnsi"/>
          <w:sz w:val="24"/>
          <w:szCs w:val="24"/>
        </w:rPr>
        <w:t>A common abbreviation of the g</w:t>
      </w:r>
      <w:r w:rsidR="00073302">
        <w:rPr>
          <w:rFonts w:asciiTheme="minorHAnsi" w:hAnsiTheme="minorHAnsi"/>
          <w:sz w:val="24"/>
          <w:szCs w:val="24"/>
        </w:rPr>
        <w:t>enre ‘science fiction’, ‘S</w:t>
      </w:r>
      <w:r w:rsidRPr="00A51870">
        <w:rPr>
          <w:rFonts w:asciiTheme="minorHAnsi" w:hAnsiTheme="minorHAnsi"/>
          <w:sz w:val="24"/>
          <w:szCs w:val="24"/>
        </w:rPr>
        <w:t xml:space="preserve">F’ </w:t>
      </w:r>
      <w:r w:rsidR="008C2540">
        <w:rPr>
          <w:rFonts w:asciiTheme="minorHAnsi" w:hAnsiTheme="minorHAnsi"/>
          <w:sz w:val="24"/>
          <w:szCs w:val="24"/>
        </w:rPr>
        <w:t>also</w:t>
      </w:r>
      <w:r w:rsidRPr="00A51870">
        <w:rPr>
          <w:rFonts w:asciiTheme="minorHAnsi" w:hAnsiTheme="minorHAnsi"/>
          <w:sz w:val="24"/>
          <w:szCs w:val="24"/>
        </w:rPr>
        <w:t xml:space="preserve"> </w:t>
      </w:r>
      <w:r w:rsidR="00A51870">
        <w:rPr>
          <w:rFonts w:asciiTheme="minorHAnsi" w:hAnsiTheme="minorHAnsi"/>
          <w:sz w:val="24"/>
          <w:szCs w:val="24"/>
        </w:rPr>
        <w:t xml:space="preserve">promiscuously </w:t>
      </w:r>
      <w:r w:rsidR="00F32B64">
        <w:rPr>
          <w:rFonts w:asciiTheme="minorHAnsi" w:hAnsiTheme="minorHAnsi"/>
          <w:sz w:val="24"/>
          <w:szCs w:val="24"/>
        </w:rPr>
        <w:t>speak</w:t>
      </w:r>
      <w:r w:rsidR="008C2540">
        <w:rPr>
          <w:rFonts w:asciiTheme="minorHAnsi" w:hAnsiTheme="minorHAnsi"/>
          <w:sz w:val="24"/>
          <w:szCs w:val="24"/>
        </w:rPr>
        <w:t>s</w:t>
      </w:r>
      <w:r w:rsidR="00A51870">
        <w:rPr>
          <w:rFonts w:asciiTheme="minorHAnsi" w:hAnsiTheme="minorHAnsi"/>
          <w:sz w:val="24"/>
          <w:szCs w:val="24"/>
        </w:rPr>
        <w:t xml:space="preserve"> to</w:t>
      </w:r>
      <w:r w:rsidRPr="00A51870">
        <w:rPr>
          <w:rFonts w:asciiTheme="minorHAnsi" w:hAnsiTheme="minorHAnsi"/>
          <w:sz w:val="24"/>
          <w:szCs w:val="24"/>
        </w:rPr>
        <w:t xml:space="preserve"> othe</w:t>
      </w:r>
      <w:r w:rsidR="00CD4E63">
        <w:rPr>
          <w:rFonts w:asciiTheme="minorHAnsi" w:hAnsiTheme="minorHAnsi"/>
          <w:sz w:val="24"/>
          <w:szCs w:val="24"/>
        </w:rPr>
        <w:t>r terms. Derrida’s doubling of “Beyond the Pleasure Principle”</w:t>
      </w:r>
      <w:r w:rsidRPr="00A51870">
        <w:rPr>
          <w:rFonts w:asciiTheme="minorHAnsi" w:hAnsiTheme="minorHAnsi"/>
          <w:sz w:val="24"/>
          <w:szCs w:val="24"/>
        </w:rPr>
        <w:t xml:space="preserve"> </w:t>
      </w:r>
      <w:r w:rsidR="004A6134">
        <w:rPr>
          <w:rFonts w:asciiTheme="minorHAnsi" w:hAnsiTheme="minorHAnsi"/>
          <w:sz w:val="24"/>
          <w:szCs w:val="24"/>
        </w:rPr>
        <w:t>travels</w:t>
      </w:r>
      <w:r w:rsidRPr="00A51870">
        <w:rPr>
          <w:rFonts w:asciiTheme="minorHAnsi" w:hAnsiTheme="minorHAnsi"/>
          <w:sz w:val="24"/>
          <w:szCs w:val="24"/>
        </w:rPr>
        <w:t xml:space="preserve"> under the </w:t>
      </w:r>
      <w:r w:rsidR="00A51870">
        <w:rPr>
          <w:rFonts w:asciiTheme="minorHAnsi" w:hAnsiTheme="minorHAnsi"/>
          <w:sz w:val="24"/>
          <w:szCs w:val="24"/>
        </w:rPr>
        <w:t>title</w:t>
      </w:r>
      <w:r w:rsidR="00CD4E63">
        <w:rPr>
          <w:rFonts w:asciiTheme="minorHAnsi" w:hAnsiTheme="minorHAnsi"/>
          <w:sz w:val="24"/>
          <w:szCs w:val="24"/>
        </w:rPr>
        <w:t xml:space="preserve"> of “To Speculate-on ‘Freud’”</w:t>
      </w:r>
      <w:r w:rsidRPr="00A51870">
        <w:rPr>
          <w:rFonts w:asciiTheme="minorHAnsi" w:hAnsiTheme="minorHAnsi"/>
          <w:sz w:val="24"/>
          <w:szCs w:val="24"/>
        </w:rPr>
        <w:t xml:space="preserve">. </w:t>
      </w:r>
      <w:r w:rsidR="00073302">
        <w:rPr>
          <w:rFonts w:asciiTheme="minorHAnsi" w:hAnsiTheme="minorHAnsi"/>
          <w:sz w:val="24"/>
          <w:szCs w:val="24"/>
        </w:rPr>
        <w:t>S</w:t>
      </w:r>
      <w:r w:rsidR="00E101C9">
        <w:rPr>
          <w:rFonts w:asciiTheme="minorHAnsi" w:hAnsiTheme="minorHAnsi"/>
          <w:sz w:val="24"/>
          <w:szCs w:val="24"/>
        </w:rPr>
        <w:t xml:space="preserve">F </w:t>
      </w:r>
      <w:r w:rsidR="00A825BA">
        <w:rPr>
          <w:rFonts w:asciiTheme="minorHAnsi" w:hAnsiTheme="minorHAnsi"/>
          <w:sz w:val="24"/>
          <w:szCs w:val="24"/>
        </w:rPr>
        <w:t>might</w:t>
      </w:r>
      <w:r w:rsidR="00E101C9">
        <w:rPr>
          <w:rFonts w:asciiTheme="minorHAnsi" w:hAnsiTheme="minorHAnsi"/>
          <w:sz w:val="24"/>
          <w:szCs w:val="24"/>
        </w:rPr>
        <w:t xml:space="preserve"> thus </w:t>
      </w:r>
      <w:r w:rsidR="00A825BA">
        <w:rPr>
          <w:rFonts w:asciiTheme="minorHAnsi" w:hAnsiTheme="minorHAnsi"/>
          <w:sz w:val="24"/>
          <w:szCs w:val="24"/>
        </w:rPr>
        <w:t xml:space="preserve">claim </w:t>
      </w:r>
      <w:r w:rsidR="00E101C9">
        <w:rPr>
          <w:rFonts w:asciiTheme="minorHAnsi" w:hAnsiTheme="minorHAnsi"/>
          <w:sz w:val="24"/>
          <w:szCs w:val="24"/>
        </w:rPr>
        <w:t xml:space="preserve">Speculation on ‘Freud’. </w:t>
      </w:r>
      <w:r w:rsidR="00A1316B" w:rsidRPr="00A51870">
        <w:rPr>
          <w:rFonts w:asciiTheme="minorHAnsi" w:hAnsiTheme="minorHAnsi"/>
          <w:sz w:val="24"/>
          <w:szCs w:val="24"/>
        </w:rPr>
        <w:t xml:space="preserve">Treading cautiously in the troubled steps of Freud, Derrida remarks on Freud’s resistance to </w:t>
      </w:r>
      <w:r w:rsidR="00F83B00" w:rsidRPr="00A51870">
        <w:rPr>
          <w:rFonts w:asciiTheme="minorHAnsi" w:hAnsiTheme="minorHAnsi"/>
          <w:sz w:val="24"/>
          <w:szCs w:val="24"/>
        </w:rPr>
        <w:t>philosophy, on his hesitation regarding possible debts th</w:t>
      </w:r>
      <w:r w:rsidR="00013AF4">
        <w:rPr>
          <w:rFonts w:asciiTheme="minorHAnsi" w:hAnsiTheme="minorHAnsi"/>
          <w:sz w:val="24"/>
          <w:szCs w:val="24"/>
        </w:rPr>
        <w:t xml:space="preserve">at psychoanalysis might incur, </w:t>
      </w:r>
      <w:r w:rsidR="00A51870" w:rsidRPr="00A51870">
        <w:rPr>
          <w:rFonts w:asciiTheme="minorHAnsi" w:hAnsiTheme="minorHAnsi"/>
          <w:sz w:val="24"/>
          <w:szCs w:val="24"/>
        </w:rPr>
        <w:t xml:space="preserve">and in particular on what might </w:t>
      </w:r>
      <w:r w:rsidR="004A6134">
        <w:rPr>
          <w:rFonts w:asciiTheme="minorHAnsi" w:hAnsiTheme="minorHAnsi"/>
          <w:sz w:val="24"/>
          <w:szCs w:val="24"/>
        </w:rPr>
        <w:t>be smuggled in</w:t>
      </w:r>
      <w:r w:rsidR="00A51870" w:rsidRPr="00A51870">
        <w:rPr>
          <w:rFonts w:asciiTheme="minorHAnsi" w:hAnsiTheme="minorHAnsi"/>
          <w:sz w:val="24"/>
          <w:szCs w:val="24"/>
        </w:rPr>
        <w:t xml:space="preserve"> under the name of </w:t>
      </w:r>
      <w:r w:rsidR="00A1316B" w:rsidRPr="00A51870">
        <w:rPr>
          <w:rFonts w:asciiTheme="minorHAnsi" w:hAnsiTheme="minorHAnsi"/>
          <w:sz w:val="24"/>
          <w:szCs w:val="24"/>
        </w:rPr>
        <w:t>‘speculation’</w:t>
      </w:r>
      <w:r w:rsidR="00326369">
        <w:rPr>
          <w:rFonts w:asciiTheme="minorHAnsi" w:hAnsiTheme="minorHAnsi"/>
          <w:sz w:val="24"/>
          <w:szCs w:val="24"/>
        </w:rPr>
        <w:t xml:space="preserve"> (such as the dialectical tradition)</w:t>
      </w:r>
      <w:r w:rsidR="00A51870" w:rsidRPr="00A51870">
        <w:rPr>
          <w:rFonts w:asciiTheme="minorHAnsi" w:hAnsiTheme="minorHAnsi"/>
          <w:sz w:val="24"/>
          <w:szCs w:val="24"/>
        </w:rPr>
        <w:t>.</w:t>
      </w:r>
      <w:r w:rsidR="004229D9">
        <w:rPr>
          <w:rFonts w:asciiTheme="minorHAnsi" w:hAnsiTheme="minorHAnsi"/>
          <w:sz w:val="24"/>
          <w:szCs w:val="24"/>
        </w:rPr>
        <w:t xml:space="preserve"> </w:t>
      </w:r>
      <w:r w:rsidR="00E101C9">
        <w:rPr>
          <w:rFonts w:asciiTheme="minorHAnsi" w:hAnsiTheme="minorHAnsi"/>
          <w:sz w:val="24"/>
          <w:szCs w:val="24"/>
        </w:rPr>
        <w:t>Philosophy is of ‘no concern’</w:t>
      </w:r>
      <w:r w:rsidR="005E1D67">
        <w:rPr>
          <w:rFonts w:asciiTheme="minorHAnsi" w:hAnsiTheme="minorHAnsi"/>
          <w:sz w:val="24"/>
          <w:szCs w:val="24"/>
        </w:rPr>
        <w:t>, apparently</w:t>
      </w:r>
      <w:r w:rsidR="00E101C9">
        <w:rPr>
          <w:rFonts w:asciiTheme="minorHAnsi" w:hAnsiTheme="minorHAnsi"/>
          <w:sz w:val="24"/>
          <w:szCs w:val="24"/>
        </w:rPr>
        <w:t>.</w:t>
      </w:r>
      <w:r w:rsidR="00E101C9">
        <w:rPr>
          <w:rStyle w:val="EndnoteReference"/>
          <w:rFonts w:asciiTheme="minorHAnsi" w:hAnsiTheme="minorHAnsi"/>
          <w:sz w:val="24"/>
          <w:szCs w:val="24"/>
        </w:rPr>
        <w:endnoteReference w:id="12"/>
      </w:r>
      <w:r w:rsidR="00E101C9">
        <w:rPr>
          <w:rFonts w:asciiTheme="minorHAnsi" w:hAnsiTheme="minorHAnsi"/>
          <w:sz w:val="24"/>
          <w:szCs w:val="24"/>
        </w:rPr>
        <w:t xml:space="preserve"> If it was, and if it </w:t>
      </w:r>
      <w:r w:rsidR="00E45B3B">
        <w:rPr>
          <w:rFonts w:asciiTheme="minorHAnsi" w:hAnsiTheme="minorHAnsi"/>
          <w:sz w:val="24"/>
          <w:szCs w:val="24"/>
        </w:rPr>
        <w:t>did have</w:t>
      </w:r>
      <w:r w:rsidR="00E101C9">
        <w:rPr>
          <w:rFonts w:asciiTheme="minorHAnsi" w:hAnsiTheme="minorHAnsi"/>
          <w:sz w:val="24"/>
          <w:szCs w:val="24"/>
        </w:rPr>
        <w:t xml:space="preserve"> something to say about pleasure, Freud would ‘readily express [his] gratitude’. </w:t>
      </w:r>
      <w:r w:rsidR="00014FAA">
        <w:rPr>
          <w:rStyle w:val="EndnoteReference"/>
          <w:rFonts w:asciiTheme="minorHAnsi" w:hAnsiTheme="minorHAnsi"/>
          <w:sz w:val="24"/>
          <w:szCs w:val="24"/>
        </w:rPr>
        <w:endnoteReference w:id="13"/>
      </w:r>
      <w:r w:rsidR="00E101C9">
        <w:rPr>
          <w:rFonts w:asciiTheme="minorHAnsi" w:hAnsiTheme="minorHAnsi"/>
          <w:sz w:val="24"/>
          <w:szCs w:val="24"/>
        </w:rPr>
        <w:t xml:space="preserve"> </w:t>
      </w:r>
      <w:r w:rsidR="00D03F61">
        <w:rPr>
          <w:rFonts w:asciiTheme="minorHAnsi" w:hAnsiTheme="minorHAnsi"/>
          <w:sz w:val="24"/>
          <w:szCs w:val="24"/>
        </w:rPr>
        <w:t>As things stand</w:t>
      </w:r>
      <w:r w:rsidR="00B57037">
        <w:rPr>
          <w:rFonts w:asciiTheme="minorHAnsi" w:hAnsiTheme="minorHAnsi"/>
          <w:sz w:val="24"/>
          <w:szCs w:val="24"/>
        </w:rPr>
        <w:t>, Freud feels free to speculate upon a cleared ground,</w:t>
      </w:r>
      <w:r w:rsidR="00D03F61">
        <w:rPr>
          <w:rFonts w:asciiTheme="minorHAnsi" w:hAnsiTheme="minorHAnsi"/>
          <w:sz w:val="24"/>
          <w:szCs w:val="24"/>
        </w:rPr>
        <w:t xml:space="preserve"> without influence and thus without debt. For Derrida,</w:t>
      </w:r>
      <w:r w:rsidR="00C70388">
        <w:rPr>
          <w:rFonts w:asciiTheme="minorHAnsi" w:hAnsiTheme="minorHAnsi"/>
          <w:sz w:val="24"/>
          <w:szCs w:val="24"/>
        </w:rPr>
        <w:t xml:space="preserve"> Freud’s </w:t>
      </w:r>
      <w:r w:rsidR="00733ABD">
        <w:rPr>
          <w:rFonts w:asciiTheme="minorHAnsi" w:hAnsiTheme="minorHAnsi"/>
          <w:sz w:val="24"/>
          <w:szCs w:val="24"/>
        </w:rPr>
        <w:t>auto-</w:t>
      </w:r>
      <w:r w:rsidR="00C70388">
        <w:rPr>
          <w:rFonts w:asciiTheme="minorHAnsi" w:hAnsiTheme="minorHAnsi"/>
          <w:sz w:val="24"/>
          <w:szCs w:val="24"/>
        </w:rPr>
        <w:t xml:space="preserve">acquittal serves the purpose of allowing </w:t>
      </w:r>
      <w:r w:rsidR="00373DE5">
        <w:rPr>
          <w:rFonts w:asciiTheme="minorHAnsi" w:hAnsiTheme="minorHAnsi"/>
          <w:sz w:val="24"/>
          <w:szCs w:val="24"/>
        </w:rPr>
        <w:t xml:space="preserve">for the inauguration of </w:t>
      </w:r>
      <w:r w:rsidR="00C70388">
        <w:rPr>
          <w:rFonts w:asciiTheme="minorHAnsi" w:hAnsiTheme="minorHAnsi"/>
          <w:sz w:val="24"/>
          <w:szCs w:val="24"/>
        </w:rPr>
        <w:t xml:space="preserve">the </w:t>
      </w:r>
      <w:r w:rsidR="00E45B3B">
        <w:rPr>
          <w:rFonts w:asciiTheme="minorHAnsi" w:hAnsiTheme="minorHAnsi"/>
          <w:sz w:val="24"/>
          <w:szCs w:val="24"/>
        </w:rPr>
        <w:t xml:space="preserve">free-standing </w:t>
      </w:r>
      <w:r w:rsidR="00C70388">
        <w:rPr>
          <w:rFonts w:asciiTheme="minorHAnsi" w:hAnsiTheme="minorHAnsi"/>
          <w:sz w:val="24"/>
          <w:szCs w:val="24"/>
        </w:rPr>
        <w:t>house of ‘Freud’</w:t>
      </w:r>
      <w:r w:rsidR="00373DE5">
        <w:rPr>
          <w:rFonts w:asciiTheme="minorHAnsi" w:hAnsiTheme="minorHAnsi"/>
          <w:sz w:val="24"/>
          <w:szCs w:val="24"/>
        </w:rPr>
        <w:t>: psychoanalysis properly begins wi</w:t>
      </w:r>
      <w:r w:rsidR="00073302">
        <w:rPr>
          <w:rFonts w:asciiTheme="minorHAnsi" w:hAnsiTheme="minorHAnsi"/>
          <w:sz w:val="24"/>
          <w:szCs w:val="24"/>
        </w:rPr>
        <w:t>th the name of Sigmund Freud, S</w:t>
      </w:r>
      <w:r w:rsidR="00373DE5">
        <w:rPr>
          <w:rFonts w:asciiTheme="minorHAnsi" w:hAnsiTheme="minorHAnsi"/>
          <w:sz w:val="24"/>
          <w:szCs w:val="24"/>
        </w:rPr>
        <w:t>F.</w:t>
      </w:r>
      <w:r w:rsidR="006F7535">
        <w:rPr>
          <w:rFonts w:asciiTheme="minorHAnsi" w:hAnsiTheme="minorHAnsi"/>
          <w:sz w:val="24"/>
          <w:szCs w:val="24"/>
        </w:rPr>
        <w:t xml:space="preserve"> </w:t>
      </w:r>
      <w:r w:rsidR="00073302">
        <w:rPr>
          <w:rFonts w:asciiTheme="minorHAnsi" w:hAnsiTheme="minorHAnsi"/>
          <w:sz w:val="24"/>
          <w:szCs w:val="24"/>
        </w:rPr>
        <w:t>SF betting on S</w:t>
      </w:r>
      <w:r w:rsidR="003B7739">
        <w:rPr>
          <w:rFonts w:asciiTheme="minorHAnsi" w:hAnsiTheme="minorHAnsi"/>
          <w:sz w:val="24"/>
          <w:szCs w:val="24"/>
        </w:rPr>
        <w:t xml:space="preserve">F. </w:t>
      </w:r>
      <w:r w:rsidR="006F7535">
        <w:rPr>
          <w:rFonts w:asciiTheme="minorHAnsi" w:hAnsiTheme="minorHAnsi"/>
          <w:sz w:val="24"/>
          <w:szCs w:val="24"/>
        </w:rPr>
        <w:t xml:space="preserve">Interweaving the </w:t>
      </w:r>
      <w:r w:rsidR="00DB30DC">
        <w:rPr>
          <w:rFonts w:asciiTheme="minorHAnsi" w:hAnsiTheme="minorHAnsi"/>
          <w:sz w:val="24"/>
          <w:szCs w:val="24"/>
        </w:rPr>
        <w:t xml:space="preserve">emergence of the </w:t>
      </w:r>
      <w:r w:rsidR="006F7535">
        <w:rPr>
          <w:rFonts w:asciiTheme="minorHAnsi" w:hAnsiTheme="minorHAnsi"/>
          <w:sz w:val="24"/>
          <w:szCs w:val="24"/>
        </w:rPr>
        <w:t xml:space="preserve">field and </w:t>
      </w:r>
      <w:r w:rsidR="00DB30DC">
        <w:rPr>
          <w:rFonts w:asciiTheme="minorHAnsi" w:hAnsiTheme="minorHAnsi"/>
          <w:sz w:val="24"/>
          <w:szCs w:val="24"/>
        </w:rPr>
        <w:t>the legacy of its</w:t>
      </w:r>
      <w:r w:rsidR="006F7535">
        <w:rPr>
          <w:rFonts w:asciiTheme="minorHAnsi" w:hAnsiTheme="minorHAnsi"/>
          <w:sz w:val="24"/>
          <w:szCs w:val="24"/>
        </w:rPr>
        <w:t xml:space="preserve"> progenitor</w:t>
      </w:r>
      <w:r w:rsidR="00014FAA">
        <w:rPr>
          <w:rFonts w:asciiTheme="minorHAnsi" w:hAnsiTheme="minorHAnsi"/>
          <w:sz w:val="24"/>
          <w:szCs w:val="24"/>
        </w:rPr>
        <w:t xml:space="preserve"> – </w:t>
      </w:r>
      <w:r w:rsidR="00476369">
        <w:rPr>
          <w:rFonts w:asciiTheme="minorHAnsi" w:hAnsiTheme="minorHAnsi"/>
          <w:sz w:val="24"/>
          <w:szCs w:val="24"/>
        </w:rPr>
        <w:t>taking shape beneath</w:t>
      </w:r>
      <w:r w:rsidR="00014FAA">
        <w:rPr>
          <w:rFonts w:asciiTheme="minorHAnsi" w:hAnsiTheme="minorHAnsi"/>
          <w:sz w:val="24"/>
          <w:szCs w:val="24"/>
        </w:rPr>
        <w:t xml:space="preserve"> the ‘same roof’</w:t>
      </w:r>
      <w:r w:rsidR="001324FA">
        <w:rPr>
          <w:rFonts w:asciiTheme="minorHAnsi" w:hAnsiTheme="minorHAnsi"/>
          <w:sz w:val="24"/>
          <w:szCs w:val="24"/>
        </w:rPr>
        <w:t>, “Beyond the Pleasure Principle”</w:t>
      </w:r>
      <w:r w:rsidR="006F7535">
        <w:rPr>
          <w:rFonts w:asciiTheme="minorHAnsi" w:hAnsiTheme="minorHAnsi"/>
          <w:sz w:val="24"/>
          <w:szCs w:val="24"/>
        </w:rPr>
        <w:t xml:space="preserve"> becomes autobiography by another name.</w:t>
      </w:r>
      <w:r w:rsidR="00014FAA">
        <w:rPr>
          <w:rStyle w:val="EndnoteReference"/>
          <w:rFonts w:asciiTheme="minorHAnsi" w:hAnsiTheme="minorHAnsi"/>
          <w:sz w:val="24"/>
          <w:szCs w:val="24"/>
        </w:rPr>
        <w:endnoteReference w:id="14"/>
      </w:r>
      <w:r w:rsidR="00A416DA">
        <w:rPr>
          <w:rFonts w:asciiTheme="minorHAnsi" w:hAnsiTheme="minorHAnsi"/>
          <w:sz w:val="24"/>
          <w:szCs w:val="24"/>
        </w:rPr>
        <w:t xml:space="preserve"> </w:t>
      </w:r>
      <w:r w:rsidR="00536000">
        <w:rPr>
          <w:rFonts w:asciiTheme="minorHAnsi" w:hAnsiTheme="minorHAnsi"/>
          <w:sz w:val="24"/>
          <w:szCs w:val="24"/>
        </w:rPr>
        <w:t>Perhaps</w:t>
      </w:r>
      <w:r w:rsidR="00073302">
        <w:rPr>
          <w:rFonts w:asciiTheme="minorHAnsi" w:hAnsiTheme="minorHAnsi"/>
          <w:sz w:val="24"/>
          <w:szCs w:val="24"/>
        </w:rPr>
        <w:t xml:space="preserve"> that other name is S</w:t>
      </w:r>
      <w:r w:rsidR="00BD0413">
        <w:rPr>
          <w:rFonts w:asciiTheme="minorHAnsi" w:hAnsiTheme="minorHAnsi"/>
          <w:sz w:val="24"/>
          <w:szCs w:val="24"/>
        </w:rPr>
        <w:t xml:space="preserve">F, or the </w:t>
      </w:r>
      <w:r w:rsidR="0097231E">
        <w:rPr>
          <w:rFonts w:asciiTheme="minorHAnsi" w:hAnsiTheme="minorHAnsi"/>
          <w:sz w:val="24"/>
          <w:szCs w:val="24"/>
        </w:rPr>
        <w:t xml:space="preserve">constitutive </w:t>
      </w:r>
      <w:r w:rsidR="00BD0413">
        <w:rPr>
          <w:rFonts w:asciiTheme="minorHAnsi" w:hAnsiTheme="minorHAnsi"/>
          <w:sz w:val="24"/>
          <w:szCs w:val="24"/>
        </w:rPr>
        <w:t>‘becoming literary of the lite</w:t>
      </w:r>
      <w:r w:rsidR="001324FA">
        <w:rPr>
          <w:rFonts w:asciiTheme="minorHAnsi" w:hAnsiTheme="minorHAnsi"/>
          <w:sz w:val="24"/>
          <w:szCs w:val="24"/>
        </w:rPr>
        <w:t>ral’ that Derrida advocated in “</w:t>
      </w:r>
      <w:r w:rsidR="00BD0413">
        <w:rPr>
          <w:rFonts w:asciiTheme="minorHAnsi" w:hAnsiTheme="minorHAnsi"/>
          <w:sz w:val="24"/>
          <w:szCs w:val="24"/>
        </w:rPr>
        <w:t>Freud and the Scene of Writing.</w:t>
      </w:r>
      <w:r w:rsidR="001324FA">
        <w:rPr>
          <w:rFonts w:asciiTheme="minorHAnsi" w:hAnsiTheme="minorHAnsi"/>
          <w:sz w:val="24"/>
          <w:szCs w:val="24"/>
        </w:rPr>
        <w:t>”</w:t>
      </w:r>
      <w:r w:rsidR="00BD0413">
        <w:rPr>
          <w:rStyle w:val="EndnoteReference"/>
          <w:rFonts w:asciiTheme="minorHAnsi" w:hAnsiTheme="minorHAnsi"/>
          <w:sz w:val="24"/>
          <w:szCs w:val="24"/>
        </w:rPr>
        <w:endnoteReference w:id="15"/>
      </w:r>
      <w:r w:rsidR="00BD0413">
        <w:rPr>
          <w:rFonts w:asciiTheme="minorHAnsi" w:hAnsiTheme="minorHAnsi"/>
          <w:sz w:val="24"/>
          <w:szCs w:val="24"/>
        </w:rPr>
        <w:t xml:space="preserve"> </w:t>
      </w:r>
      <w:r w:rsidR="00326369">
        <w:rPr>
          <w:rFonts w:asciiTheme="minorHAnsi" w:hAnsiTheme="minorHAnsi"/>
          <w:sz w:val="24"/>
          <w:szCs w:val="24"/>
        </w:rPr>
        <w:t>If the ‘greater</w:t>
      </w:r>
      <w:r w:rsidR="003B7739">
        <w:rPr>
          <w:rFonts w:asciiTheme="minorHAnsi" w:hAnsiTheme="minorHAnsi"/>
          <w:sz w:val="24"/>
          <w:szCs w:val="24"/>
        </w:rPr>
        <w:t xml:space="preserve"> pleasure </w:t>
      </w:r>
      <w:r w:rsidR="00326369">
        <w:rPr>
          <w:rFonts w:asciiTheme="minorHAnsi" w:hAnsiTheme="minorHAnsi"/>
          <w:sz w:val="24"/>
          <w:szCs w:val="24"/>
        </w:rPr>
        <w:t>was attached to the second act,</w:t>
      </w:r>
      <w:r w:rsidR="003B7739">
        <w:rPr>
          <w:rFonts w:asciiTheme="minorHAnsi" w:hAnsiTheme="minorHAnsi"/>
          <w:sz w:val="24"/>
          <w:szCs w:val="24"/>
        </w:rPr>
        <w:t>’</w:t>
      </w:r>
      <w:r w:rsidR="00326369">
        <w:rPr>
          <w:rFonts w:asciiTheme="minorHAnsi" w:hAnsiTheme="minorHAnsi"/>
          <w:sz w:val="24"/>
          <w:szCs w:val="24"/>
        </w:rPr>
        <w:t xml:space="preserve"> as Freud remarks regarding his nephew’s infamous game,</w:t>
      </w:r>
      <w:r w:rsidR="003B7739">
        <w:rPr>
          <w:rFonts w:asciiTheme="minorHAnsi" w:hAnsiTheme="minorHAnsi"/>
          <w:sz w:val="24"/>
          <w:szCs w:val="24"/>
        </w:rPr>
        <w:t xml:space="preserve"> that </w:t>
      </w:r>
      <w:r w:rsidR="005561CB">
        <w:rPr>
          <w:rFonts w:asciiTheme="minorHAnsi" w:hAnsiTheme="minorHAnsi"/>
          <w:sz w:val="24"/>
          <w:szCs w:val="24"/>
        </w:rPr>
        <w:t xml:space="preserve">second act or </w:t>
      </w:r>
      <w:r w:rsidR="003B7739">
        <w:rPr>
          <w:rFonts w:asciiTheme="minorHAnsi" w:hAnsiTheme="minorHAnsi"/>
          <w:sz w:val="24"/>
          <w:szCs w:val="24"/>
        </w:rPr>
        <w:t xml:space="preserve">return is both the rewarding logic of </w:t>
      </w:r>
      <w:r w:rsidR="003B7739" w:rsidRPr="00D41336">
        <w:rPr>
          <w:rFonts w:asciiTheme="minorHAnsi" w:hAnsiTheme="minorHAnsi"/>
          <w:i/>
          <w:sz w:val="24"/>
          <w:szCs w:val="24"/>
        </w:rPr>
        <w:t>re</w:t>
      </w:r>
      <w:r w:rsidR="003B7739">
        <w:rPr>
          <w:rFonts w:asciiTheme="minorHAnsi" w:hAnsiTheme="minorHAnsi"/>
          <w:sz w:val="24"/>
          <w:szCs w:val="24"/>
        </w:rPr>
        <w:t xml:space="preserve">presentation for which, in Derrida’s reading, </w:t>
      </w:r>
      <w:r w:rsidR="003B7739" w:rsidRPr="003B7739">
        <w:rPr>
          <w:rFonts w:asciiTheme="minorHAnsi" w:hAnsiTheme="minorHAnsi"/>
          <w:i/>
          <w:sz w:val="24"/>
          <w:szCs w:val="24"/>
        </w:rPr>
        <w:t>fort-da</w:t>
      </w:r>
      <w:r w:rsidR="003B7739">
        <w:rPr>
          <w:rFonts w:asciiTheme="minorHAnsi" w:hAnsiTheme="minorHAnsi"/>
          <w:sz w:val="24"/>
          <w:szCs w:val="24"/>
        </w:rPr>
        <w:t xml:space="preserve"> is the minimal unit, and the dangerous revival of the inorganic.</w:t>
      </w:r>
      <w:r w:rsidR="003B7739">
        <w:rPr>
          <w:rStyle w:val="EndnoteReference"/>
          <w:rFonts w:asciiTheme="minorHAnsi" w:hAnsiTheme="minorHAnsi"/>
          <w:sz w:val="24"/>
          <w:szCs w:val="24"/>
        </w:rPr>
        <w:endnoteReference w:id="16"/>
      </w:r>
      <w:r w:rsidR="003B7739">
        <w:rPr>
          <w:rFonts w:asciiTheme="minorHAnsi" w:hAnsiTheme="minorHAnsi"/>
          <w:sz w:val="24"/>
          <w:szCs w:val="24"/>
        </w:rPr>
        <w:t xml:space="preserve"> For t</w:t>
      </w:r>
      <w:r w:rsidR="00A416DA">
        <w:rPr>
          <w:rFonts w:asciiTheme="minorHAnsi" w:hAnsiTheme="minorHAnsi"/>
          <w:sz w:val="24"/>
          <w:szCs w:val="24"/>
        </w:rPr>
        <w:t>he</w:t>
      </w:r>
      <w:r w:rsidR="002D69B7">
        <w:rPr>
          <w:rFonts w:asciiTheme="minorHAnsi" w:hAnsiTheme="minorHAnsi"/>
          <w:sz w:val="24"/>
          <w:szCs w:val="24"/>
        </w:rPr>
        <w:t xml:space="preserve"> uncanny life of psychoanalysis</w:t>
      </w:r>
      <w:r w:rsidR="00A416DA">
        <w:rPr>
          <w:rFonts w:asciiTheme="minorHAnsi" w:hAnsiTheme="minorHAnsi"/>
          <w:sz w:val="24"/>
          <w:szCs w:val="24"/>
        </w:rPr>
        <w:t xml:space="preserve"> is such that the </w:t>
      </w:r>
      <w:r w:rsidR="00A416DA" w:rsidRPr="00E00A15">
        <w:rPr>
          <w:rFonts w:asciiTheme="minorHAnsi" w:hAnsiTheme="minorHAnsi"/>
          <w:sz w:val="24"/>
          <w:szCs w:val="24"/>
        </w:rPr>
        <w:t xml:space="preserve">devil of the death drive can never be driven out and </w:t>
      </w:r>
      <w:r w:rsidR="004C5C48" w:rsidRPr="00E00A15">
        <w:rPr>
          <w:rFonts w:asciiTheme="minorHAnsi" w:hAnsiTheme="minorHAnsi"/>
          <w:sz w:val="24"/>
          <w:szCs w:val="24"/>
        </w:rPr>
        <w:t xml:space="preserve">thus </w:t>
      </w:r>
      <w:r w:rsidR="00A416DA" w:rsidRPr="00E00A15">
        <w:rPr>
          <w:rFonts w:asciiTheme="minorHAnsi" w:hAnsiTheme="minorHAnsi"/>
          <w:sz w:val="24"/>
          <w:szCs w:val="24"/>
        </w:rPr>
        <w:t>this autobiographical gesture is also auto-thanatographical.</w:t>
      </w:r>
      <w:r w:rsidR="00A416DA" w:rsidRPr="00E00A15">
        <w:rPr>
          <w:rStyle w:val="EndnoteReference"/>
          <w:rFonts w:asciiTheme="minorHAnsi" w:hAnsiTheme="minorHAnsi"/>
          <w:sz w:val="24"/>
          <w:szCs w:val="24"/>
        </w:rPr>
        <w:endnoteReference w:id="17"/>
      </w:r>
      <w:r w:rsidR="00745BBC">
        <w:rPr>
          <w:rFonts w:asciiTheme="minorHAnsi" w:hAnsiTheme="minorHAnsi"/>
          <w:sz w:val="24"/>
          <w:szCs w:val="24"/>
        </w:rPr>
        <w:t xml:space="preserve"> The ensuing two-step of</w:t>
      </w:r>
      <w:r w:rsidR="00EC53A0">
        <w:rPr>
          <w:rFonts w:asciiTheme="minorHAnsi" w:hAnsiTheme="minorHAnsi"/>
          <w:sz w:val="24"/>
          <w:szCs w:val="24"/>
        </w:rPr>
        <w:t xml:space="preserve"> what Derrida casts as ‘</w:t>
      </w:r>
      <w:r w:rsidR="00DC4D4E">
        <w:rPr>
          <w:rFonts w:asciiTheme="minorHAnsi" w:hAnsiTheme="minorHAnsi"/>
          <w:sz w:val="24"/>
          <w:szCs w:val="24"/>
        </w:rPr>
        <w:t>life death</w:t>
      </w:r>
      <w:r w:rsidR="00EC53A0">
        <w:rPr>
          <w:rFonts w:asciiTheme="minorHAnsi" w:hAnsiTheme="minorHAnsi"/>
          <w:sz w:val="24"/>
          <w:szCs w:val="24"/>
        </w:rPr>
        <w:t>,’ without diacritical instruction</w:t>
      </w:r>
      <w:r w:rsidR="002D69B7">
        <w:rPr>
          <w:rFonts w:asciiTheme="minorHAnsi" w:hAnsiTheme="minorHAnsi"/>
          <w:sz w:val="24"/>
          <w:szCs w:val="24"/>
        </w:rPr>
        <w:t xml:space="preserve"> or necessarily successive pattern of </w:t>
      </w:r>
      <w:r w:rsidR="002D69B7" w:rsidRPr="002D69B7">
        <w:rPr>
          <w:rFonts w:asciiTheme="minorHAnsi" w:hAnsiTheme="minorHAnsi"/>
          <w:i/>
          <w:sz w:val="24"/>
          <w:szCs w:val="24"/>
        </w:rPr>
        <w:t>fort</w:t>
      </w:r>
      <w:r w:rsidR="002D69B7">
        <w:rPr>
          <w:rFonts w:asciiTheme="minorHAnsi" w:hAnsiTheme="minorHAnsi"/>
          <w:sz w:val="24"/>
          <w:szCs w:val="24"/>
        </w:rPr>
        <w:t xml:space="preserve"> then </w:t>
      </w:r>
      <w:r w:rsidR="002D69B7" w:rsidRPr="002D69B7">
        <w:rPr>
          <w:rFonts w:asciiTheme="minorHAnsi" w:hAnsiTheme="minorHAnsi"/>
          <w:i/>
          <w:sz w:val="24"/>
          <w:szCs w:val="24"/>
        </w:rPr>
        <w:t>da</w:t>
      </w:r>
      <w:r w:rsidR="00EC53A0">
        <w:rPr>
          <w:rFonts w:asciiTheme="minorHAnsi" w:hAnsiTheme="minorHAnsi"/>
          <w:sz w:val="24"/>
          <w:szCs w:val="24"/>
        </w:rPr>
        <w:t>,</w:t>
      </w:r>
      <w:r w:rsidR="00DC4D4E">
        <w:rPr>
          <w:rFonts w:asciiTheme="minorHAnsi" w:hAnsiTheme="minorHAnsi"/>
          <w:sz w:val="24"/>
          <w:szCs w:val="24"/>
        </w:rPr>
        <w:t xml:space="preserve"> troubles the securing of any new position</w:t>
      </w:r>
      <w:r w:rsidR="00476369">
        <w:rPr>
          <w:rFonts w:asciiTheme="minorHAnsi" w:hAnsiTheme="minorHAnsi"/>
          <w:sz w:val="24"/>
          <w:szCs w:val="24"/>
        </w:rPr>
        <w:t>. If ‘beyond’ there be</w:t>
      </w:r>
      <w:r w:rsidR="00F66A0D">
        <w:rPr>
          <w:rFonts w:asciiTheme="minorHAnsi" w:hAnsiTheme="minorHAnsi"/>
          <w:sz w:val="24"/>
          <w:szCs w:val="24"/>
        </w:rPr>
        <w:t>, it is of a wholly other order.</w:t>
      </w:r>
      <w:r w:rsidR="00A81509">
        <w:rPr>
          <w:rStyle w:val="EndnoteReference"/>
          <w:rFonts w:asciiTheme="minorHAnsi" w:hAnsiTheme="minorHAnsi"/>
          <w:sz w:val="24"/>
          <w:szCs w:val="24"/>
        </w:rPr>
        <w:endnoteReference w:id="18"/>
      </w:r>
      <w:r w:rsidR="00F66A0D">
        <w:rPr>
          <w:rFonts w:asciiTheme="minorHAnsi" w:hAnsiTheme="minorHAnsi"/>
          <w:sz w:val="24"/>
          <w:szCs w:val="24"/>
        </w:rPr>
        <w:t xml:space="preserve"> I</w:t>
      </w:r>
      <w:r w:rsidR="00F2632A">
        <w:rPr>
          <w:rFonts w:asciiTheme="minorHAnsi" w:hAnsiTheme="minorHAnsi"/>
          <w:sz w:val="24"/>
          <w:szCs w:val="24"/>
        </w:rPr>
        <w:t xml:space="preserve">ndeed Derrida refers to Freud’s text not as a thesis </w:t>
      </w:r>
      <w:r w:rsidR="00013155">
        <w:rPr>
          <w:rFonts w:asciiTheme="minorHAnsi" w:hAnsiTheme="minorHAnsi"/>
          <w:sz w:val="24"/>
          <w:szCs w:val="24"/>
        </w:rPr>
        <w:t>and not as antithesis</w:t>
      </w:r>
      <w:r w:rsidR="00476369">
        <w:rPr>
          <w:rFonts w:asciiTheme="minorHAnsi" w:hAnsiTheme="minorHAnsi"/>
          <w:sz w:val="24"/>
          <w:szCs w:val="24"/>
        </w:rPr>
        <w:t>,</w:t>
      </w:r>
      <w:r w:rsidR="00745BBC">
        <w:rPr>
          <w:rFonts w:asciiTheme="minorHAnsi" w:hAnsiTheme="minorHAnsi"/>
          <w:sz w:val="24"/>
          <w:szCs w:val="24"/>
        </w:rPr>
        <w:t xml:space="preserve"> nor yet a synthesis</w:t>
      </w:r>
      <w:r w:rsidR="00013155">
        <w:rPr>
          <w:rFonts w:asciiTheme="minorHAnsi" w:hAnsiTheme="minorHAnsi"/>
          <w:sz w:val="24"/>
          <w:szCs w:val="24"/>
        </w:rPr>
        <w:t xml:space="preserve">, </w:t>
      </w:r>
      <w:r w:rsidR="00F2632A">
        <w:rPr>
          <w:rFonts w:asciiTheme="minorHAnsi" w:hAnsiTheme="minorHAnsi"/>
          <w:sz w:val="24"/>
          <w:szCs w:val="24"/>
        </w:rPr>
        <w:t>but</w:t>
      </w:r>
      <w:r w:rsidR="00745BBC">
        <w:rPr>
          <w:rFonts w:asciiTheme="minorHAnsi" w:hAnsiTheme="minorHAnsi"/>
          <w:sz w:val="24"/>
          <w:szCs w:val="24"/>
        </w:rPr>
        <w:t xml:space="preserve"> rather</w:t>
      </w:r>
      <w:r w:rsidR="00F2632A">
        <w:rPr>
          <w:rFonts w:asciiTheme="minorHAnsi" w:hAnsiTheme="minorHAnsi"/>
          <w:sz w:val="24"/>
          <w:szCs w:val="24"/>
        </w:rPr>
        <w:t xml:space="preserve"> as an </w:t>
      </w:r>
      <w:r w:rsidR="00F2632A" w:rsidRPr="00FF7F19">
        <w:rPr>
          <w:rFonts w:asciiTheme="minorHAnsi" w:hAnsiTheme="minorHAnsi"/>
          <w:i/>
          <w:sz w:val="24"/>
          <w:szCs w:val="24"/>
        </w:rPr>
        <w:t>athesis</w:t>
      </w:r>
      <w:r w:rsidR="00DC4D4E">
        <w:rPr>
          <w:rFonts w:asciiTheme="minorHAnsi" w:hAnsiTheme="minorHAnsi"/>
          <w:sz w:val="24"/>
          <w:szCs w:val="24"/>
        </w:rPr>
        <w:t>.</w:t>
      </w:r>
      <w:r w:rsidR="00F2632A">
        <w:rPr>
          <w:rStyle w:val="EndnoteReference"/>
          <w:rFonts w:asciiTheme="minorHAnsi" w:hAnsiTheme="minorHAnsi"/>
          <w:sz w:val="24"/>
          <w:szCs w:val="24"/>
        </w:rPr>
        <w:endnoteReference w:id="19"/>
      </w:r>
      <w:r w:rsidR="005561CB">
        <w:rPr>
          <w:rFonts w:asciiTheme="minorHAnsi" w:hAnsiTheme="minorHAnsi"/>
          <w:sz w:val="24"/>
          <w:szCs w:val="24"/>
        </w:rPr>
        <w:t xml:space="preserve"> The gambit of speculation falls short.</w:t>
      </w:r>
    </w:p>
    <w:p w14:paraId="021F0F2E" w14:textId="77777777" w:rsidR="00FD39B8" w:rsidRPr="00E00A15" w:rsidRDefault="00FD39B8" w:rsidP="00263751">
      <w:pPr>
        <w:widowControl w:val="0"/>
        <w:autoSpaceDE w:val="0"/>
        <w:autoSpaceDN w:val="0"/>
        <w:adjustRightInd w:val="0"/>
        <w:rPr>
          <w:rFonts w:asciiTheme="minorHAnsi" w:hAnsiTheme="minorHAnsi"/>
          <w:sz w:val="24"/>
          <w:szCs w:val="24"/>
        </w:rPr>
      </w:pPr>
    </w:p>
    <w:p w14:paraId="34833941" w14:textId="02BEB283" w:rsidR="005C5D7D" w:rsidRDefault="00A0355E" w:rsidP="002078A1">
      <w:pPr>
        <w:widowControl w:val="0"/>
        <w:autoSpaceDE w:val="0"/>
        <w:autoSpaceDN w:val="0"/>
        <w:adjustRightInd w:val="0"/>
        <w:rPr>
          <w:rFonts w:asciiTheme="minorHAnsi" w:hAnsiTheme="minorHAnsi"/>
          <w:sz w:val="24"/>
          <w:szCs w:val="24"/>
        </w:rPr>
      </w:pPr>
      <w:r>
        <w:rPr>
          <w:rFonts w:asciiTheme="minorHAnsi" w:hAnsiTheme="minorHAnsi"/>
          <w:sz w:val="24"/>
          <w:szCs w:val="24"/>
        </w:rPr>
        <w:t>S</w:t>
      </w:r>
      <w:r w:rsidR="007A44D2">
        <w:rPr>
          <w:rFonts w:asciiTheme="minorHAnsi" w:hAnsiTheme="minorHAnsi"/>
          <w:sz w:val="24"/>
          <w:szCs w:val="24"/>
        </w:rPr>
        <w:t>F is also S</w:t>
      </w:r>
      <w:r w:rsidR="006E7CF5">
        <w:rPr>
          <w:rFonts w:ascii="Cambria" w:hAnsi="Cambria"/>
          <w:sz w:val="24"/>
          <w:szCs w:val="24"/>
        </w:rPr>
        <w:t>á</w:t>
      </w:r>
      <w:r w:rsidR="007A44D2">
        <w:rPr>
          <w:rFonts w:asciiTheme="minorHAnsi" w:hAnsiTheme="minorHAnsi"/>
          <w:sz w:val="24"/>
          <w:szCs w:val="24"/>
        </w:rPr>
        <w:t>ndor Ferencz</w:t>
      </w:r>
      <w:r w:rsidR="002E66C4">
        <w:rPr>
          <w:rFonts w:asciiTheme="minorHAnsi" w:hAnsiTheme="minorHAnsi"/>
          <w:sz w:val="24"/>
          <w:szCs w:val="24"/>
        </w:rPr>
        <w:t>i</w:t>
      </w:r>
      <w:r w:rsidR="007513E6">
        <w:rPr>
          <w:rFonts w:asciiTheme="minorHAnsi" w:hAnsiTheme="minorHAnsi"/>
          <w:sz w:val="24"/>
          <w:szCs w:val="24"/>
        </w:rPr>
        <w:t>.</w:t>
      </w:r>
      <w:r w:rsidR="007A44D2">
        <w:rPr>
          <w:rFonts w:asciiTheme="minorHAnsi" w:hAnsiTheme="minorHAnsi"/>
          <w:sz w:val="24"/>
          <w:szCs w:val="24"/>
        </w:rPr>
        <w:t xml:space="preserve"> </w:t>
      </w:r>
      <w:r w:rsidR="007513E6">
        <w:rPr>
          <w:rFonts w:asciiTheme="minorHAnsi" w:hAnsiTheme="minorHAnsi"/>
          <w:sz w:val="24"/>
          <w:szCs w:val="24"/>
        </w:rPr>
        <w:t xml:space="preserve">Like the Freud of </w:t>
      </w:r>
      <w:r w:rsidR="007513E6" w:rsidRPr="00630ADF">
        <w:rPr>
          <w:rFonts w:asciiTheme="minorHAnsi" w:hAnsiTheme="minorHAnsi"/>
          <w:i/>
          <w:sz w:val="24"/>
          <w:szCs w:val="24"/>
        </w:rPr>
        <w:t>Totem and Taboo</w:t>
      </w:r>
      <w:r w:rsidR="007513E6">
        <w:rPr>
          <w:rFonts w:asciiTheme="minorHAnsi" w:hAnsiTheme="minorHAnsi"/>
          <w:sz w:val="24"/>
          <w:szCs w:val="24"/>
        </w:rPr>
        <w:t xml:space="preserve">, Ferenczi also draws on fabulation to embed his </w:t>
      </w:r>
      <w:r w:rsidR="0016171C">
        <w:rPr>
          <w:rFonts w:asciiTheme="minorHAnsi" w:hAnsiTheme="minorHAnsi"/>
          <w:sz w:val="24"/>
          <w:szCs w:val="24"/>
        </w:rPr>
        <w:t>theory</w:t>
      </w:r>
      <w:r w:rsidR="007513E6">
        <w:rPr>
          <w:rFonts w:asciiTheme="minorHAnsi" w:hAnsiTheme="minorHAnsi"/>
          <w:sz w:val="24"/>
          <w:szCs w:val="24"/>
        </w:rPr>
        <w:t xml:space="preserve"> in a legend: the closing pages of </w:t>
      </w:r>
      <w:r w:rsidR="007513E6" w:rsidRPr="00476369">
        <w:rPr>
          <w:rFonts w:asciiTheme="minorHAnsi" w:hAnsiTheme="minorHAnsi"/>
          <w:i/>
          <w:sz w:val="24"/>
          <w:szCs w:val="24"/>
        </w:rPr>
        <w:t>Thalassa</w:t>
      </w:r>
      <w:r>
        <w:rPr>
          <w:rFonts w:asciiTheme="minorHAnsi" w:hAnsiTheme="minorHAnsi"/>
          <w:sz w:val="24"/>
          <w:szCs w:val="24"/>
        </w:rPr>
        <w:t xml:space="preserve"> name the speculations of S</w:t>
      </w:r>
      <w:r w:rsidR="007513E6">
        <w:rPr>
          <w:rFonts w:asciiTheme="minorHAnsi" w:hAnsiTheme="minorHAnsi"/>
          <w:sz w:val="24"/>
          <w:szCs w:val="24"/>
        </w:rPr>
        <w:t xml:space="preserve">F </w:t>
      </w:r>
      <w:r w:rsidR="001324FA">
        <w:rPr>
          <w:rFonts w:asciiTheme="minorHAnsi" w:hAnsiTheme="minorHAnsi"/>
          <w:sz w:val="24"/>
          <w:szCs w:val="24"/>
        </w:rPr>
        <w:t xml:space="preserve">precisely </w:t>
      </w:r>
      <w:r w:rsidR="007513E6">
        <w:rPr>
          <w:rFonts w:asciiTheme="minorHAnsi" w:hAnsiTheme="minorHAnsi"/>
          <w:sz w:val="24"/>
          <w:szCs w:val="24"/>
        </w:rPr>
        <w:t>as a ‘fairy tale’.</w:t>
      </w:r>
      <w:r w:rsidR="007513E6">
        <w:rPr>
          <w:rStyle w:val="EndnoteReference"/>
          <w:rFonts w:asciiTheme="minorHAnsi" w:hAnsiTheme="minorHAnsi"/>
          <w:sz w:val="24"/>
          <w:szCs w:val="24"/>
        </w:rPr>
        <w:endnoteReference w:id="20"/>
      </w:r>
      <w:r w:rsidR="007513E6">
        <w:rPr>
          <w:rFonts w:asciiTheme="minorHAnsi" w:hAnsiTheme="minorHAnsi"/>
          <w:sz w:val="24"/>
          <w:szCs w:val="24"/>
        </w:rPr>
        <w:t xml:space="preserve"> Yet </w:t>
      </w:r>
      <w:r w:rsidR="00073302">
        <w:rPr>
          <w:rFonts w:asciiTheme="minorHAnsi" w:hAnsiTheme="minorHAnsi"/>
          <w:sz w:val="24"/>
          <w:szCs w:val="24"/>
        </w:rPr>
        <w:t>S</w:t>
      </w:r>
      <w:r w:rsidR="007A44D2">
        <w:rPr>
          <w:rFonts w:asciiTheme="minorHAnsi" w:hAnsiTheme="minorHAnsi"/>
          <w:sz w:val="24"/>
          <w:szCs w:val="24"/>
        </w:rPr>
        <w:t xml:space="preserve">F </w:t>
      </w:r>
      <w:r w:rsidR="007513E6">
        <w:rPr>
          <w:rFonts w:asciiTheme="minorHAnsi" w:hAnsiTheme="minorHAnsi"/>
          <w:sz w:val="24"/>
          <w:szCs w:val="24"/>
        </w:rPr>
        <w:t>lives</w:t>
      </w:r>
      <w:r w:rsidR="00EC53A0">
        <w:rPr>
          <w:rFonts w:asciiTheme="minorHAnsi" w:hAnsiTheme="minorHAnsi"/>
          <w:sz w:val="24"/>
          <w:szCs w:val="24"/>
        </w:rPr>
        <w:t xml:space="preserve"> </w:t>
      </w:r>
      <w:r w:rsidR="00073302">
        <w:rPr>
          <w:rFonts w:asciiTheme="minorHAnsi" w:hAnsiTheme="minorHAnsi"/>
          <w:sz w:val="24"/>
          <w:szCs w:val="24"/>
        </w:rPr>
        <w:t>in fear of S</w:t>
      </w:r>
      <w:r w:rsidR="007A44D2">
        <w:rPr>
          <w:rFonts w:asciiTheme="minorHAnsi" w:hAnsiTheme="minorHAnsi"/>
          <w:sz w:val="24"/>
          <w:szCs w:val="24"/>
        </w:rPr>
        <w:t>F</w:t>
      </w:r>
      <w:r w:rsidR="00E00A15" w:rsidRPr="00E00A15">
        <w:rPr>
          <w:rFonts w:asciiTheme="minorHAnsi" w:hAnsiTheme="minorHAnsi"/>
          <w:sz w:val="24"/>
          <w:szCs w:val="24"/>
        </w:rPr>
        <w:t>.</w:t>
      </w:r>
      <w:r w:rsidR="007A44D2">
        <w:rPr>
          <w:rFonts w:asciiTheme="minorHAnsi" w:hAnsiTheme="minorHAnsi"/>
          <w:sz w:val="24"/>
          <w:szCs w:val="24"/>
        </w:rPr>
        <w:t xml:space="preserve"> </w:t>
      </w:r>
      <w:r w:rsidR="00E00A15">
        <w:rPr>
          <w:rFonts w:asciiTheme="minorHAnsi" w:hAnsiTheme="minorHAnsi"/>
          <w:sz w:val="24"/>
          <w:szCs w:val="24"/>
        </w:rPr>
        <w:t xml:space="preserve"> </w:t>
      </w:r>
      <w:r w:rsidR="000728FB">
        <w:rPr>
          <w:rFonts w:asciiTheme="minorHAnsi" w:hAnsiTheme="minorHAnsi"/>
          <w:sz w:val="24"/>
          <w:szCs w:val="24"/>
        </w:rPr>
        <w:t xml:space="preserve">For </w:t>
      </w:r>
      <w:r w:rsidR="00A81509">
        <w:rPr>
          <w:rFonts w:asciiTheme="minorHAnsi" w:hAnsiTheme="minorHAnsi"/>
          <w:sz w:val="24"/>
          <w:szCs w:val="24"/>
        </w:rPr>
        <w:t>nine years, Ferenczi ‘confesses</w:t>
      </w:r>
      <w:r w:rsidR="000728FB">
        <w:rPr>
          <w:rFonts w:asciiTheme="minorHAnsi" w:hAnsiTheme="minorHAnsi"/>
          <w:sz w:val="24"/>
          <w:szCs w:val="24"/>
        </w:rPr>
        <w:t>’</w:t>
      </w:r>
      <w:r w:rsidR="00A81509">
        <w:rPr>
          <w:rFonts w:asciiTheme="minorHAnsi" w:hAnsiTheme="minorHAnsi"/>
          <w:sz w:val="24"/>
          <w:szCs w:val="24"/>
        </w:rPr>
        <w:t xml:space="preserve"> through a rhetoric inescapably evocative of the uncanny,</w:t>
      </w:r>
      <w:r w:rsidR="000728FB">
        <w:rPr>
          <w:rFonts w:asciiTheme="minorHAnsi" w:hAnsiTheme="minorHAnsi"/>
          <w:sz w:val="24"/>
          <w:szCs w:val="24"/>
        </w:rPr>
        <w:t xml:space="preserve"> the material eventually published under the title </w:t>
      </w:r>
      <w:r w:rsidR="000728FB" w:rsidRPr="000728FB">
        <w:rPr>
          <w:rFonts w:asciiTheme="minorHAnsi" w:hAnsiTheme="minorHAnsi"/>
          <w:i/>
          <w:sz w:val="24"/>
          <w:szCs w:val="24"/>
        </w:rPr>
        <w:t>Thalassa</w:t>
      </w:r>
      <w:r w:rsidR="000728FB">
        <w:rPr>
          <w:rFonts w:asciiTheme="minorHAnsi" w:hAnsiTheme="minorHAnsi"/>
          <w:i/>
          <w:sz w:val="24"/>
          <w:szCs w:val="24"/>
        </w:rPr>
        <w:t>: A Theory of Genitality</w:t>
      </w:r>
      <w:r w:rsidR="000728FB">
        <w:rPr>
          <w:rFonts w:asciiTheme="minorHAnsi" w:hAnsiTheme="minorHAnsi"/>
          <w:sz w:val="24"/>
          <w:szCs w:val="24"/>
        </w:rPr>
        <w:t xml:space="preserve"> lay ‘buried in [his] desk’</w:t>
      </w:r>
      <w:r w:rsidR="006C352E">
        <w:rPr>
          <w:rFonts w:asciiTheme="minorHAnsi" w:hAnsiTheme="minorHAnsi"/>
          <w:sz w:val="24"/>
          <w:szCs w:val="24"/>
        </w:rPr>
        <w:t xml:space="preserve"> until he ‘g[ave] birth’ to it</w:t>
      </w:r>
      <w:r w:rsidR="000728FB">
        <w:rPr>
          <w:rFonts w:asciiTheme="minorHAnsi" w:hAnsiTheme="minorHAnsi"/>
          <w:sz w:val="24"/>
          <w:szCs w:val="24"/>
        </w:rPr>
        <w:t>.</w:t>
      </w:r>
      <w:r w:rsidR="000728FB">
        <w:rPr>
          <w:rStyle w:val="EndnoteReference"/>
          <w:rFonts w:asciiTheme="minorHAnsi" w:hAnsiTheme="minorHAnsi"/>
          <w:sz w:val="24"/>
          <w:szCs w:val="24"/>
        </w:rPr>
        <w:endnoteReference w:id="21"/>
      </w:r>
      <w:r w:rsidR="00996C64">
        <w:rPr>
          <w:rFonts w:asciiTheme="minorHAnsi" w:hAnsiTheme="minorHAnsi"/>
          <w:sz w:val="24"/>
          <w:szCs w:val="24"/>
        </w:rPr>
        <w:t xml:space="preserve"> </w:t>
      </w:r>
      <w:r w:rsidR="00155C36">
        <w:rPr>
          <w:rFonts w:asciiTheme="minorHAnsi" w:hAnsiTheme="minorHAnsi"/>
          <w:sz w:val="24"/>
          <w:szCs w:val="24"/>
        </w:rPr>
        <w:t xml:space="preserve">During this time, when </w:t>
      </w:r>
      <w:r w:rsidR="00155C36" w:rsidRPr="0083729F">
        <w:rPr>
          <w:rFonts w:asciiTheme="minorHAnsi" w:hAnsiTheme="minorHAnsi"/>
          <w:i/>
          <w:sz w:val="24"/>
          <w:szCs w:val="24"/>
        </w:rPr>
        <w:t>Thalassa</w:t>
      </w:r>
      <w:r w:rsidR="00155C36">
        <w:rPr>
          <w:rFonts w:asciiTheme="minorHAnsi" w:hAnsiTheme="minorHAnsi"/>
          <w:sz w:val="24"/>
          <w:szCs w:val="24"/>
        </w:rPr>
        <w:t xml:space="preserve"> was</w:t>
      </w:r>
      <w:r w:rsidR="00CD4E63">
        <w:rPr>
          <w:rFonts w:asciiTheme="minorHAnsi" w:hAnsiTheme="minorHAnsi"/>
          <w:sz w:val="24"/>
          <w:szCs w:val="24"/>
        </w:rPr>
        <w:t xml:space="preserve"> buried alive, Freud published “Beyond the Pleasure Principle”</w:t>
      </w:r>
      <w:r w:rsidR="00155C36">
        <w:rPr>
          <w:rFonts w:asciiTheme="minorHAnsi" w:hAnsiTheme="minorHAnsi"/>
          <w:sz w:val="24"/>
          <w:szCs w:val="24"/>
        </w:rPr>
        <w:t>.</w:t>
      </w:r>
      <w:r w:rsidR="00155C36">
        <w:rPr>
          <w:rStyle w:val="EndnoteReference"/>
          <w:rFonts w:asciiTheme="minorHAnsi" w:hAnsiTheme="minorHAnsi"/>
          <w:sz w:val="24"/>
          <w:szCs w:val="24"/>
        </w:rPr>
        <w:endnoteReference w:id="22"/>
      </w:r>
      <w:r w:rsidR="0083729F">
        <w:rPr>
          <w:rFonts w:asciiTheme="minorHAnsi" w:hAnsiTheme="minorHAnsi"/>
          <w:sz w:val="24"/>
          <w:szCs w:val="24"/>
        </w:rPr>
        <w:t xml:space="preserve"> </w:t>
      </w:r>
      <w:r w:rsidR="00B12DC9">
        <w:rPr>
          <w:rFonts w:asciiTheme="minorHAnsi" w:hAnsiTheme="minorHAnsi"/>
          <w:sz w:val="24"/>
          <w:szCs w:val="24"/>
        </w:rPr>
        <w:t xml:space="preserve">In one of series of articles </w:t>
      </w:r>
      <w:r w:rsidR="005B3989">
        <w:rPr>
          <w:rFonts w:asciiTheme="minorHAnsi" w:hAnsiTheme="minorHAnsi"/>
          <w:sz w:val="24"/>
          <w:szCs w:val="24"/>
        </w:rPr>
        <w:t>re-examining</w:t>
      </w:r>
      <w:r w:rsidR="00B12DC9">
        <w:rPr>
          <w:rFonts w:asciiTheme="minorHAnsi" w:hAnsiTheme="minorHAnsi"/>
          <w:sz w:val="24"/>
          <w:szCs w:val="24"/>
        </w:rPr>
        <w:t xml:space="preserve"> the less well travelled </w:t>
      </w:r>
      <w:r w:rsidR="005B3989">
        <w:rPr>
          <w:rFonts w:asciiTheme="minorHAnsi" w:hAnsiTheme="minorHAnsi"/>
          <w:sz w:val="24"/>
          <w:szCs w:val="24"/>
        </w:rPr>
        <w:t>archives</w:t>
      </w:r>
      <w:r w:rsidR="00B12DC9">
        <w:rPr>
          <w:rFonts w:asciiTheme="minorHAnsi" w:hAnsiTheme="minorHAnsi"/>
          <w:sz w:val="24"/>
          <w:szCs w:val="24"/>
        </w:rPr>
        <w:t xml:space="preserve"> of psychoanalysis </w:t>
      </w:r>
      <w:r w:rsidR="00996C64">
        <w:rPr>
          <w:rFonts w:asciiTheme="minorHAnsi" w:hAnsiTheme="minorHAnsi"/>
          <w:sz w:val="24"/>
          <w:szCs w:val="24"/>
        </w:rPr>
        <w:t xml:space="preserve">Elizabeth </w:t>
      </w:r>
      <w:r w:rsidR="00200B37">
        <w:rPr>
          <w:rFonts w:asciiTheme="minorHAnsi" w:hAnsiTheme="minorHAnsi"/>
          <w:sz w:val="24"/>
          <w:szCs w:val="24"/>
        </w:rPr>
        <w:t xml:space="preserve">A. </w:t>
      </w:r>
      <w:r w:rsidR="00996C64">
        <w:rPr>
          <w:rFonts w:asciiTheme="minorHAnsi" w:hAnsiTheme="minorHAnsi"/>
          <w:sz w:val="24"/>
          <w:szCs w:val="24"/>
        </w:rPr>
        <w:t xml:space="preserve">Wilson notes the agonised </w:t>
      </w:r>
      <w:r w:rsidR="00B12DC9">
        <w:rPr>
          <w:rFonts w:asciiTheme="minorHAnsi" w:hAnsiTheme="minorHAnsi"/>
          <w:sz w:val="24"/>
          <w:szCs w:val="24"/>
        </w:rPr>
        <w:t xml:space="preserve">relation between Ferenczi and Freud </w:t>
      </w:r>
      <w:r w:rsidR="00996C64">
        <w:rPr>
          <w:rFonts w:asciiTheme="minorHAnsi" w:hAnsiTheme="minorHAnsi"/>
          <w:sz w:val="24"/>
          <w:szCs w:val="24"/>
        </w:rPr>
        <w:t>detailed in their correspondence, as their work overlapped but</w:t>
      </w:r>
      <w:r w:rsidR="009B0DAE">
        <w:rPr>
          <w:rFonts w:asciiTheme="minorHAnsi" w:hAnsiTheme="minorHAnsi"/>
          <w:sz w:val="24"/>
          <w:szCs w:val="24"/>
        </w:rPr>
        <w:t xml:space="preserve"> also significantly </w:t>
      </w:r>
      <w:r w:rsidR="00E74F44">
        <w:rPr>
          <w:rFonts w:asciiTheme="minorHAnsi" w:hAnsiTheme="minorHAnsi"/>
          <w:sz w:val="24"/>
          <w:szCs w:val="24"/>
        </w:rPr>
        <w:t xml:space="preserve">parted </w:t>
      </w:r>
      <w:r w:rsidR="005B3989">
        <w:rPr>
          <w:rFonts w:asciiTheme="minorHAnsi" w:hAnsiTheme="minorHAnsi"/>
          <w:sz w:val="24"/>
          <w:szCs w:val="24"/>
        </w:rPr>
        <w:t>ways</w:t>
      </w:r>
      <w:r w:rsidR="009B0DAE">
        <w:rPr>
          <w:rFonts w:asciiTheme="minorHAnsi" w:hAnsiTheme="minorHAnsi"/>
          <w:sz w:val="24"/>
          <w:szCs w:val="24"/>
        </w:rPr>
        <w:t>.</w:t>
      </w:r>
      <w:r w:rsidR="00E11D2E" w:rsidRPr="00E11D2E">
        <w:rPr>
          <w:rStyle w:val="EndnoteReference"/>
          <w:rFonts w:asciiTheme="minorHAnsi" w:hAnsiTheme="minorHAnsi"/>
          <w:sz w:val="24"/>
          <w:szCs w:val="24"/>
        </w:rPr>
        <w:t xml:space="preserve"> </w:t>
      </w:r>
      <w:r w:rsidR="00E11D2E">
        <w:rPr>
          <w:rStyle w:val="EndnoteReference"/>
          <w:rFonts w:asciiTheme="minorHAnsi" w:hAnsiTheme="minorHAnsi"/>
          <w:sz w:val="24"/>
          <w:szCs w:val="24"/>
        </w:rPr>
        <w:endnoteReference w:id="23"/>
      </w:r>
      <w:r w:rsidR="009B0DAE">
        <w:rPr>
          <w:rFonts w:asciiTheme="minorHAnsi" w:hAnsiTheme="minorHAnsi"/>
          <w:sz w:val="24"/>
          <w:szCs w:val="24"/>
        </w:rPr>
        <w:t xml:space="preserve"> </w:t>
      </w:r>
      <w:r w:rsidR="005B3989">
        <w:rPr>
          <w:rFonts w:asciiTheme="minorHAnsi" w:hAnsiTheme="minorHAnsi"/>
          <w:sz w:val="24"/>
          <w:szCs w:val="24"/>
        </w:rPr>
        <w:t>For Wilson’s interest this discrepancy rests on the status of the biological</w:t>
      </w:r>
      <w:r w:rsidR="00E11D2E">
        <w:rPr>
          <w:rFonts w:asciiTheme="minorHAnsi" w:hAnsiTheme="minorHAnsi"/>
          <w:sz w:val="24"/>
          <w:szCs w:val="24"/>
        </w:rPr>
        <w:t xml:space="preserve"> – the terrain that she wishes to reactivate</w:t>
      </w:r>
      <w:r w:rsidR="005B3989">
        <w:rPr>
          <w:rFonts w:asciiTheme="minorHAnsi" w:hAnsiTheme="minorHAnsi"/>
          <w:sz w:val="24"/>
          <w:szCs w:val="24"/>
        </w:rPr>
        <w:t xml:space="preserve">. In light of Derrida’s emphasis on filiation in psychoanalysis we can see that </w:t>
      </w:r>
      <w:r w:rsidR="009B0DAE">
        <w:rPr>
          <w:rFonts w:asciiTheme="minorHAnsi" w:hAnsiTheme="minorHAnsi"/>
          <w:sz w:val="24"/>
          <w:szCs w:val="24"/>
        </w:rPr>
        <w:t xml:space="preserve">Ferenczi’s position as </w:t>
      </w:r>
      <w:r w:rsidR="00996C64">
        <w:rPr>
          <w:rFonts w:asciiTheme="minorHAnsi" w:hAnsiTheme="minorHAnsi"/>
          <w:sz w:val="24"/>
          <w:szCs w:val="24"/>
        </w:rPr>
        <w:t>a much junior colleague</w:t>
      </w:r>
      <w:r w:rsidR="009B0DAE">
        <w:rPr>
          <w:rFonts w:asciiTheme="minorHAnsi" w:hAnsiTheme="minorHAnsi"/>
          <w:sz w:val="24"/>
          <w:szCs w:val="24"/>
        </w:rPr>
        <w:t>,</w:t>
      </w:r>
      <w:r w:rsidR="002A6F48">
        <w:rPr>
          <w:rFonts w:asciiTheme="minorHAnsi" w:hAnsiTheme="minorHAnsi"/>
          <w:sz w:val="24"/>
          <w:szCs w:val="24"/>
        </w:rPr>
        <w:t xml:space="preserve"> and thus an ostensible legatee</w:t>
      </w:r>
      <w:r w:rsidR="009B0DAE">
        <w:rPr>
          <w:rFonts w:asciiTheme="minorHAnsi" w:hAnsiTheme="minorHAnsi"/>
          <w:sz w:val="24"/>
          <w:szCs w:val="24"/>
        </w:rPr>
        <w:t>, made his departure from</w:t>
      </w:r>
      <w:r w:rsidR="00D23CD0">
        <w:rPr>
          <w:rFonts w:asciiTheme="minorHAnsi" w:hAnsiTheme="minorHAnsi"/>
          <w:sz w:val="24"/>
          <w:szCs w:val="24"/>
        </w:rPr>
        <w:t xml:space="preserve"> the canon-</w:t>
      </w:r>
      <w:r w:rsidR="00073302">
        <w:rPr>
          <w:rFonts w:asciiTheme="minorHAnsi" w:hAnsiTheme="minorHAnsi"/>
          <w:sz w:val="24"/>
          <w:szCs w:val="24"/>
        </w:rPr>
        <w:t xml:space="preserve"> from the house of S</w:t>
      </w:r>
      <w:r w:rsidR="009B0DAE">
        <w:rPr>
          <w:rFonts w:asciiTheme="minorHAnsi" w:hAnsiTheme="minorHAnsi"/>
          <w:sz w:val="24"/>
          <w:szCs w:val="24"/>
        </w:rPr>
        <w:t>F</w:t>
      </w:r>
      <w:r w:rsidR="00D23CD0">
        <w:rPr>
          <w:rFonts w:asciiTheme="minorHAnsi" w:hAnsiTheme="minorHAnsi"/>
          <w:sz w:val="24"/>
          <w:szCs w:val="24"/>
        </w:rPr>
        <w:t xml:space="preserve"> -</w:t>
      </w:r>
      <w:r w:rsidR="009B0DAE">
        <w:rPr>
          <w:rFonts w:asciiTheme="minorHAnsi" w:hAnsiTheme="minorHAnsi"/>
          <w:sz w:val="24"/>
          <w:szCs w:val="24"/>
        </w:rPr>
        <w:t xml:space="preserve"> all the more alarming</w:t>
      </w:r>
      <w:r w:rsidR="002A6F48">
        <w:rPr>
          <w:rFonts w:asciiTheme="minorHAnsi" w:hAnsiTheme="minorHAnsi"/>
          <w:sz w:val="24"/>
          <w:szCs w:val="24"/>
        </w:rPr>
        <w:t>.</w:t>
      </w:r>
      <w:r w:rsidR="009B0DAE">
        <w:rPr>
          <w:rFonts w:asciiTheme="minorHAnsi" w:hAnsiTheme="minorHAnsi"/>
          <w:sz w:val="24"/>
          <w:szCs w:val="24"/>
        </w:rPr>
        <w:t xml:space="preserve"> </w:t>
      </w:r>
      <w:r w:rsidR="008C5FCA">
        <w:rPr>
          <w:rFonts w:asciiTheme="minorHAnsi" w:hAnsiTheme="minorHAnsi"/>
          <w:sz w:val="24"/>
          <w:szCs w:val="24"/>
        </w:rPr>
        <w:t>Anxiety regarding this departure hampers Ferenczi</w:t>
      </w:r>
      <w:r w:rsidR="00DC4D4E">
        <w:rPr>
          <w:rFonts w:asciiTheme="minorHAnsi" w:hAnsiTheme="minorHAnsi"/>
          <w:sz w:val="24"/>
          <w:szCs w:val="24"/>
        </w:rPr>
        <w:t>’s own attempt to step ‘beyond’;</w:t>
      </w:r>
      <w:r w:rsidR="008C5FCA">
        <w:rPr>
          <w:rFonts w:asciiTheme="minorHAnsi" w:hAnsiTheme="minorHAnsi"/>
          <w:sz w:val="24"/>
          <w:szCs w:val="24"/>
        </w:rPr>
        <w:t xml:space="preserve"> beyond </w:t>
      </w:r>
      <w:r w:rsidR="00FB4E36">
        <w:rPr>
          <w:rFonts w:asciiTheme="minorHAnsi" w:hAnsiTheme="minorHAnsi"/>
          <w:sz w:val="24"/>
          <w:szCs w:val="24"/>
        </w:rPr>
        <w:t xml:space="preserve">Freud </w:t>
      </w:r>
      <w:r w:rsidR="008C5FCA">
        <w:rPr>
          <w:rFonts w:asciiTheme="minorHAnsi" w:hAnsiTheme="minorHAnsi"/>
          <w:sz w:val="24"/>
          <w:szCs w:val="24"/>
        </w:rPr>
        <w:t xml:space="preserve">his </w:t>
      </w:r>
      <w:r w:rsidR="00A81509">
        <w:rPr>
          <w:rFonts w:asciiTheme="minorHAnsi" w:hAnsiTheme="minorHAnsi"/>
          <w:sz w:val="24"/>
          <w:szCs w:val="24"/>
        </w:rPr>
        <w:t xml:space="preserve">intellectual </w:t>
      </w:r>
      <w:r w:rsidR="008C5FCA">
        <w:rPr>
          <w:rFonts w:asciiTheme="minorHAnsi" w:hAnsiTheme="minorHAnsi"/>
          <w:sz w:val="24"/>
          <w:szCs w:val="24"/>
        </w:rPr>
        <w:t>master, beyond the pleasure principle</w:t>
      </w:r>
      <w:r w:rsidR="00396D8F">
        <w:rPr>
          <w:rFonts w:asciiTheme="minorHAnsi" w:hAnsiTheme="minorHAnsi"/>
          <w:sz w:val="24"/>
          <w:szCs w:val="24"/>
        </w:rPr>
        <w:t>,</w:t>
      </w:r>
      <w:r w:rsidR="008C5FCA">
        <w:rPr>
          <w:rFonts w:asciiTheme="minorHAnsi" w:hAnsiTheme="minorHAnsi"/>
          <w:sz w:val="24"/>
          <w:szCs w:val="24"/>
        </w:rPr>
        <w:t xml:space="preserve"> </w:t>
      </w:r>
      <w:r w:rsidR="00396D8F">
        <w:rPr>
          <w:rFonts w:asciiTheme="minorHAnsi" w:hAnsiTheme="minorHAnsi"/>
          <w:sz w:val="24"/>
          <w:szCs w:val="24"/>
        </w:rPr>
        <w:t>indeed</w:t>
      </w:r>
      <w:r w:rsidR="008C5FCA">
        <w:rPr>
          <w:rFonts w:asciiTheme="minorHAnsi" w:hAnsiTheme="minorHAnsi"/>
          <w:sz w:val="24"/>
          <w:szCs w:val="24"/>
        </w:rPr>
        <w:t xml:space="preserve"> beyond the ‘PP’ </w:t>
      </w:r>
      <w:r w:rsidR="00396D8F">
        <w:rPr>
          <w:rFonts w:asciiTheme="minorHAnsi" w:hAnsiTheme="minorHAnsi"/>
          <w:sz w:val="24"/>
          <w:szCs w:val="24"/>
        </w:rPr>
        <w:t>as</w:t>
      </w:r>
      <w:r w:rsidR="008C5FCA">
        <w:rPr>
          <w:rFonts w:asciiTheme="minorHAnsi" w:hAnsiTheme="minorHAnsi"/>
          <w:sz w:val="24"/>
          <w:szCs w:val="24"/>
        </w:rPr>
        <w:t xml:space="preserve"> Derrida’s </w:t>
      </w:r>
      <w:r w:rsidR="00F725DF">
        <w:rPr>
          <w:rFonts w:asciiTheme="minorHAnsi" w:hAnsiTheme="minorHAnsi"/>
          <w:sz w:val="24"/>
          <w:szCs w:val="24"/>
        </w:rPr>
        <w:t>capacious</w:t>
      </w:r>
      <w:r w:rsidR="00396D8F">
        <w:rPr>
          <w:rFonts w:asciiTheme="minorHAnsi" w:hAnsiTheme="minorHAnsi"/>
          <w:sz w:val="24"/>
          <w:szCs w:val="24"/>
        </w:rPr>
        <w:t xml:space="preserve"> abbreviation has it</w:t>
      </w:r>
      <w:r w:rsidR="008C5FCA">
        <w:rPr>
          <w:rFonts w:asciiTheme="minorHAnsi" w:hAnsiTheme="minorHAnsi"/>
          <w:sz w:val="24"/>
          <w:szCs w:val="24"/>
        </w:rPr>
        <w:t xml:space="preserve">. </w:t>
      </w:r>
      <w:r w:rsidR="007513E6">
        <w:rPr>
          <w:rFonts w:asciiTheme="minorHAnsi" w:hAnsiTheme="minorHAnsi"/>
          <w:sz w:val="24"/>
          <w:szCs w:val="24"/>
        </w:rPr>
        <w:t xml:space="preserve">As silently as the death drive, this ‘PP’, in Derrida’s hands, also </w:t>
      </w:r>
      <w:r w:rsidR="002D4EC0">
        <w:rPr>
          <w:rFonts w:asciiTheme="minorHAnsi" w:hAnsiTheme="minorHAnsi"/>
          <w:sz w:val="24"/>
          <w:szCs w:val="24"/>
        </w:rPr>
        <w:t>slips</w:t>
      </w:r>
      <w:r w:rsidR="007513E6">
        <w:rPr>
          <w:rFonts w:asciiTheme="minorHAnsi" w:hAnsiTheme="minorHAnsi"/>
          <w:sz w:val="24"/>
          <w:szCs w:val="24"/>
        </w:rPr>
        <w:t xml:space="preserve"> in the ‘postal principle’. Again</w:t>
      </w:r>
      <w:r w:rsidR="002D4EC0">
        <w:rPr>
          <w:rFonts w:asciiTheme="minorHAnsi" w:hAnsiTheme="minorHAnsi"/>
          <w:sz w:val="24"/>
          <w:szCs w:val="24"/>
        </w:rPr>
        <w:t xml:space="preserve"> any speculative security of the</w:t>
      </w:r>
      <w:r w:rsidR="00FB35C6">
        <w:rPr>
          <w:rFonts w:asciiTheme="minorHAnsi" w:hAnsiTheme="minorHAnsi"/>
          <w:sz w:val="24"/>
          <w:szCs w:val="24"/>
        </w:rPr>
        <w:t xml:space="preserve"> concept comes under the in</w:t>
      </w:r>
      <w:r w:rsidR="002D4EC0">
        <w:rPr>
          <w:rFonts w:asciiTheme="minorHAnsi" w:hAnsiTheme="minorHAnsi"/>
          <w:sz w:val="24"/>
          <w:szCs w:val="24"/>
        </w:rPr>
        <w:t>trinsic threat</w:t>
      </w:r>
      <w:r w:rsidR="00FB35C6">
        <w:rPr>
          <w:rFonts w:asciiTheme="minorHAnsi" w:hAnsiTheme="minorHAnsi"/>
          <w:sz w:val="24"/>
          <w:szCs w:val="24"/>
        </w:rPr>
        <w:t xml:space="preserve"> of getting lost in the post</w:t>
      </w:r>
      <w:r w:rsidR="002D4EC0">
        <w:rPr>
          <w:rFonts w:asciiTheme="minorHAnsi" w:hAnsiTheme="minorHAnsi"/>
          <w:sz w:val="24"/>
          <w:szCs w:val="24"/>
        </w:rPr>
        <w:t xml:space="preserve">. </w:t>
      </w:r>
      <w:r w:rsidR="0016171C">
        <w:rPr>
          <w:rFonts w:asciiTheme="minorHAnsi" w:hAnsiTheme="minorHAnsi"/>
          <w:sz w:val="24"/>
          <w:szCs w:val="24"/>
        </w:rPr>
        <w:t>Today</w:t>
      </w:r>
      <w:r w:rsidR="007513E6">
        <w:rPr>
          <w:rFonts w:asciiTheme="minorHAnsi" w:hAnsiTheme="minorHAnsi"/>
          <w:sz w:val="24"/>
          <w:szCs w:val="24"/>
        </w:rPr>
        <w:t xml:space="preserve"> the </w:t>
      </w:r>
      <w:r w:rsidR="004A44B1">
        <w:rPr>
          <w:rFonts w:asciiTheme="minorHAnsi" w:hAnsiTheme="minorHAnsi"/>
          <w:sz w:val="24"/>
          <w:szCs w:val="24"/>
        </w:rPr>
        <w:t xml:space="preserve">private </w:t>
      </w:r>
      <w:r w:rsidR="00E55265">
        <w:rPr>
          <w:rFonts w:asciiTheme="minorHAnsi" w:hAnsiTheme="minorHAnsi"/>
          <w:sz w:val="24"/>
          <w:szCs w:val="24"/>
        </w:rPr>
        <w:t>correspondence between</w:t>
      </w:r>
      <w:r w:rsidR="007513E6">
        <w:rPr>
          <w:rFonts w:asciiTheme="minorHAnsi" w:hAnsiTheme="minorHAnsi"/>
          <w:sz w:val="24"/>
          <w:szCs w:val="24"/>
        </w:rPr>
        <w:t xml:space="preserve"> SF </w:t>
      </w:r>
      <w:r w:rsidR="00E55265">
        <w:rPr>
          <w:rFonts w:asciiTheme="minorHAnsi" w:hAnsiTheme="minorHAnsi"/>
          <w:sz w:val="24"/>
          <w:szCs w:val="24"/>
        </w:rPr>
        <w:t>and</w:t>
      </w:r>
      <w:r w:rsidR="007513E6">
        <w:rPr>
          <w:rFonts w:asciiTheme="minorHAnsi" w:hAnsiTheme="minorHAnsi"/>
          <w:sz w:val="24"/>
          <w:szCs w:val="24"/>
        </w:rPr>
        <w:t xml:space="preserve"> SF </w:t>
      </w:r>
      <w:r w:rsidR="00E55265">
        <w:rPr>
          <w:rFonts w:asciiTheme="minorHAnsi" w:hAnsiTheme="minorHAnsi"/>
          <w:sz w:val="24"/>
          <w:szCs w:val="24"/>
        </w:rPr>
        <w:t>is</w:t>
      </w:r>
      <w:r w:rsidR="007513E6">
        <w:rPr>
          <w:rFonts w:asciiTheme="minorHAnsi" w:hAnsiTheme="minorHAnsi"/>
          <w:sz w:val="24"/>
          <w:szCs w:val="24"/>
        </w:rPr>
        <w:t xml:space="preserve"> publical</w:t>
      </w:r>
      <w:r w:rsidR="0035701F">
        <w:rPr>
          <w:rFonts w:asciiTheme="minorHAnsi" w:hAnsiTheme="minorHAnsi"/>
          <w:sz w:val="24"/>
          <w:szCs w:val="24"/>
        </w:rPr>
        <w:t>ly available for anyone to read;</w:t>
      </w:r>
      <w:r w:rsidR="007513E6">
        <w:rPr>
          <w:rFonts w:asciiTheme="minorHAnsi" w:hAnsiTheme="minorHAnsi"/>
          <w:sz w:val="24"/>
          <w:szCs w:val="24"/>
        </w:rPr>
        <w:t xml:space="preserve"> </w:t>
      </w:r>
      <w:r w:rsidR="00A52B0C">
        <w:rPr>
          <w:rFonts w:asciiTheme="minorHAnsi" w:hAnsiTheme="minorHAnsi"/>
          <w:sz w:val="24"/>
          <w:szCs w:val="24"/>
        </w:rPr>
        <w:t>for anyone radically unforeseen to</w:t>
      </w:r>
      <w:r w:rsidR="004A44B1">
        <w:rPr>
          <w:rFonts w:asciiTheme="minorHAnsi" w:hAnsiTheme="minorHAnsi"/>
          <w:sz w:val="24"/>
          <w:szCs w:val="24"/>
        </w:rPr>
        <w:t xml:space="preserve"> become the addressee, </w:t>
      </w:r>
      <w:r w:rsidR="007513E6">
        <w:rPr>
          <w:rFonts w:asciiTheme="minorHAnsi" w:hAnsiTheme="minorHAnsi"/>
          <w:sz w:val="24"/>
          <w:szCs w:val="24"/>
        </w:rPr>
        <w:t xml:space="preserve">for example Elizabeth </w:t>
      </w:r>
      <w:r w:rsidR="00200B37">
        <w:rPr>
          <w:rFonts w:asciiTheme="minorHAnsi" w:hAnsiTheme="minorHAnsi"/>
          <w:sz w:val="24"/>
          <w:szCs w:val="24"/>
        </w:rPr>
        <w:t xml:space="preserve">A. </w:t>
      </w:r>
      <w:r w:rsidR="007513E6">
        <w:rPr>
          <w:rFonts w:asciiTheme="minorHAnsi" w:hAnsiTheme="minorHAnsi"/>
          <w:sz w:val="24"/>
          <w:szCs w:val="24"/>
        </w:rPr>
        <w:t>Wilson.</w:t>
      </w:r>
      <w:r w:rsidR="002D4EC0">
        <w:rPr>
          <w:rStyle w:val="EndnoteReference"/>
          <w:rFonts w:asciiTheme="minorHAnsi" w:hAnsiTheme="minorHAnsi"/>
          <w:sz w:val="24"/>
          <w:szCs w:val="24"/>
        </w:rPr>
        <w:endnoteReference w:id="24"/>
      </w:r>
    </w:p>
    <w:p w14:paraId="711041D8" w14:textId="77777777" w:rsidR="005C5D7D" w:rsidRDefault="005C5D7D" w:rsidP="002078A1">
      <w:pPr>
        <w:widowControl w:val="0"/>
        <w:autoSpaceDE w:val="0"/>
        <w:autoSpaceDN w:val="0"/>
        <w:adjustRightInd w:val="0"/>
        <w:rPr>
          <w:rFonts w:asciiTheme="minorHAnsi" w:hAnsiTheme="minorHAnsi"/>
          <w:sz w:val="24"/>
          <w:szCs w:val="24"/>
        </w:rPr>
      </w:pPr>
    </w:p>
    <w:p w14:paraId="61EBE84D" w14:textId="41872F24" w:rsidR="002078A1" w:rsidRPr="00F43964" w:rsidRDefault="009B0DAE" w:rsidP="002078A1">
      <w:pPr>
        <w:widowControl w:val="0"/>
        <w:autoSpaceDE w:val="0"/>
        <w:autoSpaceDN w:val="0"/>
        <w:adjustRightInd w:val="0"/>
        <w:rPr>
          <w:rFonts w:asciiTheme="minorHAnsi" w:hAnsiTheme="minorHAnsi"/>
          <w:sz w:val="24"/>
          <w:szCs w:val="24"/>
        </w:rPr>
      </w:pPr>
      <w:r>
        <w:rPr>
          <w:rFonts w:asciiTheme="minorHAnsi" w:hAnsiTheme="minorHAnsi"/>
          <w:sz w:val="24"/>
          <w:szCs w:val="24"/>
        </w:rPr>
        <w:t xml:space="preserve">Alongside drawing out the dynamism that Wilson </w:t>
      </w:r>
      <w:r w:rsidR="002E66C4">
        <w:rPr>
          <w:rFonts w:asciiTheme="minorHAnsi" w:hAnsiTheme="minorHAnsi"/>
          <w:sz w:val="24"/>
          <w:szCs w:val="24"/>
        </w:rPr>
        <w:t>finds</w:t>
      </w:r>
      <w:r>
        <w:rPr>
          <w:rFonts w:asciiTheme="minorHAnsi" w:hAnsiTheme="minorHAnsi"/>
          <w:sz w:val="24"/>
          <w:szCs w:val="24"/>
        </w:rPr>
        <w:t xml:space="preserve"> in </w:t>
      </w:r>
      <w:r w:rsidR="00476369">
        <w:rPr>
          <w:rFonts w:asciiTheme="minorHAnsi" w:hAnsiTheme="minorHAnsi"/>
          <w:sz w:val="24"/>
          <w:szCs w:val="24"/>
        </w:rPr>
        <w:t>the Ferenczian</w:t>
      </w:r>
      <w:r>
        <w:rPr>
          <w:rFonts w:asciiTheme="minorHAnsi" w:hAnsiTheme="minorHAnsi"/>
          <w:sz w:val="24"/>
          <w:szCs w:val="24"/>
        </w:rPr>
        <w:t xml:space="preserve"> body, </w:t>
      </w:r>
      <w:r w:rsidR="002E66C4">
        <w:rPr>
          <w:rFonts w:asciiTheme="minorHAnsi" w:hAnsiTheme="minorHAnsi"/>
          <w:sz w:val="24"/>
          <w:szCs w:val="24"/>
        </w:rPr>
        <w:t xml:space="preserve">and </w:t>
      </w:r>
      <w:r>
        <w:rPr>
          <w:rFonts w:asciiTheme="minorHAnsi" w:hAnsiTheme="minorHAnsi"/>
          <w:sz w:val="24"/>
          <w:szCs w:val="24"/>
        </w:rPr>
        <w:t xml:space="preserve">one that dares </w:t>
      </w:r>
      <w:r w:rsidR="006A7FCF">
        <w:rPr>
          <w:rFonts w:asciiTheme="minorHAnsi" w:hAnsiTheme="minorHAnsi"/>
          <w:sz w:val="24"/>
          <w:szCs w:val="24"/>
        </w:rPr>
        <w:t xml:space="preserve">embrace </w:t>
      </w:r>
      <w:r>
        <w:rPr>
          <w:rFonts w:asciiTheme="minorHAnsi" w:hAnsiTheme="minorHAnsi"/>
          <w:sz w:val="24"/>
          <w:szCs w:val="24"/>
        </w:rPr>
        <w:t>the name ‘</w:t>
      </w:r>
      <w:r w:rsidRPr="00164282">
        <w:rPr>
          <w:rFonts w:asciiTheme="minorHAnsi" w:hAnsiTheme="minorHAnsi"/>
          <w:sz w:val="24"/>
          <w:szCs w:val="24"/>
        </w:rPr>
        <w:t>bioanalysis’</w:t>
      </w:r>
      <w:r w:rsidR="00476369" w:rsidRPr="00164282">
        <w:rPr>
          <w:rFonts w:asciiTheme="minorHAnsi" w:hAnsiTheme="minorHAnsi"/>
          <w:sz w:val="24"/>
          <w:szCs w:val="24"/>
        </w:rPr>
        <w:t xml:space="preserve"> (rather than psychoanalysis)</w:t>
      </w:r>
      <w:r w:rsidRPr="00164282">
        <w:rPr>
          <w:rFonts w:asciiTheme="minorHAnsi" w:hAnsiTheme="minorHAnsi"/>
          <w:sz w:val="24"/>
          <w:szCs w:val="24"/>
        </w:rPr>
        <w:t xml:space="preserve">, </w:t>
      </w:r>
      <w:r w:rsidR="00465F5B" w:rsidRPr="00164282">
        <w:rPr>
          <w:rFonts w:asciiTheme="minorHAnsi" w:hAnsiTheme="minorHAnsi"/>
          <w:sz w:val="24"/>
          <w:szCs w:val="24"/>
        </w:rPr>
        <w:t xml:space="preserve">this chapter </w:t>
      </w:r>
      <w:r w:rsidR="00CB6F3E" w:rsidRPr="00164282">
        <w:rPr>
          <w:rFonts w:asciiTheme="minorHAnsi" w:hAnsiTheme="minorHAnsi"/>
          <w:sz w:val="24"/>
          <w:szCs w:val="24"/>
        </w:rPr>
        <w:t>turns to two related topics.</w:t>
      </w:r>
      <w:r w:rsidR="00E45B3B" w:rsidRPr="00164282">
        <w:rPr>
          <w:rStyle w:val="EndnoteReference"/>
          <w:rFonts w:asciiTheme="minorHAnsi" w:hAnsiTheme="minorHAnsi"/>
          <w:sz w:val="24"/>
          <w:szCs w:val="24"/>
        </w:rPr>
        <w:endnoteReference w:id="25"/>
      </w:r>
      <w:r w:rsidR="00CB6F3E" w:rsidRPr="00164282">
        <w:rPr>
          <w:rFonts w:asciiTheme="minorHAnsi" w:hAnsiTheme="minorHAnsi"/>
          <w:sz w:val="24"/>
          <w:szCs w:val="24"/>
        </w:rPr>
        <w:t xml:space="preserve"> One is the </w:t>
      </w:r>
      <w:r w:rsidR="000B2D9B" w:rsidRPr="00164282">
        <w:rPr>
          <w:rFonts w:asciiTheme="minorHAnsi" w:hAnsiTheme="minorHAnsi"/>
          <w:sz w:val="24"/>
          <w:szCs w:val="24"/>
        </w:rPr>
        <w:t>version</w:t>
      </w:r>
      <w:r w:rsidR="00CB6F3E" w:rsidRPr="00164282">
        <w:rPr>
          <w:rFonts w:asciiTheme="minorHAnsi" w:hAnsiTheme="minorHAnsi"/>
          <w:sz w:val="24"/>
          <w:szCs w:val="24"/>
        </w:rPr>
        <w:t xml:space="preserve"> of the death drive </w:t>
      </w:r>
      <w:r w:rsidR="000B2D9B" w:rsidRPr="00164282">
        <w:rPr>
          <w:rFonts w:asciiTheme="minorHAnsi" w:hAnsiTheme="minorHAnsi"/>
          <w:sz w:val="24"/>
          <w:szCs w:val="24"/>
        </w:rPr>
        <w:t>surfacing</w:t>
      </w:r>
      <w:r w:rsidR="00CB6F3E" w:rsidRPr="00164282">
        <w:rPr>
          <w:rFonts w:asciiTheme="minorHAnsi" w:hAnsiTheme="minorHAnsi"/>
          <w:sz w:val="24"/>
          <w:szCs w:val="24"/>
        </w:rPr>
        <w:t xml:space="preserve"> </w:t>
      </w:r>
      <w:r w:rsidR="000B2D9B" w:rsidRPr="00164282">
        <w:rPr>
          <w:rFonts w:asciiTheme="minorHAnsi" w:hAnsiTheme="minorHAnsi"/>
          <w:sz w:val="24"/>
          <w:szCs w:val="24"/>
        </w:rPr>
        <w:t>in</w:t>
      </w:r>
      <w:r w:rsidR="00CB6F3E" w:rsidRPr="00164282">
        <w:rPr>
          <w:rFonts w:asciiTheme="minorHAnsi" w:hAnsiTheme="minorHAnsi"/>
          <w:sz w:val="24"/>
          <w:szCs w:val="24"/>
        </w:rPr>
        <w:t xml:space="preserve"> </w:t>
      </w:r>
      <w:r w:rsidR="00CB6F3E" w:rsidRPr="00164282">
        <w:rPr>
          <w:rFonts w:asciiTheme="minorHAnsi" w:hAnsiTheme="minorHAnsi"/>
          <w:i/>
          <w:sz w:val="24"/>
          <w:szCs w:val="24"/>
        </w:rPr>
        <w:t>Thalassa</w:t>
      </w:r>
      <w:r w:rsidR="00CD12DD" w:rsidRPr="00164282">
        <w:rPr>
          <w:rFonts w:asciiTheme="minorHAnsi" w:hAnsiTheme="minorHAnsi"/>
          <w:sz w:val="24"/>
          <w:szCs w:val="24"/>
        </w:rPr>
        <w:t xml:space="preserve"> </w:t>
      </w:r>
      <w:r w:rsidR="00C97D92" w:rsidRPr="00164282">
        <w:rPr>
          <w:rFonts w:asciiTheme="minorHAnsi" w:hAnsiTheme="minorHAnsi"/>
          <w:sz w:val="24"/>
          <w:szCs w:val="24"/>
        </w:rPr>
        <w:t xml:space="preserve">in the guise </w:t>
      </w:r>
      <w:r w:rsidR="00CD12DD" w:rsidRPr="00164282">
        <w:rPr>
          <w:rFonts w:asciiTheme="minorHAnsi" w:hAnsiTheme="minorHAnsi"/>
          <w:sz w:val="24"/>
          <w:szCs w:val="24"/>
        </w:rPr>
        <w:t xml:space="preserve">of </w:t>
      </w:r>
      <w:r w:rsidR="00C97D92" w:rsidRPr="00164282">
        <w:rPr>
          <w:rFonts w:asciiTheme="minorHAnsi" w:hAnsiTheme="minorHAnsi"/>
          <w:sz w:val="24"/>
          <w:szCs w:val="24"/>
        </w:rPr>
        <w:t xml:space="preserve">a </w:t>
      </w:r>
      <w:r w:rsidR="00CD12DD" w:rsidRPr="00164282">
        <w:rPr>
          <w:rFonts w:asciiTheme="minorHAnsi" w:hAnsiTheme="minorHAnsi"/>
          <w:sz w:val="24"/>
          <w:szCs w:val="24"/>
        </w:rPr>
        <w:t xml:space="preserve">death </w:t>
      </w:r>
      <w:r w:rsidR="00CD12DD" w:rsidRPr="00164282">
        <w:rPr>
          <w:rFonts w:asciiTheme="minorHAnsi" w:hAnsiTheme="minorHAnsi"/>
          <w:i/>
          <w:sz w:val="24"/>
          <w:szCs w:val="24"/>
        </w:rPr>
        <w:t>dive</w:t>
      </w:r>
      <w:r w:rsidR="00CD12DD" w:rsidRPr="00164282">
        <w:rPr>
          <w:rFonts w:asciiTheme="minorHAnsi" w:hAnsiTheme="minorHAnsi"/>
          <w:sz w:val="24"/>
          <w:szCs w:val="24"/>
        </w:rPr>
        <w:t>,</w:t>
      </w:r>
      <w:r w:rsidR="00CD12DD">
        <w:rPr>
          <w:rFonts w:asciiTheme="minorHAnsi" w:hAnsiTheme="minorHAnsi"/>
          <w:sz w:val="24"/>
          <w:szCs w:val="24"/>
        </w:rPr>
        <w:t xml:space="preserve"> </w:t>
      </w:r>
      <w:r w:rsidR="00CB6F3E">
        <w:rPr>
          <w:rFonts w:asciiTheme="minorHAnsi" w:hAnsiTheme="minorHAnsi"/>
          <w:sz w:val="24"/>
          <w:szCs w:val="24"/>
        </w:rPr>
        <w:t xml:space="preserve">that is to say the </w:t>
      </w:r>
      <w:r w:rsidR="001324FA">
        <w:rPr>
          <w:rFonts w:asciiTheme="minorHAnsi" w:hAnsiTheme="minorHAnsi"/>
          <w:sz w:val="24"/>
          <w:szCs w:val="24"/>
        </w:rPr>
        <w:t>S</w:t>
      </w:r>
      <w:r w:rsidR="00025A5D">
        <w:rPr>
          <w:rFonts w:asciiTheme="minorHAnsi" w:hAnsiTheme="minorHAnsi"/>
          <w:sz w:val="24"/>
          <w:szCs w:val="24"/>
        </w:rPr>
        <w:t xml:space="preserve">F </w:t>
      </w:r>
      <w:r w:rsidR="00CB6F3E">
        <w:rPr>
          <w:rFonts w:asciiTheme="minorHAnsi" w:hAnsiTheme="minorHAnsi"/>
          <w:sz w:val="24"/>
          <w:szCs w:val="24"/>
        </w:rPr>
        <w:t>desire to return to life in water</w:t>
      </w:r>
      <w:r w:rsidR="00AE02D9">
        <w:rPr>
          <w:rFonts w:asciiTheme="minorHAnsi" w:hAnsiTheme="minorHAnsi"/>
          <w:sz w:val="24"/>
          <w:szCs w:val="24"/>
        </w:rPr>
        <w:t>. This return invokes both ontogenesis,</w:t>
      </w:r>
      <w:r w:rsidR="00CD12DD">
        <w:rPr>
          <w:rFonts w:asciiTheme="minorHAnsi" w:hAnsiTheme="minorHAnsi"/>
          <w:sz w:val="24"/>
          <w:szCs w:val="24"/>
        </w:rPr>
        <w:t xml:space="preserve"> </w:t>
      </w:r>
      <w:r w:rsidR="001506B1">
        <w:rPr>
          <w:rFonts w:asciiTheme="minorHAnsi" w:hAnsiTheme="minorHAnsi"/>
          <w:sz w:val="24"/>
          <w:szCs w:val="24"/>
        </w:rPr>
        <w:t>in terms</w:t>
      </w:r>
      <w:r w:rsidR="00CD12DD">
        <w:rPr>
          <w:rFonts w:asciiTheme="minorHAnsi" w:hAnsiTheme="minorHAnsi"/>
          <w:sz w:val="24"/>
          <w:szCs w:val="24"/>
        </w:rPr>
        <w:t xml:space="preserve"> of </w:t>
      </w:r>
      <w:r w:rsidR="00FE247F">
        <w:rPr>
          <w:rFonts w:asciiTheme="minorHAnsi" w:hAnsiTheme="minorHAnsi"/>
          <w:sz w:val="24"/>
          <w:szCs w:val="24"/>
        </w:rPr>
        <w:t xml:space="preserve">individual explusion from </w:t>
      </w:r>
      <w:r w:rsidR="00CD12DD">
        <w:rPr>
          <w:rFonts w:asciiTheme="minorHAnsi" w:hAnsiTheme="minorHAnsi"/>
          <w:sz w:val="24"/>
          <w:szCs w:val="24"/>
        </w:rPr>
        <w:t>amniotic fluid</w:t>
      </w:r>
      <w:r w:rsidR="00AE02D9">
        <w:rPr>
          <w:rFonts w:asciiTheme="minorHAnsi" w:hAnsiTheme="minorHAnsi"/>
          <w:sz w:val="24"/>
          <w:szCs w:val="24"/>
        </w:rPr>
        <w:t>,</w:t>
      </w:r>
      <w:r w:rsidR="00CD12DD">
        <w:rPr>
          <w:rFonts w:asciiTheme="minorHAnsi" w:hAnsiTheme="minorHAnsi"/>
          <w:sz w:val="24"/>
          <w:szCs w:val="24"/>
        </w:rPr>
        <w:t xml:space="preserve"> and phylogen</w:t>
      </w:r>
      <w:r w:rsidR="001506B1">
        <w:rPr>
          <w:rFonts w:asciiTheme="minorHAnsi" w:hAnsiTheme="minorHAnsi"/>
          <w:sz w:val="24"/>
          <w:szCs w:val="24"/>
        </w:rPr>
        <w:t>e</w:t>
      </w:r>
      <w:r w:rsidR="00AE02D9">
        <w:rPr>
          <w:rFonts w:asciiTheme="minorHAnsi" w:hAnsiTheme="minorHAnsi"/>
          <w:sz w:val="24"/>
          <w:szCs w:val="24"/>
        </w:rPr>
        <w:t>sis,</w:t>
      </w:r>
      <w:r w:rsidR="00CD12DD">
        <w:rPr>
          <w:rFonts w:asciiTheme="minorHAnsi" w:hAnsiTheme="minorHAnsi"/>
          <w:sz w:val="24"/>
          <w:szCs w:val="24"/>
        </w:rPr>
        <w:t xml:space="preserve"> </w:t>
      </w:r>
      <w:r w:rsidR="001506B1">
        <w:rPr>
          <w:rFonts w:asciiTheme="minorHAnsi" w:hAnsiTheme="minorHAnsi"/>
          <w:sz w:val="24"/>
          <w:szCs w:val="24"/>
        </w:rPr>
        <w:t>in terms of the seas</w:t>
      </w:r>
      <w:r w:rsidR="00AE02D9">
        <w:rPr>
          <w:rFonts w:asciiTheme="minorHAnsi" w:hAnsiTheme="minorHAnsi"/>
          <w:sz w:val="24"/>
          <w:szCs w:val="24"/>
        </w:rPr>
        <w:t xml:space="preserve"> and the evolutionary remembrance of </w:t>
      </w:r>
      <w:r w:rsidR="003333FD">
        <w:rPr>
          <w:rFonts w:asciiTheme="minorHAnsi" w:hAnsiTheme="minorHAnsi"/>
          <w:sz w:val="24"/>
          <w:szCs w:val="24"/>
        </w:rPr>
        <w:t xml:space="preserve">swimming amongst </w:t>
      </w:r>
      <w:r w:rsidR="00AE02D9">
        <w:rPr>
          <w:rFonts w:asciiTheme="minorHAnsi" w:hAnsiTheme="minorHAnsi"/>
          <w:sz w:val="24"/>
          <w:szCs w:val="24"/>
        </w:rPr>
        <w:t>other species</w:t>
      </w:r>
      <w:r w:rsidR="00CB6F3E" w:rsidRPr="00F725DF">
        <w:rPr>
          <w:rFonts w:asciiTheme="minorHAnsi" w:hAnsiTheme="minorHAnsi"/>
          <w:color w:val="0000FF"/>
          <w:sz w:val="24"/>
          <w:szCs w:val="24"/>
        </w:rPr>
        <w:t xml:space="preserve">. </w:t>
      </w:r>
      <w:r w:rsidR="00CB6F3E">
        <w:rPr>
          <w:rFonts w:asciiTheme="minorHAnsi" w:hAnsiTheme="minorHAnsi"/>
          <w:sz w:val="24"/>
          <w:szCs w:val="24"/>
        </w:rPr>
        <w:t>The other is the still pressing, still vexacious matter of sexual difference</w:t>
      </w:r>
      <w:r w:rsidR="00F725DF">
        <w:rPr>
          <w:rFonts w:asciiTheme="minorHAnsi" w:hAnsiTheme="minorHAnsi"/>
          <w:sz w:val="24"/>
          <w:szCs w:val="24"/>
        </w:rPr>
        <w:t>, or in a more Derridean light, sexual differences</w:t>
      </w:r>
      <w:r w:rsidR="00CB6F3E">
        <w:rPr>
          <w:rFonts w:asciiTheme="minorHAnsi" w:hAnsiTheme="minorHAnsi"/>
          <w:sz w:val="24"/>
          <w:szCs w:val="24"/>
        </w:rPr>
        <w:t xml:space="preserve">. Given Wilson’s strong situation of Ferenczi within her project of ‘Gut </w:t>
      </w:r>
      <w:r w:rsidR="00CB6F3E" w:rsidRPr="008B4CE2">
        <w:rPr>
          <w:rFonts w:asciiTheme="minorHAnsi" w:hAnsiTheme="minorHAnsi"/>
          <w:i/>
          <w:sz w:val="24"/>
          <w:szCs w:val="24"/>
        </w:rPr>
        <w:t>Feminism’</w:t>
      </w:r>
      <w:r w:rsidR="00CB6F3E">
        <w:rPr>
          <w:rFonts w:asciiTheme="minorHAnsi" w:hAnsiTheme="minorHAnsi"/>
          <w:sz w:val="24"/>
          <w:szCs w:val="24"/>
        </w:rPr>
        <w:t xml:space="preserve"> readers might expect more of a </w:t>
      </w:r>
      <w:r w:rsidR="00492188">
        <w:rPr>
          <w:rFonts w:asciiTheme="minorHAnsi" w:hAnsiTheme="minorHAnsi"/>
          <w:sz w:val="24"/>
          <w:szCs w:val="24"/>
        </w:rPr>
        <w:t>forthright</w:t>
      </w:r>
      <w:r w:rsidR="00CB6F3E">
        <w:rPr>
          <w:rFonts w:asciiTheme="minorHAnsi" w:hAnsiTheme="minorHAnsi"/>
          <w:sz w:val="24"/>
          <w:szCs w:val="24"/>
        </w:rPr>
        <w:t xml:space="preserve"> eng</w:t>
      </w:r>
      <w:r w:rsidR="008C5FCA">
        <w:rPr>
          <w:rFonts w:asciiTheme="minorHAnsi" w:hAnsiTheme="minorHAnsi"/>
          <w:sz w:val="24"/>
          <w:szCs w:val="24"/>
        </w:rPr>
        <w:t>agement with the sexual.</w:t>
      </w:r>
      <w:r w:rsidR="008B4CE2">
        <w:rPr>
          <w:rStyle w:val="EndnoteReference"/>
          <w:rFonts w:asciiTheme="minorHAnsi" w:hAnsiTheme="minorHAnsi"/>
          <w:sz w:val="24"/>
          <w:szCs w:val="24"/>
        </w:rPr>
        <w:endnoteReference w:id="26"/>
      </w:r>
      <w:r w:rsidR="008C5FCA">
        <w:rPr>
          <w:rFonts w:asciiTheme="minorHAnsi" w:hAnsiTheme="minorHAnsi"/>
          <w:sz w:val="24"/>
          <w:szCs w:val="24"/>
        </w:rPr>
        <w:t xml:space="preserve"> It may </w:t>
      </w:r>
      <w:r w:rsidR="002E66C4">
        <w:rPr>
          <w:rFonts w:asciiTheme="minorHAnsi" w:hAnsiTheme="minorHAnsi"/>
          <w:sz w:val="24"/>
          <w:szCs w:val="24"/>
        </w:rPr>
        <w:t xml:space="preserve">be that </w:t>
      </w:r>
      <w:r w:rsidR="008C5FCA">
        <w:rPr>
          <w:rFonts w:asciiTheme="minorHAnsi" w:hAnsiTheme="minorHAnsi"/>
          <w:sz w:val="24"/>
          <w:szCs w:val="24"/>
        </w:rPr>
        <w:t>by significantly shifting attention to the stomach</w:t>
      </w:r>
      <w:r w:rsidR="00C82F4F">
        <w:rPr>
          <w:rFonts w:asciiTheme="minorHAnsi" w:hAnsiTheme="minorHAnsi"/>
          <w:sz w:val="24"/>
          <w:szCs w:val="24"/>
        </w:rPr>
        <w:t>,</w:t>
      </w:r>
      <w:r w:rsidR="002E66C4">
        <w:rPr>
          <w:rFonts w:asciiTheme="minorHAnsi" w:hAnsiTheme="minorHAnsi"/>
          <w:sz w:val="24"/>
          <w:szCs w:val="24"/>
        </w:rPr>
        <w:t xml:space="preserve"> or the ‘brain in the gut’ as she calls it in </w:t>
      </w:r>
      <w:r w:rsidR="00C82F4F">
        <w:rPr>
          <w:rFonts w:asciiTheme="minorHAnsi" w:hAnsiTheme="minorHAnsi"/>
          <w:sz w:val="24"/>
          <w:szCs w:val="24"/>
        </w:rPr>
        <w:t xml:space="preserve">her 2004 book </w:t>
      </w:r>
      <w:r w:rsidR="002E66C4" w:rsidRPr="002E66C4">
        <w:rPr>
          <w:rFonts w:asciiTheme="minorHAnsi" w:hAnsiTheme="minorHAnsi"/>
          <w:i/>
          <w:sz w:val="24"/>
          <w:szCs w:val="24"/>
        </w:rPr>
        <w:t>Psychosomatic</w:t>
      </w:r>
      <w:r w:rsidR="002E66C4">
        <w:rPr>
          <w:rFonts w:asciiTheme="minorHAnsi" w:hAnsiTheme="minorHAnsi"/>
          <w:sz w:val="24"/>
          <w:szCs w:val="24"/>
        </w:rPr>
        <w:t xml:space="preserve">, for the purpose of </w:t>
      </w:r>
      <w:r w:rsidR="00556918">
        <w:rPr>
          <w:rFonts w:asciiTheme="minorHAnsi" w:hAnsiTheme="minorHAnsi"/>
          <w:sz w:val="24"/>
          <w:szCs w:val="24"/>
        </w:rPr>
        <w:t>dramatically</w:t>
      </w:r>
      <w:r w:rsidR="002E66C4">
        <w:rPr>
          <w:rFonts w:asciiTheme="minorHAnsi" w:hAnsiTheme="minorHAnsi"/>
          <w:sz w:val="24"/>
          <w:szCs w:val="24"/>
        </w:rPr>
        <w:t xml:space="preserve"> rethinking what happens and where it happens when we are depressed</w:t>
      </w:r>
      <w:r w:rsidR="00921DF5">
        <w:rPr>
          <w:rFonts w:asciiTheme="minorHAnsi" w:hAnsiTheme="minorHAnsi"/>
          <w:sz w:val="24"/>
          <w:szCs w:val="24"/>
        </w:rPr>
        <w:t xml:space="preserve"> that sexually differentiated Oedipal complexes have ceased to organise </w:t>
      </w:r>
      <w:r w:rsidR="00346DF8">
        <w:rPr>
          <w:rFonts w:asciiTheme="minorHAnsi" w:hAnsiTheme="minorHAnsi"/>
          <w:sz w:val="24"/>
          <w:szCs w:val="24"/>
        </w:rPr>
        <w:t>Wilson’s</w:t>
      </w:r>
      <w:r w:rsidR="00921DF5">
        <w:rPr>
          <w:rFonts w:asciiTheme="minorHAnsi" w:hAnsiTheme="minorHAnsi"/>
          <w:sz w:val="24"/>
          <w:szCs w:val="24"/>
        </w:rPr>
        <w:t xml:space="preserve"> focus.</w:t>
      </w:r>
      <w:r w:rsidR="002078A1">
        <w:rPr>
          <w:rStyle w:val="EndnoteReference"/>
          <w:rFonts w:asciiTheme="minorHAnsi" w:hAnsiTheme="minorHAnsi"/>
          <w:sz w:val="24"/>
          <w:szCs w:val="24"/>
        </w:rPr>
        <w:endnoteReference w:id="27"/>
      </w:r>
      <w:r w:rsidR="00921DF5">
        <w:rPr>
          <w:rFonts w:asciiTheme="minorHAnsi" w:hAnsiTheme="minorHAnsi"/>
          <w:sz w:val="24"/>
          <w:szCs w:val="24"/>
        </w:rPr>
        <w:t xml:space="preserve"> </w:t>
      </w:r>
      <w:r w:rsidR="00F46CDD">
        <w:rPr>
          <w:rFonts w:asciiTheme="minorHAnsi" w:hAnsiTheme="minorHAnsi"/>
          <w:sz w:val="24"/>
          <w:szCs w:val="24"/>
        </w:rPr>
        <w:t xml:space="preserve">It may be that the stomach is participant in sexuality </w:t>
      </w:r>
      <w:r w:rsidR="00E665F0">
        <w:rPr>
          <w:rFonts w:asciiTheme="minorHAnsi" w:hAnsiTheme="minorHAnsi"/>
          <w:sz w:val="24"/>
          <w:szCs w:val="24"/>
        </w:rPr>
        <w:t xml:space="preserve">in ways that are yet to be </w:t>
      </w:r>
      <w:r w:rsidR="00F46CDD">
        <w:rPr>
          <w:rFonts w:asciiTheme="minorHAnsi" w:hAnsiTheme="minorHAnsi"/>
          <w:sz w:val="24"/>
          <w:szCs w:val="24"/>
        </w:rPr>
        <w:t xml:space="preserve">set </w:t>
      </w:r>
      <w:r w:rsidR="000B3690">
        <w:rPr>
          <w:rFonts w:asciiTheme="minorHAnsi" w:hAnsiTheme="minorHAnsi"/>
          <w:sz w:val="24"/>
          <w:szCs w:val="24"/>
        </w:rPr>
        <w:t>forth</w:t>
      </w:r>
      <w:r w:rsidR="00FA55AD">
        <w:rPr>
          <w:rFonts w:asciiTheme="minorHAnsi" w:hAnsiTheme="minorHAnsi"/>
          <w:sz w:val="24"/>
          <w:szCs w:val="24"/>
        </w:rPr>
        <w:t xml:space="preserve"> (</w:t>
      </w:r>
      <w:r w:rsidR="008E0305">
        <w:rPr>
          <w:rFonts w:asciiTheme="minorHAnsi" w:hAnsiTheme="minorHAnsi"/>
          <w:sz w:val="24"/>
          <w:szCs w:val="24"/>
        </w:rPr>
        <w:t>she</w:t>
      </w:r>
      <w:r w:rsidR="00FA55AD">
        <w:rPr>
          <w:rFonts w:asciiTheme="minorHAnsi" w:hAnsiTheme="minorHAnsi"/>
          <w:sz w:val="24"/>
          <w:szCs w:val="24"/>
        </w:rPr>
        <w:t xml:space="preserve"> invokes the </w:t>
      </w:r>
      <w:r w:rsidR="00EC7917">
        <w:rPr>
          <w:rFonts w:asciiTheme="minorHAnsi" w:hAnsiTheme="minorHAnsi"/>
          <w:sz w:val="24"/>
          <w:szCs w:val="24"/>
        </w:rPr>
        <w:t>contr</w:t>
      </w:r>
      <w:r w:rsidR="00FA55AD">
        <w:rPr>
          <w:rFonts w:asciiTheme="minorHAnsi" w:hAnsiTheme="minorHAnsi"/>
          <w:sz w:val="24"/>
          <w:szCs w:val="24"/>
        </w:rPr>
        <w:t>actions of peristalsis and antiperistalsis that Ferenczi traces phylogenetically to the ‘same digestive tube’)</w:t>
      </w:r>
      <w:r w:rsidR="00E665F0">
        <w:rPr>
          <w:rFonts w:asciiTheme="minorHAnsi" w:hAnsiTheme="minorHAnsi"/>
          <w:sz w:val="24"/>
          <w:szCs w:val="24"/>
        </w:rPr>
        <w:t>.</w:t>
      </w:r>
      <w:r w:rsidR="00FA55AD">
        <w:rPr>
          <w:rStyle w:val="EndnoteReference"/>
          <w:rFonts w:asciiTheme="minorHAnsi" w:hAnsiTheme="minorHAnsi"/>
          <w:sz w:val="24"/>
          <w:szCs w:val="24"/>
        </w:rPr>
        <w:endnoteReference w:id="28"/>
      </w:r>
      <w:r w:rsidR="00E665F0">
        <w:rPr>
          <w:rFonts w:asciiTheme="minorHAnsi" w:hAnsiTheme="minorHAnsi"/>
          <w:sz w:val="24"/>
          <w:szCs w:val="24"/>
        </w:rPr>
        <w:t xml:space="preserve"> </w:t>
      </w:r>
      <w:r w:rsidR="00921DF5">
        <w:rPr>
          <w:rFonts w:asciiTheme="minorHAnsi" w:hAnsiTheme="minorHAnsi"/>
          <w:sz w:val="24"/>
          <w:szCs w:val="24"/>
        </w:rPr>
        <w:t>It may also be</w:t>
      </w:r>
      <w:r w:rsidR="00745BBC">
        <w:rPr>
          <w:rFonts w:asciiTheme="minorHAnsi" w:hAnsiTheme="minorHAnsi"/>
          <w:sz w:val="24"/>
          <w:szCs w:val="24"/>
        </w:rPr>
        <w:t xml:space="preserve"> – to continue this speculation – </w:t>
      </w:r>
      <w:r w:rsidR="00921DF5">
        <w:rPr>
          <w:rFonts w:asciiTheme="minorHAnsi" w:hAnsiTheme="minorHAnsi"/>
          <w:sz w:val="24"/>
          <w:szCs w:val="24"/>
        </w:rPr>
        <w:t xml:space="preserve">that </w:t>
      </w:r>
      <w:r w:rsidR="00346DF8">
        <w:rPr>
          <w:rFonts w:asciiTheme="minorHAnsi" w:hAnsiTheme="minorHAnsi"/>
          <w:sz w:val="24"/>
          <w:szCs w:val="24"/>
        </w:rPr>
        <w:t>she</w:t>
      </w:r>
      <w:r w:rsidR="00921DF5">
        <w:rPr>
          <w:rFonts w:asciiTheme="minorHAnsi" w:hAnsiTheme="minorHAnsi"/>
          <w:sz w:val="24"/>
          <w:szCs w:val="24"/>
        </w:rPr>
        <w:t xml:space="preserve"> avoids the unpleasure of trawling back through </w:t>
      </w:r>
      <w:r w:rsidR="00DE3398">
        <w:rPr>
          <w:rFonts w:asciiTheme="minorHAnsi" w:hAnsiTheme="minorHAnsi"/>
          <w:sz w:val="24"/>
          <w:szCs w:val="24"/>
        </w:rPr>
        <w:t>frequently</w:t>
      </w:r>
      <w:r w:rsidR="00921DF5">
        <w:rPr>
          <w:rFonts w:asciiTheme="minorHAnsi" w:hAnsiTheme="minorHAnsi"/>
          <w:sz w:val="24"/>
          <w:szCs w:val="24"/>
        </w:rPr>
        <w:t xml:space="preserve"> </w:t>
      </w:r>
      <w:r w:rsidR="00921DF5" w:rsidRPr="00F43964">
        <w:rPr>
          <w:rFonts w:asciiTheme="minorHAnsi" w:hAnsiTheme="minorHAnsi"/>
          <w:sz w:val="24"/>
          <w:szCs w:val="24"/>
        </w:rPr>
        <w:t xml:space="preserve">frustrating material in the psychoanalytic canon, material that </w:t>
      </w:r>
      <w:r w:rsidR="00703AF6" w:rsidRPr="00F43964">
        <w:rPr>
          <w:rFonts w:asciiTheme="minorHAnsi" w:hAnsiTheme="minorHAnsi"/>
          <w:sz w:val="24"/>
          <w:szCs w:val="24"/>
        </w:rPr>
        <w:t>endures</w:t>
      </w:r>
      <w:r w:rsidR="00921DF5" w:rsidRPr="00F43964">
        <w:rPr>
          <w:rFonts w:asciiTheme="minorHAnsi" w:hAnsiTheme="minorHAnsi"/>
          <w:sz w:val="24"/>
          <w:szCs w:val="24"/>
        </w:rPr>
        <w:t xml:space="preserve"> amongst Ferenczi’s </w:t>
      </w:r>
      <w:r w:rsidR="00A0355E">
        <w:rPr>
          <w:rFonts w:asciiTheme="minorHAnsi" w:hAnsiTheme="minorHAnsi"/>
          <w:sz w:val="24"/>
          <w:szCs w:val="24"/>
        </w:rPr>
        <w:t>problematically</w:t>
      </w:r>
      <w:r w:rsidR="00921DF5" w:rsidRPr="00F43964">
        <w:rPr>
          <w:rFonts w:asciiTheme="minorHAnsi" w:hAnsiTheme="minorHAnsi"/>
          <w:sz w:val="24"/>
          <w:szCs w:val="24"/>
        </w:rPr>
        <w:t xml:space="preserve"> radical thought. </w:t>
      </w:r>
      <w:r w:rsidR="002078A1" w:rsidRPr="00F43964">
        <w:rPr>
          <w:rFonts w:asciiTheme="minorHAnsi" w:hAnsiTheme="minorHAnsi"/>
          <w:sz w:val="24"/>
          <w:szCs w:val="24"/>
        </w:rPr>
        <w:t>Bri</w:t>
      </w:r>
      <w:r w:rsidR="00FA55AD">
        <w:rPr>
          <w:rFonts w:asciiTheme="minorHAnsi" w:hAnsiTheme="minorHAnsi"/>
          <w:sz w:val="24"/>
          <w:szCs w:val="24"/>
        </w:rPr>
        <w:t>dging her insistence on the gut</w:t>
      </w:r>
      <w:r w:rsidR="002078A1" w:rsidRPr="00F43964">
        <w:rPr>
          <w:rFonts w:asciiTheme="minorHAnsi" w:hAnsiTheme="minorHAnsi"/>
          <w:sz w:val="24"/>
          <w:szCs w:val="24"/>
        </w:rPr>
        <w:t xml:space="preserve"> she </w:t>
      </w:r>
      <w:r w:rsidR="00703AF6" w:rsidRPr="00F43964">
        <w:rPr>
          <w:rFonts w:asciiTheme="minorHAnsi" w:hAnsiTheme="minorHAnsi"/>
          <w:sz w:val="24"/>
          <w:szCs w:val="24"/>
        </w:rPr>
        <w:t>quote</w:t>
      </w:r>
      <w:r w:rsidR="00FB4E36">
        <w:rPr>
          <w:rFonts w:asciiTheme="minorHAnsi" w:hAnsiTheme="minorHAnsi"/>
          <w:sz w:val="24"/>
          <w:szCs w:val="24"/>
        </w:rPr>
        <w:t>s</w:t>
      </w:r>
      <w:r w:rsidR="00703AF6" w:rsidRPr="00F43964">
        <w:rPr>
          <w:rFonts w:asciiTheme="minorHAnsi" w:hAnsiTheme="minorHAnsi"/>
          <w:sz w:val="24"/>
          <w:szCs w:val="24"/>
        </w:rPr>
        <w:t xml:space="preserve"> Ferenczi’s highly suggestive reframing of ‘the genital’</w:t>
      </w:r>
      <w:r w:rsidR="002078A1" w:rsidRPr="00F43964">
        <w:rPr>
          <w:rFonts w:asciiTheme="minorHAnsi" w:hAnsiTheme="minorHAnsi"/>
          <w:sz w:val="24"/>
          <w:szCs w:val="24"/>
        </w:rPr>
        <w:t xml:space="preserve"> </w:t>
      </w:r>
      <w:r w:rsidR="00114A01">
        <w:rPr>
          <w:rFonts w:asciiTheme="minorHAnsi" w:hAnsiTheme="minorHAnsi"/>
          <w:sz w:val="24"/>
          <w:szCs w:val="24"/>
        </w:rPr>
        <w:t xml:space="preserve">in the opening pages of </w:t>
      </w:r>
      <w:r w:rsidR="00114A01" w:rsidRPr="00114A01">
        <w:rPr>
          <w:rFonts w:asciiTheme="minorHAnsi" w:hAnsiTheme="minorHAnsi"/>
          <w:i/>
          <w:sz w:val="24"/>
          <w:szCs w:val="24"/>
        </w:rPr>
        <w:t>Thalassa</w:t>
      </w:r>
      <w:r w:rsidR="002078A1" w:rsidRPr="00F43964">
        <w:rPr>
          <w:rFonts w:asciiTheme="minorHAnsi" w:hAnsiTheme="minorHAnsi"/>
          <w:sz w:val="24"/>
          <w:szCs w:val="24"/>
        </w:rPr>
        <w:t xml:space="preserve">, </w:t>
      </w:r>
      <w:r w:rsidR="00FA55AD">
        <w:rPr>
          <w:rFonts w:asciiTheme="minorHAnsi" w:hAnsiTheme="minorHAnsi"/>
          <w:sz w:val="24"/>
          <w:szCs w:val="24"/>
        </w:rPr>
        <w:t>yet without speculating upon its possible consequences</w:t>
      </w:r>
      <w:r w:rsidR="00750163">
        <w:rPr>
          <w:rFonts w:asciiTheme="minorHAnsi" w:hAnsiTheme="minorHAnsi"/>
          <w:sz w:val="24"/>
          <w:szCs w:val="24"/>
        </w:rPr>
        <w:t xml:space="preserve"> for sexuality</w:t>
      </w:r>
      <w:r w:rsidR="00FA55AD">
        <w:rPr>
          <w:rFonts w:asciiTheme="minorHAnsi" w:hAnsiTheme="minorHAnsi"/>
          <w:sz w:val="24"/>
          <w:szCs w:val="24"/>
        </w:rPr>
        <w:t>. This genital</w:t>
      </w:r>
    </w:p>
    <w:p w14:paraId="78B8ED72" w14:textId="0A751003" w:rsidR="002078A1" w:rsidRPr="00F43964" w:rsidRDefault="002078A1" w:rsidP="002078A1">
      <w:pPr>
        <w:widowControl w:val="0"/>
        <w:autoSpaceDE w:val="0"/>
        <w:autoSpaceDN w:val="0"/>
        <w:adjustRightInd w:val="0"/>
        <w:ind w:left="720"/>
        <w:rPr>
          <w:rFonts w:asciiTheme="minorHAnsi" w:hAnsiTheme="minorHAnsi"/>
          <w:sz w:val="24"/>
          <w:szCs w:val="24"/>
        </w:rPr>
      </w:pPr>
      <w:r w:rsidRPr="00F43964">
        <w:rPr>
          <w:rFonts w:asciiTheme="minorHAnsi" w:eastAsiaTheme="minorEastAsia" w:hAnsiTheme="minorHAnsi" w:cs="Times"/>
          <w:sz w:val="24"/>
          <w:szCs w:val="24"/>
          <w:lang w:val="en-US" w:eastAsia="en-US"/>
        </w:rPr>
        <w:t>[</w:t>
      </w:r>
      <w:r w:rsidR="00F43964" w:rsidRPr="00F43964">
        <w:rPr>
          <w:rFonts w:asciiTheme="minorHAnsi" w:eastAsiaTheme="minorEastAsia" w:hAnsiTheme="minorHAnsi" w:cs="Times"/>
          <w:sz w:val="24"/>
          <w:szCs w:val="24"/>
          <w:lang w:val="en-US" w:eastAsia="en-US"/>
        </w:rPr>
        <w:t>…</w:t>
      </w:r>
      <w:r w:rsidRPr="00F43964">
        <w:rPr>
          <w:rFonts w:asciiTheme="minorHAnsi" w:eastAsiaTheme="minorEastAsia" w:hAnsiTheme="minorHAnsi" w:cs="Times"/>
          <w:sz w:val="24"/>
          <w:szCs w:val="24"/>
          <w:lang w:val="en-US" w:eastAsia="en-US"/>
        </w:rPr>
        <w:t>] would then no longer be the unique and incomparable magic wand which conjures eroticisms from all the organs of the body; on the contrary, genital amphimixis would merely be one particular instance out of the many in which such fusion of eroticisms takes p</w:t>
      </w:r>
      <w:r w:rsidR="00F43964" w:rsidRPr="00F43964">
        <w:rPr>
          <w:rFonts w:asciiTheme="minorHAnsi" w:eastAsiaTheme="minorEastAsia" w:hAnsiTheme="minorHAnsi" w:cs="Times"/>
          <w:sz w:val="24"/>
          <w:szCs w:val="24"/>
          <w:lang w:val="en-US" w:eastAsia="en-US"/>
        </w:rPr>
        <w:t>l</w:t>
      </w:r>
      <w:r w:rsidRPr="00F43964">
        <w:rPr>
          <w:rFonts w:asciiTheme="minorHAnsi" w:eastAsiaTheme="minorEastAsia" w:hAnsiTheme="minorHAnsi" w:cs="Times"/>
          <w:sz w:val="24"/>
          <w:szCs w:val="24"/>
          <w:lang w:val="en-US" w:eastAsia="en-US"/>
        </w:rPr>
        <w:t>ace.</w:t>
      </w:r>
      <w:r w:rsidRPr="00F43964">
        <w:rPr>
          <w:rStyle w:val="EndnoteReference"/>
          <w:rFonts w:asciiTheme="minorHAnsi" w:eastAsiaTheme="minorEastAsia" w:hAnsiTheme="minorHAnsi" w:cs="Times"/>
          <w:sz w:val="24"/>
          <w:szCs w:val="24"/>
          <w:lang w:val="en-US" w:eastAsia="en-US"/>
        </w:rPr>
        <w:endnoteReference w:id="29"/>
      </w:r>
    </w:p>
    <w:p w14:paraId="23A353B6" w14:textId="77777777" w:rsidR="000C6A7A" w:rsidRDefault="00FB4E36" w:rsidP="00346DF8">
      <w:pPr>
        <w:widowControl w:val="0"/>
        <w:autoSpaceDE w:val="0"/>
        <w:autoSpaceDN w:val="0"/>
        <w:adjustRightInd w:val="0"/>
        <w:rPr>
          <w:rFonts w:asciiTheme="minorHAnsi" w:hAnsiTheme="minorHAnsi"/>
          <w:sz w:val="24"/>
          <w:szCs w:val="24"/>
        </w:rPr>
      </w:pPr>
      <w:r>
        <w:rPr>
          <w:rFonts w:asciiTheme="minorHAnsi" w:hAnsiTheme="minorHAnsi"/>
          <w:sz w:val="24"/>
          <w:szCs w:val="24"/>
        </w:rPr>
        <w:t>Whether Ferenczi himself follows through on disbanding this</w:t>
      </w:r>
      <w:r w:rsidR="00F43964">
        <w:rPr>
          <w:rFonts w:asciiTheme="minorHAnsi" w:hAnsiTheme="minorHAnsi"/>
          <w:sz w:val="24"/>
          <w:szCs w:val="24"/>
        </w:rPr>
        <w:t xml:space="preserve"> ‘magic wand’</w:t>
      </w:r>
      <w:r w:rsidR="0032686F">
        <w:rPr>
          <w:rFonts w:asciiTheme="minorHAnsi" w:hAnsiTheme="minorHAnsi"/>
          <w:sz w:val="24"/>
          <w:szCs w:val="24"/>
        </w:rPr>
        <w:t>,</w:t>
      </w:r>
      <w:r>
        <w:rPr>
          <w:rFonts w:asciiTheme="minorHAnsi" w:hAnsiTheme="minorHAnsi"/>
          <w:sz w:val="24"/>
          <w:szCs w:val="24"/>
        </w:rPr>
        <w:t xml:space="preserve"> </w:t>
      </w:r>
      <w:r w:rsidR="0032686F">
        <w:rPr>
          <w:rFonts w:asciiTheme="minorHAnsi" w:hAnsiTheme="minorHAnsi"/>
          <w:sz w:val="24"/>
          <w:szCs w:val="24"/>
        </w:rPr>
        <w:t xml:space="preserve">as this </w:t>
      </w:r>
      <w:r w:rsidR="00290221">
        <w:rPr>
          <w:rFonts w:asciiTheme="minorHAnsi" w:hAnsiTheme="minorHAnsi"/>
          <w:sz w:val="24"/>
          <w:szCs w:val="24"/>
        </w:rPr>
        <w:t xml:space="preserve">selective </w:t>
      </w:r>
      <w:r w:rsidR="0032686F">
        <w:rPr>
          <w:rFonts w:asciiTheme="minorHAnsi" w:hAnsiTheme="minorHAnsi"/>
          <w:sz w:val="24"/>
          <w:szCs w:val="24"/>
        </w:rPr>
        <w:t xml:space="preserve">quotation implies, </w:t>
      </w:r>
      <w:r>
        <w:rPr>
          <w:rFonts w:asciiTheme="minorHAnsi" w:hAnsiTheme="minorHAnsi"/>
          <w:sz w:val="24"/>
          <w:szCs w:val="24"/>
        </w:rPr>
        <w:t xml:space="preserve">is another question. </w:t>
      </w:r>
      <w:r w:rsidR="00346DF8">
        <w:rPr>
          <w:rFonts w:asciiTheme="minorHAnsi" w:hAnsiTheme="minorHAnsi"/>
          <w:sz w:val="24"/>
          <w:szCs w:val="24"/>
        </w:rPr>
        <w:t xml:space="preserve"> </w:t>
      </w:r>
    </w:p>
    <w:p w14:paraId="66474030" w14:textId="77777777" w:rsidR="000C6A7A" w:rsidRDefault="000C6A7A" w:rsidP="00346DF8">
      <w:pPr>
        <w:widowControl w:val="0"/>
        <w:autoSpaceDE w:val="0"/>
        <w:autoSpaceDN w:val="0"/>
        <w:adjustRightInd w:val="0"/>
        <w:rPr>
          <w:rFonts w:asciiTheme="minorHAnsi" w:hAnsiTheme="minorHAnsi"/>
          <w:sz w:val="24"/>
          <w:szCs w:val="24"/>
        </w:rPr>
      </w:pPr>
    </w:p>
    <w:p w14:paraId="13BA23E9" w14:textId="18F440EB" w:rsidR="008C5FCA" w:rsidRPr="00EE2251" w:rsidRDefault="008C5FCA" w:rsidP="007A7DED">
      <w:pPr>
        <w:rPr>
          <w:rFonts w:asciiTheme="majorHAnsi" w:hAnsiTheme="majorHAnsi"/>
          <w:sz w:val="24"/>
          <w:szCs w:val="24"/>
        </w:rPr>
      </w:pPr>
    </w:p>
    <w:p w14:paraId="47F2E2C0" w14:textId="7CDCAF6B" w:rsidR="008C5FCA" w:rsidRPr="00346DF8" w:rsidRDefault="008C5FCA" w:rsidP="00346DF8">
      <w:pPr>
        <w:jc w:val="center"/>
        <w:rPr>
          <w:rFonts w:asciiTheme="minorHAnsi" w:hAnsiTheme="minorHAnsi"/>
          <w:sz w:val="24"/>
          <w:szCs w:val="24"/>
        </w:rPr>
      </w:pPr>
      <w:r w:rsidRPr="00346DF8">
        <w:rPr>
          <w:rFonts w:asciiTheme="minorHAnsi" w:hAnsiTheme="minorHAnsi"/>
          <w:b/>
          <w:sz w:val="24"/>
          <w:szCs w:val="24"/>
        </w:rPr>
        <w:t>Damp squibs</w:t>
      </w:r>
    </w:p>
    <w:p w14:paraId="23EB9E1C" w14:textId="77777777" w:rsidR="00E45B3B" w:rsidRDefault="00E45B3B" w:rsidP="008C5FCA">
      <w:pPr>
        <w:rPr>
          <w:rFonts w:asciiTheme="minorHAnsi" w:hAnsiTheme="minorHAnsi"/>
          <w:sz w:val="24"/>
          <w:szCs w:val="24"/>
        </w:rPr>
      </w:pPr>
    </w:p>
    <w:p w14:paraId="724BC779" w14:textId="62059914" w:rsidR="00492916" w:rsidRPr="00511947" w:rsidRDefault="005B6775">
      <w:pPr>
        <w:rPr>
          <w:rFonts w:asciiTheme="minorHAnsi" w:hAnsiTheme="minorHAnsi"/>
          <w:sz w:val="24"/>
          <w:szCs w:val="24"/>
        </w:rPr>
      </w:pPr>
      <w:bookmarkStart w:id="0" w:name="_GoBack"/>
      <w:bookmarkEnd w:id="0"/>
      <w:r>
        <w:rPr>
          <w:rFonts w:asciiTheme="minorHAnsi" w:hAnsiTheme="minorHAnsi"/>
          <w:sz w:val="24"/>
          <w:szCs w:val="24"/>
        </w:rPr>
        <w:t xml:space="preserve">Excavating the ‘Freudian Crypt’ with Todd Dufresne would be enough to put off </w:t>
      </w:r>
      <w:r w:rsidR="00901A43">
        <w:rPr>
          <w:rFonts w:asciiTheme="minorHAnsi" w:hAnsiTheme="minorHAnsi"/>
          <w:sz w:val="24"/>
          <w:szCs w:val="24"/>
        </w:rPr>
        <w:t>many readers</w:t>
      </w:r>
      <w:r w:rsidR="00492916">
        <w:rPr>
          <w:rFonts w:asciiTheme="minorHAnsi" w:hAnsiTheme="minorHAnsi"/>
          <w:sz w:val="24"/>
          <w:szCs w:val="24"/>
        </w:rPr>
        <w:t xml:space="preserve"> - </w:t>
      </w:r>
      <w:r w:rsidR="00901A43">
        <w:rPr>
          <w:rFonts w:asciiTheme="minorHAnsi" w:hAnsiTheme="minorHAnsi"/>
          <w:sz w:val="24"/>
          <w:szCs w:val="24"/>
        </w:rPr>
        <w:t xml:space="preserve">particularly </w:t>
      </w:r>
      <w:r>
        <w:rPr>
          <w:rFonts w:asciiTheme="minorHAnsi" w:hAnsiTheme="minorHAnsi"/>
          <w:sz w:val="24"/>
          <w:szCs w:val="24"/>
        </w:rPr>
        <w:t xml:space="preserve">feminist </w:t>
      </w:r>
      <w:r w:rsidR="00901A43">
        <w:rPr>
          <w:rFonts w:asciiTheme="minorHAnsi" w:hAnsiTheme="minorHAnsi"/>
          <w:sz w:val="24"/>
          <w:szCs w:val="24"/>
        </w:rPr>
        <w:t>ones</w:t>
      </w:r>
      <w:r w:rsidR="00492916">
        <w:rPr>
          <w:rFonts w:asciiTheme="minorHAnsi" w:hAnsiTheme="minorHAnsi"/>
          <w:sz w:val="24"/>
          <w:szCs w:val="24"/>
        </w:rPr>
        <w:t xml:space="preserve"> -</w:t>
      </w:r>
      <w:r>
        <w:rPr>
          <w:rFonts w:asciiTheme="minorHAnsi" w:hAnsiTheme="minorHAnsi"/>
          <w:sz w:val="24"/>
          <w:szCs w:val="24"/>
        </w:rPr>
        <w:t xml:space="preserve"> from </w:t>
      </w:r>
      <w:r w:rsidR="005F1487">
        <w:rPr>
          <w:rFonts w:asciiTheme="minorHAnsi" w:hAnsiTheme="minorHAnsi"/>
          <w:sz w:val="24"/>
          <w:szCs w:val="24"/>
        </w:rPr>
        <w:t>supposing that there may be</w:t>
      </w:r>
      <w:r>
        <w:rPr>
          <w:rFonts w:asciiTheme="minorHAnsi" w:hAnsiTheme="minorHAnsi"/>
          <w:sz w:val="24"/>
          <w:szCs w:val="24"/>
        </w:rPr>
        <w:t xml:space="preserve"> any room </w:t>
      </w:r>
      <w:r w:rsidR="008E0305">
        <w:rPr>
          <w:rFonts w:asciiTheme="minorHAnsi" w:hAnsiTheme="minorHAnsi"/>
          <w:sz w:val="24"/>
          <w:szCs w:val="24"/>
        </w:rPr>
        <w:t>for</w:t>
      </w:r>
      <w:r>
        <w:rPr>
          <w:rFonts w:asciiTheme="minorHAnsi" w:hAnsiTheme="minorHAnsi"/>
          <w:sz w:val="24"/>
          <w:szCs w:val="24"/>
        </w:rPr>
        <w:t xml:space="preserve"> manoeuvre </w:t>
      </w:r>
      <w:r w:rsidR="002727C1">
        <w:rPr>
          <w:rFonts w:asciiTheme="minorHAnsi" w:hAnsiTheme="minorHAnsi"/>
          <w:sz w:val="24"/>
          <w:szCs w:val="24"/>
        </w:rPr>
        <w:t>in S</w:t>
      </w:r>
      <w:r>
        <w:rPr>
          <w:rFonts w:asciiTheme="minorHAnsi" w:hAnsiTheme="minorHAnsi"/>
          <w:sz w:val="24"/>
          <w:szCs w:val="24"/>
        </w:rPr>
        <w:t xml:space="preserve">F. Admittedly, Dufresne </w:t>
      </w:r>
      <w:r w:rsidR="00136C07">
        <w:rPr>
          <w:rFonts w:asciiTheme="minorHAnsi" w:hAnsiTheme="minorHAnsi"/>
          <w:sz w:val="24"/>
          <w:szCs w:val="24"/>
        </w:rPr>
        <w:t xml:space="preserve">entertains short shrift with the Freudian legend tout court, advising that we let it die rather than </w:t>
      </w:r>
      <w:r w:rsidR="00492916">
        <w:rPr>
          <w:rFonts w:asciiTheme="minorHAnsi" w:hAnsiTheme="minorHAnsi"/>
          <w:sz w:val="24"/>
          <w:szCs w:val="24"/>
        </w:rPr>
        <w:t xml:space="preserve">symptomatically </w:t>
      </w:r>
      <w:r w:rsidR="00136C07">
        <w:rPr>
          <w:rFonts w:asciiTheme="minorHAnsi" w:hAnsiTheme="minorHAnsi"/>
          <w:sz w:val="24"/>
          <w:szCs w:val="24"/>
        </w:rPr>
        <w:t>induce psychoanalytic per</w:t>
      </w:r>
      <w:r w:rsidR="00FB369F">
        <w:rPr>
          <w:rFonts w:asciiTheme="minorHAnsi" w:hAnsiTheme="minorHAnsi"/>
          <w:sz w:val="24"/>
          <w:szCs w:val="24"/>
        </w:rPr>
        <w:t xml:space="preserve">sistence </w:t>
      </w:r>
      <w:r w:rsidR="009A61C2">
        <w:rPr>
          <w:rFonts w:asciiTheme="minorHAnsi" w:hAnsiTheme="minorHAnsi"/>
          <w:sz w:val="24"/>
          <w:szCs w:val="24"/>
        </w:rPr>
        <w:t xml:space="preserve">in mimesis of the PP </w:t>
      </w:r>
      <w:r w:rsidR="00FB369F">
        <w:rPr>
          <w:rFonts w:asciiTheme="minorHAnsi" w:hAnsiTheme="minorHAnsi"/>
          <w:sz w:val="24"/>
          <w:szCs w:val="24"/>
        </w:rPr>
        <w:t>through the stimulating effect</w:t>
      </w:r>
      <w:r w:rsidR="00136C07">
        <w:rPr>
          <w:rFonts w:asciiTheme="minorHAnsi" w:hAnsiTheme="minorHAnsi"/>
          <w:sz w:val="24"/>
          <w:szCs w:val="24"/>
        </w:rPr>
        <w:t xml:space="preserve"> of criticism</w:t>
      </w:r>
      <w:r w:rsidR="005F1487">
        <w:rPr>
          <w:rFonts w:asciiTheme="minorHAnsi" w:hAnsiTheme="minorHAnsi"/>
          <w:sz w:val="24"/>
          <w:szCs w:val="24"/>
        </w:rPr>
        <w:t xml:space="preserve"> (albeit in the form of a book length disquisition on the subject)</w:t>
      </w:r>
      <w:r w:rsidR="00136C07">
        <w:rPr>
          <w:rFonts w:asciiTheme="minorHAnsi" w:hAnsiTheme="minorHAnsi"/>
          <w:sz w:val="24"/>
          <w:szCs w:val="24"/>
        </w:rPr>
        <w:t>.</w:t>
      </w:r>
      <w:r w:rsidR="0077690C">
        <w:rPr>
          <w:rFonts w:asciiTheme="minorHAnsi" w:hAnsiTheme="minorHAnsi"/>
          <w:sz w:val="24"/>
          <w:szCs w:val="24"/>
        </w:rPr>
        <w:t xml:space="preserve"> </w:t>
      </w:r>
      <w:r w:rsidR="004A44B1">
        <w:rPr>
          <w:rFonts w:asciiTheme="minorHAnsi" w:hAnsiTheme="minorHAnsi"/>
          <w:sz w:val="24"/>
          <w:szCs w:val="24"/>
        </w:rPr>
        <w:t>In acknowledgement of</w:t>
      </w:r>
      <w:r w:rsidR="0077690C">
        <w:rPr>
          <w:rFonts w:asciiTheme="minorHAnsi" w:hAnsiTheme="minorHAnsi"/>
          <w:sz w:val="24"/>
          <w:szCs w:val="24"/>
        </w:rPr>
        <w:t xml:space="preserve"> Derrida’s </w:t>
      </w:r>
      <w:r w:rsidR="004A44B1">
        <w:rPr>
          <w:rFonts w:asciiTheme="minorHAnsi" w:hAnsiTheme="minorHAnsi"/>
          <w:sz w:val="24"/>
          <w:szCs w:val="24"/>
        </w:rPr>
        <w:t xml:space="preserve">situation of Freud’s writing as that which itself carries out his ostensible topic, Dufresne says no too to deconstruction by missing the possibility that </w:t>
      </w:r>
      <w:r w:rsidR="008E0305">
        <w:rPr>
          <w:rFonts w:asciiTheme="minorHAnsi" w:hAnsiTheme="minorHAnsi"/>
          <w:sz w:val="24"/>
          <w:szCs w:val="24"/>
        </w:rPr>
        <w:t>repetit</w:t>
      </w:r>
      <w:r w:rsidR="007E6464">
        <w:rPr>
          <w:rFonts w:asciiTheme="minorHAnsi" w:hAnsiTheme="minorHAnsi"/>
          <w:sz w:val="24"/>
          <w:szCs w:val="24"/>
        </w:rPr>
        <w:t>ion can always be an alteration;</w:t>
      </w:r>
      <w:r w:rsidR="008E0305">
        <w:rPr>
          <w:rFonts w:asciiTheme="minorHAnsi" w:hAnsiTheme="minorHAnsi"/>
          <w:sz w:val="24"/>
          <w:szCs w:val="24"/>
        </w:rPr>
        <w:t xml:space="preserve"> that </w:t>
      </w:r>
      <w:r w:rsidR="007E6464">
        <w:rPr>
          <w:rFonts w:asciiTheme="minorHAnsi" w:hAnsiTheme="minorHAnsi"/>
          <w:sz w:val="24"/>
          <w:szCs w:val="24"/>
        </w:rPr>
        <w:t>gone can really mean gone;</w:t>
      </w:r>
      <w:r w:rsidR="004A44B1">
        <w:rPr>
          <w:rFonts w:asciiTheme="minorHAnsi" w:hAnsiTheme="minorHAnsi"/>
          <w:sz w:val="24"/>
          <w:szCs w:val="24"/>
        </w:rPr>
        <w:t xml:space="preserve"> that traces can always be erased</w:t>
      </w:r>
      <w:r w:rsidR="005F1487">
        <w:rPr>
          <w:rFonts w:asciiTheme="minorHAnsi" w:hAnsiTheme="minorHAnsi"/>
          <w:sz w:val="24"/>
          <w:szCs w:val="24"/>
        </w:rPr>
        <w:t xml:space="preserve"> or wiped away</w:t>
      </w:r>
      <w:r w:rsidR="004A44B1">
        <w:rPr>
          <w:rFonts w:asciiTheme="minorHAnsi" w:hAnsiTheme="minorHAnsi"/>
          <w:sz w:val="24"/>
          <w:szCs w:val="24"/>
        </w:rPr>
        <w:t>.</w:t>
      </w:r>
      <w:r w:rsidR="00DA675F">
        <w:rPr>
          <w:rFonts w:asciiTheme="minorHAnsi" w:hAnsiTheme="minorHAnsi"/>
          <w:sz w:val="24"/>
          <w:szCs w:val="24"/>
        </w:rPr>
        <w:t xml:space="preserve"> </w:t>
      </w:r>
      <w:r w:rsidR="009859D8">
        <w:rPr>
          <w:rFonts w:asciiTheme="minorHAnsi" w:hAnsiTheme="minorHAnsi"/>
          <w:sz w:val="24"/>
          <w:szCs w:val="24"/>
        </w:rPr>
        <w:t xml:space="preserve">Dufresne’s derision </w:t>
      </w:r>
      <w:r w:rsidR="00B75970">
        <w:rPr>
          <w:rFonts w:asciiTheme="minorHAnsi" w:hAnsiTheme="minorHAnsi"/>
          <w:sz w:val="24"/>
          <w:szCs w:val="24"/>
        </w:rPr>
        <w:t>sparks</w:t>
      </w:r>
      <w:r w:rsidR="009859D8">
        <w:rPr>
          <w:rFonts w:asciiTheme="minorHAnsi" w:hAnsiTheme="minorHAnsi"/>
          <w:sz w:val="24"/>
          <w:szCs w:val="24"/>
        </w:rPr>
        <w:t xml:space="preserve"> at</w:t>
      </w:r>
      <w:r w:rsidR="007E6464">
        <w:rPr>
          <w:rFonts w:asciiTheme="minorHAnsi" w:hAnsiTheme="minorHAnsi"/>
          <w:sz w:val="24"/>
          <w:szCs w:val="24"/>
        </w:rPr>
        <w:t xml:space="preserve"> the junctures proximate to those</w:t>
      </w:r>
      <w:r w:rsidR="009859D8">
        <w:rPr>
          <w:rFonts w:asciiTheme="minorHAnsi" w:hAnsiTheme="minorHAnsi"/>
          <w:sz w:val="24"/>
          <w:szCs w:val="24"/>
        </w:rPr>
        <w:t xml:space="preserve"> which Wilson finds enabling</w:t>
      </w:r>
      <w:r w:rsidR="004F4830">
        <w:rPr>
          <w:rFonts w:asciiTheme="minorHAnsi" w:hAnsiTheme="minorHAnsi"/>
          <w:sz w:val="24"/>
          <w:szCs w:val="24"/>
        </w:rPr>
        <w:t xml:space="preserve">. </w:t>
      </w:r>
      <w:r w:rsidR="002727C1">
        <w:rPr>
          <w:rFonts w:asciiTheme="minorHAnsi" w:hAnsiTheme="minorHAnsi"/>
          <w:sz w:val="24"/>
          <w:szCs w:val="24"/>
        </w:rPr>
        <w:t>In reference to S</w:t>
      </w:r>
      <w:r w:rsidR="005E1716">
        <w:rPr>
          <w:rFonts w:asciiTheme="minorHAnsi" w:hAnsiTheme="minorHAnsi"/>
          <w:sz w:val="24"/>
          <w:szCs w:val="24"/>
        </w:rPr>
        <w:t xml:space="preserve">F, </w:t>
      </w:r>
      <w:r w:rsidR="009A61C2">
        <w:rPr>
          <w:rFonts w:asciiTheme="minorHAnsi" w:hAnsiTheme="minorHAnsi"/>
          <w:sz w:val="24"/>
          <w:szCs w:val="24"/>
        </w:rPr>
        <w:t>Dufresne only finds ‘</w:t>
      </w:r>
      <w:r w:rsidR="00492916">
        <w:rPr>
          <w:rFonts w:asciiTheme="minorHAnsi" w:hAnsiTheme="minorHAnsi"/>
          <w:sz w:val="24"/>
          <w:szCs w:val="24"/>
        </w:rPr>
        <w:t xml:space="preserve">ridiculous’ passages, even ‘especially ridiculous’ ones that narrate </w:t>
      </w:r>
      <w:r w:rsidR="004C5BE8">
        <w:rPr>
          <w:rFonts w:asciiTheme="minorHAnsi" w:hAnsiTheme="minorHAnsi"/>
          <w:sz w:val="24"/>
          <w:szCs w:val="24"/>
        </w:rPr>
        <w:t xml:space="preserve">a too familiar battle of the sexes </w:t>
      </w:r>
      <w:r w:rsidR="00F35702">
        <w:rPr>
          <w:rFonts w:asciiTheme="minorHAnsi" w:hAnsiTheme="minorHAnsi"/>
          <w:sz w:val="24"/>
          <w:szCs w:val="24"/>
        </w:rPr>
        <w:t>retrofitting</w:t>
      </w:r>
      <w:r w:rsidR="004C5BE8">
        <w:rPr>
          <w:rFonts w:asciiTheme="minorHAnsi" w:hAnsiTheme="minorHAnsi"/>
          <w:sz w:val="24"/>
          <w:szCs w:val="24"/>
        </w:rPr>
        <w:t xml:space="preserve"> the </w:t>
      </w:r>
      <w:r w:rsidR="00F35702">
        <w:rPr>
          <w:rFonts w:asciiTheme="minorHAnsi" w:hAnsiTheme="minorHAnsi"/>
          <w:sz w:val="24"/>
          <w:szCs w:val="24"/>
        </w:rPr>
        <w:t xml:space="preserve">seemingly </w:t>
      </w:r>
      <w:r w:rsidR="004C5BE8">
        <w:rPr>
          <w:rFonts w:asciiTheme="minorHAnsi" w:hAnsiTheme="minorHAnsi"/>
          <w:sz w:val="24"/>
          <w:szCs w:val="24"/>
        </w:rPr>
        <w:t>inevitable domination of wom</w:t>
      </w:r>
      <w:r w:rsidR="00CA36C6">
        <w:rPr>
          <w:rFonts w:asciiTheme="minorHAnsi" w:hAnsiTheme="minorHAnsi"/>
          <w:sz w:val="24"/>
          <w:szCs w:val="24"/>
        </w:rPr>
        <w:t>en into our phylogenetic makeup: biology – ‘Biological Frenzy’ no less – appe</w:t>
      </w:r>
      <w:r w:rsidR="00034236">
        <w:rPr>
          <w:rFonts w:asciiTheme="minorHAnsi" w:hAnsiTheme="minorHAnsi"/>
          <w:sz w:val="24"/>
          <w:szCs w:val="24"/>
        </w:rPr>
        <w:t>ars as origin and destiny in one.</w:t>
      </w:r>
      <w:r w:rsidR="00FB369F">
        <w:rPr>
          <w:rStyle w:val="EndnoteReference"/>
          <w:rFonts w:asciiTheme="minorHAnsi" w:hAnsiTheme="minorHAnsi"/>
          <w:sz w:val="24"/>
          <w:szCs w:val="24"/>
        </w:rPr>
        <w:endnoteReference w:id="30"/>
      </w:r>
      <w:r w:rsidR="00034236">
        <w:rPr>
          <w:rFonts w:asciiTheme="minorHAnsi" w:hAnsiTheme="minorHAnsi"/>
          <w:sz w:val="24"/>
          <w:szCs w:val="24"/>
        </w:rPr>
        <w:t xml:space="preserve"> </w:t>
      </w:r>
      <w:r w:rsidR="004C5BE8">
        <w:rPr>
          <w:rFonts w:asciiTheme="minorHAnsi" w:hAnsiTheme="minorHAnsi"/>
          <w:sz w:val="24"/>
          <w:szCs w:val="24"/>
        </w:rPr>
        <w:t xml:space="preserve"> </w:t>
      </w:r>
      <w:r w:rsidR="000840C7">
        <w:rPr>
          <w:rFonts w:asciiTheme="minorHAnsi" w:hAnsiTheme="minorHAnsi"/>
          <w:sz w:val="24"/>
          <w:szCs w:val="24"/>
        </w:rPr>
        <w:t xml:space="preserve">When Dufresne reads of </w:t>
      </w:r>
      <w:r w:rsidR="00D07C7C">
        <w:rPr>
          <w:rFonts w:asciiTheme="minorHAnsi" w:hAnsiTheme="minorHAnsi"/>
          <w:sz w:val="24"/>
          <w:szCs w:val="24"/>
        </w:rPr>
        <w:t xml:space="preserve">this frenzy </w:t>
      </w:r>
      <w:r w:rsidR="000840C7">
        <w:rPr>
          <w:rFonts w:asciiTheme="minorHAnsi" w:hAnsiTheme="minorHAnsi"/>
          <w:sz w:val="24"/>
          <w:szCs w:val="24"/>
        </w:rPr>
        <w:t>in psychoanalysis it is only ever recourse to ‘blatant biologism’.</w:t>
      </w:r>
      <w:r w:rsidR="000840C7">
        <w:rPr>
          <w:rStyle w:val="EndnoteReference"/>
          <w:rFonts w:asciiTheme="minorHAnsi" w:hAnsiTheme="minorHAnsi"/>
          <w:sz w:val="24"/>
          <w:szCs w:val="24"/>
        </w:rPr>
        <w:endnoteReference w:id="31"/>
      </w:r>
      <w:r w:rsidR="000840C7">
        <w:rPr>
          <w:rFonts w:asciiTheme="minorHAnsi" w:hAnsiTheme="minorHAnsi"/>
          <w:sz w:val="24"/>
          <w:szCs w:val="24"/>
        </w:rPr>
        <w:t xml:space="preserve"> </w:t>
      </w:r>
      <w:r w:rsidR="00D91741" w:rsidRPr="00511947">
        <w:rPr>
          <w:rFonts w:asciiTheme="minorHAnsi" w:hAnsiTheme="minorHAnsi"/>
          <w:sz w:val="24"/>
          <w:szCs w:val="24"/>
        </w:rPr>
        <w:t xml:space="preserve">Nevertheless, </w:t>
      </w:r>
      <w:r w:rsidR="00034236" w:rsidRPr="00511947">
        <w:rPr>
          <w:rFonts w:asciiTheme="minorHAnsi" w:hAnsiTheme="minorHAnsi"/>
          <w:sz w:val="24"/>
          <w:szCs w:val="24"/>
        </w:rPr>
        <w:t>I find</w:t>
      </w:r>
      <w:r w:rsidR="00F35702" w:rsidRPr="00511947">
        <w:rPr>
          <w:rFonts w:asciiTheme="minorHAnsi" w:hAnsiTheme="minorHAnsi"/>
          <w:sz w:val="24"/>
          <w:szCs w:val="24"/>
        </w:rPr>
        <w:t xml:space="preserve"> the trace of a different</w:t>
      </w:r>
      <w:r w:rsidR="004C5BE8" w:rsidRPr="00511947">
        <w:rPr>
          <w:rFonts w:asciiTheme="minorHAnsi" w:hAnsiTheme="minorHAnsi"/>
          <w:sz w:val="24"/>
          <w:szCs w:val="24"/>
        </w:rPr>
        <w:t xml:space="preserve"> argument.</w:t>
      </w:r>
    </w:p>
    <w:p w14:paraId="4C5632FF" w14:textId="327289F1" w:rsidR="00D63763" w:rsidRDefault="00A5602D">
      <w:pPr>
        <w:rPr>
          <w:rFonts w:asciiTheme="minorHAnsi" w:hAnsiTheme="minorHAnsi"/>
          <w:sz w:val="24"/>
          <w:szCs w:val="24"/>
        </w:rPr>
      </w:pPr>
      <w:r>
        <w:rPr>
          <w:rFonts w:asciiTheme="minorHAnsi" w:hAnsiTheme="minorHAnsi"/>
          <w:sz w:val="24"/>
          <w:szCs w:val="24"/>
        </w:rPr>
        <w:t xml:space="preserve">                                  </w:t>
      </w:r>
    </w:p>
    <w:p w14:paraId="21EF37B5" w14:textId="0C58A183" w:rsidR="00D63763" w:rsidRDefault="00D1249F">
      <w:pPr>
        <w:rPr>
          <w:rFonts w:asciiTheme="minorHAnsi" w:hAnsiTheme="minorHAnsi"/>
          <w:sz w:val="24"/>
          <w:szCs w:val="24"/>
        </w:rPr>
      </w:pPr>
      <w:r w:rsidRPr="00D1249F">
        <w:rPr>
          <w:rFonts w:asciiTheme="minorHAnsi" w:hAnsiTheme="minorHAnsi"/>
          <w:sz w:val="24"/>
          <w:szCs w:val="24"/>
        </w:rPr>
        <w:t>In contrast to Freud and Josef Breuer’s</w:t>
      </w:r>
      <w:r>
        <w:rPr>
          <w:rFonts w:asciiTheme="minorHAnsi" w:hAnsiTheme="minorHAnsi"/>
          <w:sz w:val="24"/>
          <w:szCs w:val="24"/>
        </w:rPr>
        <w:t xml:space="preserve"> </w:t>
      </w:r>
      <w:r w:rsidR="004071EC">
        <w:rPr>
          <w:rFonts w:asciiTheme="minorHAnsi" w:hAnsiTheme="minorHAnsi"/>
          <w:sz w:val="24"/>
          <w:szCs w:val="24"/>
        </w:rPr>
        <w:t>development of the concept</w:t>
      </w:r>
      <w:r>
        <w:rPr>
          <w:rFonts w:asciiTheme="minorHAnsi" w:hAnsiTheme="minorHAnsi"/>
          <w:sz w:val="24"/>
          <w:szCs w:val="24"/>
        </w:rPr>
        <w:t xml:space="preserve"> of conversion hysteria </w:t>
      </w:r>
      <w:r w:rsidR="004071EC">
        <w:rPr>
          <w:rFonts w:asciiTheme="minorHAnsi" w:hAnsiTheme="minorHAnsi"/>
          <w:sz w:val="24"/>
          <w:szCs w:val="24"/>
        </w:rPr>
        <w:t xml:space="preserve">as that which was </w:t>
      </w:r>
      <w:r>
        <w:rPr>
          <w:rFonts w:asciiTheme="minorHAnsi" w:hAnsiTheme="minorHAnsi"/>
          <w:sz w:val="24"/>
          <w:szCs w:val="24"/>
        </w:rPr>
        <w:t xml:space="preserve">played out upon the bodies of </w:t>
      </w:r>
      <w:r w:rsidR="004071EC">
        <w:rPr>
          <w:rFonts w:asciiTheme="minorHAnsi" w:hAnsiTheme="minorHAnsi"/>
          <w:sz w:val="24"/>
          <w:szCs w:val="24"/>
        </w:rPr>
        <w:t>female patients</w:t>
      </w:r>
      <w:r>
        <w:rPr>
          <w:rFonts w:asciiTheme="minorHAnsi" w:hAnsiTheme="minorHAnsi"/>
          <w:sz w:val="24"/>
          <w:szCs w:val="24"/>
        </w:rPr>
        <w:t xml:space="preserve"> in their</w:t>
      </w:r>
      <w:r>
        <w:rPr>
          <w:rFonts w:asciiTheme="minorHAnsi" w:hAnsiTheme="minorHAnsi"/>
          <w:i/>
          <w:sz w:val="24"/>
          <w:szCs w:val="24"/>
        </w:rPr>
        <w:t xml:space="preserve"> Studies on Hysteria, </w:t>
      </w:r>
      <w:r w:rsidR="00D63763" w:rsidRPr="00D63763">
        <w:rPr>
          <w:rFonts w:asciiTheme="minorHAnsi" w:hAnsiTheme="minorHAnsi"/>
          <w:i/>
          <w:sz w:val="24"/>
          <w:szCs w:val="24"/>
        </w:rPr>
        <w:t>Thalassa</w:t>
      </w:r>
      <w:r w:rsidR="00D63763">
        <w:rPr>
          <w:rFonts w:asciiTheme="minorHAnsi" w:hAnsiTheme="minorHAnsi"/>
          <w:sz w:val="24"/>
          <w:szCs w:val="24"/>
        </w:rPr>
        <w:t xml:space="preserve"> clinically begins with male sexual dysfunction.</w:t>
      </w:r>
      <w:r w:rsidR="00624CDE">
        <w:rPr>
          <w:rStyle w:val="EndnoteReference"/>
          <w:rFonts w:asciiTheme="minorHAnsi" w:hAnsiTheme="minorHAnsi"/>
          <w:sz w:val="24"/>
          <w:szCs w:val="24"/>
        </w:rPr>
        <w:endnoteReference w:id="32"/>
      </w:r>
      <w:r>
        <w:rPr>
          <w:rFonts w:asciiTheme="minorHAnsi" w:hAnsiTheme="minorHAnsi"/>
          <w:sz w:val="24"/>
          <w:szCs w:val="24"/>
        </w:rPr>
        <w:t xml:space="preserve"> </w:t>
      </w:r>
      <w:r w:rsidR="00CA74FC">
        <w:rPr>
          <w:rFonts w:asciiTheme="minorHAnsi" w:hAnsiTheme="minorHAnsi"/>
          <w:sz w:val="24"/>
          <w:szCs w:val="24"/>
        </w:rPr>
        <w:t xml:space="preserve">Comparing the functioning of premature ejaculation with that of men who virtually refuse to ejaculate, Ferenczi comes to the speculative conclusion that </w:t>
      </w:r>
      <w:r w:rsidR="00385027" w:rsidRPr="00385027">
        <w:rPr>
          <w:rFonts w:asciiTheme="minorHAnsi" w:hAnsiTheme="minorHAnsi"/>
          <w:sz w:val="24"/>
          <w:szCs w:val="24"/>
        </w:rPr>
        <w:t>even in ‘normal ejaculation’ a ‘synergetic harmony of anal and urethral innervations is essential’</w:t>
      </w:r>
      <w:r w:rsidR="00385027">
        <w:rPr>
          <w:rFonts w:asciiTheme="minorHAnsi" w:hAnsiTheme="minorHAnsi"/>
          <w:sz w:val="24"/>
          <w:szCs w:val="24"/>
        </w:rPr>
        <w:t>.</w:t>
      </w:r>
      <w:r w:rsidR="00385027">
        <w:rPr>
          <w:rStyle w:val="EndnoteReference"/>
          <w:rFonts w:asciiTheme="minorHAnsi" w:hAnsiTheme="minorHAnsi"/>
          <w:sz w:val="24"/>
          <w:szCs w:val="24"/>
        </w:rPr>
        <w:endnoteReference w:id="33"/>
      </w:r>
      <w:r w:rsidR="00385027">
        <w:rPr>
          <w:rFonts w:asciiTheme="minorHAnsi" w:hAnsiTheme="minorHAnsi"/>
          <w:sz w:val="24"/>
          <w:szCs w:val="24"/>
        </w:rPr>
        <w:t xml:space="preserve"> That is to say, rather than the </w:t>
      </w:r>
      <w:r w:rsidR="005F1E15">
        <w:rPr>
          <w:rFonts w:asciiTheme="minorHAnsi" w:hAnsiTheme="minorHAnsi"/>
          <w:sz w:val="24"/>
          <w:szCs w:val="24"/>
        </w:rPr>
        <w:t>cumulative achievement</w:t>
      </w:r>
      <w:r w:rsidR="00385027">
        <w:rPr>
          <w:rFonts w:asciiTheme="minorHAnsi" w:hAnsiTheme="minorHAnsi"/>
          <w:sz w:val="24"/>
          <w:szCs w:val="24"/>
        </w:rPr>
        <w:t xml:space="preserve"> of </w:t>
      </w:r>
      <w:r w:rsidR="005F1E15">
        <w:rPr>
          <w:rFonts w:asciiTheme="minorHAnsi" w:hAnsiTheme="minorHAnsi"/>
          <w:sz w:val="24"/>
          <w:szCs w:val="24"/>
        </w:rPr>
        <w:t xml:space="preserve">phallic </w:t>
      </w:r>
      <w:r w:rsidR="00CB4783">
        <w:rPr>
          <w:rFonts w:asciiTheme="minorHAnsi" w:hAnsiTheme="minorHAnsi"/>
          <w:sz w:val="24"/>
          <w:szCs w:val="24"/>
        </w:rPr>
        <w:t>sexuality</w:t>
      </w:r>
      <w:r w:rsidR="00385027">
        <w:rPr>
          <w:rFonts w:asciiTheme="minorHAnsi" w:hAnsiTheme="minorHAnsi"/>
          <w:sz w:val="24"/>
          <w:szCs w:val="24"/>
        </w:rPr>
        <w:t>, Ferenczi supposes that ejaculation is always helped or hindered by the tendencies to expel or to retain</w:t>
      </w:r>
      <w:r w:rsidR="005F1E15">
        <w:rPr>
          <w:rFonts w:asciiTheme="minorHAnsi" w:hAnsiTheme="minorHAnsi"/>
          <w:sz w:val="24"/>
          <w:szCs w:val="24"/>
        </w:rPr>
        <w:t xml:space="preserve">. This </w:t>
      </w:r>
      <w:r w:rsidR="00211524">
        <w:rPr>
          <w:rFonts w:asciiTheme="minorHAnsi" w:hAnsiTheme="minorHAnsi"/>
          <w:sz w:val="24"/>
          <w:szCs w:val="24"/>
        </w:rPr>
        <w:t xml:space="preserve">physical rhythm of </w:t>
      </w:r>
      <w:r w:rsidR="006878D7">
        <w:rPr>
          <w:rFonts w:asciiTheme="minorHAnsi" w:hAnsiTheme="minorHAnsi"/>
          <w:sz w:val="24"/>
          <w:szCs w:val="24"/>
        </w:rPr>
        <w:t xml:space="preserve">what we might call the PP as </w:t>
      </w:r>
      <w:r w:rsidR="00211524" w:rsidRPr="00211524">
        <w:rPr>
          <w:rFonts w:asciiTheme="minorHAnsi" w:hAnsiTheme="minorHAnsi"/>
          <w:i/>
          <w:sz w:val="24"/>
          <w:szCs w:val="24"/>
        </w:rPr>
        <w:t xml:space="preserve">fort </w:t>
      </w:r>
      <w:r w:rsidR="00211524" w:rsidRPr="00211524">
        <w:rPr>
          <w:rFonts w:asciiTheme="minorHAnsi" w:hAnsiTheme="minorHAnsi"/>
          <w:sz w:val="24"/>
          <w:szCs w:val="24"/>
        </w:rPr>
        <w:t>and</w:t>
      </w:r>
      <w:r w:rsidR="00211524" w:rsidRPr="00211524">
        <w:rPr>
          <w:rFonts w:asciiTheme="minorHAnsi" w:hAnsiTheme="minorHAnsi"/>
          <w:i/>
          <w:sz w:val="24"/>
          <w:szCs w:val="24"/>
        </w:rPr>
        <w:t xml:space="preserve"> da</w:t>
      </w:r>
      <w:r w:rsidR="00211524">
        <w:rPr>
          <w:rFonts w:asciiTheme="minorHAnsi" w:hAnsiTheme="minorHAnsi"/>
          <w:sz w:val="24"/>
          <w:szCs w:val="24"/>
        </w:rPr>
        <w:t xml:space="preserve"> </w:t>
      </w:r>
      <w:r w:rsidR="005F1E15">
        <w:rPr>
          <w:rFonts w:asciiTheme="minorHAnsi" w:hAnsiTheme="minorHAnsi"/>
          <w:sz w:val="24"/>
          <w:szCs w:val="24"/>
        </w:rPr>
        <w:t>is</w:t>
      </w:r>
      <w:r w:rsidR="006878D7">
        <w:rPr>
          <w:rFonts w:asciiTheme="minorHAnsi" w:hAnsiTheme="minorHAnsi"/>
          <w:sz w:val="24"/>
          <w:szCs w:val="24"/>
        </w:rPr>
        <w:t xml:space="preserve"> </w:t>
      </w:r>
      <w:r w:rsidR="00385027">
        <w:rPr>
          <w:rFonts w:asciiTheme="minorHAnsi" w:hAnsiTheme="minorHAnsi"/>
          <w:sz w:val="24"/>
          <w:szCs w:val="24"/>
        </w:rPr>
        <w:t xml:space="preserve">effectively tutored by the urethra or anal sphincter respectively. </w:t>
      </w:r>
      <w:r w:rsidR="005F1E15">
        <w:rPr>
          <w:rFonts w:asciiTheme="minorHAnsi" w:hAnsiTheme="minorHAnsi"/>
          <w:sz w:val="24"/>
          <w:szCs w:val="24"/>
        </w:rPr>
        <w:t>Ferenczi calls the</w:t>
      </w:r>
      <w:r w:rsidR="009679FE">
        <w:rPr>
          <w:rFonts w:asciiTheme="minorHAnsi" w:hAnsiTheme="minorHAnsi"/>
          <w:sz w:val="24"/>
          <w:szCs w:val="24"/>
        </w:rPr>
        <w:t xml:space="preserve"> group work </w:t>
      </w:r>
      <w:r w:rsidR="005F1E15">
        <w:rPr>
          <w:rFonts w:asciiTheme="minorHAnsi" w:hAnsiTheme="minorHAnsi"/>
          <w:sz w:val="24"/>
          <w:szCs w:val="24"/>
        </w:rPr>
        <w:t xml:space="preserve">of this organic ensemble </w:t>
      </w:r>
      <w:r w:rsidR="009679FE">
        <w:rPr>
          <w:rFonts w:asciiTheme="minorHAnsi" w:hAnsiTheme="minorHAnsi"/>
          <w:sz w:val="24"/>
          <w:szCs w:val="24"/>
        </w:rPr>
        <w:t xml:space="preserve">‘amphimixis’, a term otherwise </w:t>
      </w:r>
      <w:r w:rsidR="00DB3E93">
        <w:rPr>
          <w:rFonts w:asciiTheme="minorHAnsi" w:hAnsiTheme="minorHAnsi"/>
          <w:sz w:val="24"/>
          <w:szCs w:val="24"/>
        </w:rPr>
        <w:t xml:space="preserve">medically </w:t>
      </w:r>
      <w:r w:rsidR="009679FE">
        <w:rPr>
          <w:rFonts w:asciiTheme="minorHAnsi" w:hAnsiTheme="minorHAnsi"/>
          <w:sz w:val="24"/>
          <w:szCs w:val="24"/>
        </w:rPr>
        <w:t>used in reference to the merging of gametes in sexual reproduction.</w:t>
      </w:r>
      <w:r w:rsidR="00D91741">
        <w:rPr>
          <w:rFonts w:asciiTheme="minorHAnsi" w:hAnsiTheme="minorHAnsi"/>
          <w:sz w:val="24"/>
          <w:szCs w:val="24"/>
        </w:rPr>
        <w:t xml:space="preserve"> Not only do the genitals, urinary and excretory organs work in communication with each other, but, as the earlier quotation from Ferenczi </w:t>
      </w:r>
      <w:r w:rsidR="009327C3">
        <w:rPr>
          <w:rFonts w:asciiTheme="minorHAnsi" w:hAnsiTheme="minorHAnsi"/>
          <w:sz w:val="24"/>
          <w:szCs w:val="24"/>
        </w:rPr>
        <w:t>suggests</w:t>
      </w:r>
      <w:r w:rsidR="00D91741">
        <w:rPr>
          <w:rFonts w:asciiTheme="minorHAnsi" w:hAnsiTheme="minorHAnsi"/>
          <w:sz w:val="24"/>
          <w:szCs w:val="24"/>
        </w:rPr>
        <w:t>, this is merely one instance out of ‘many’</w:t>
      </w:r>
      <w:r w:rsidR="00517473">
        <w:rPr>
          <w:rFonts w:asciiTheme="minorHAnsi" w:hAnsiTheme="minorHAnsi"/>
          <w:sz w:val="24"/>
          <w:szCs w:val="24"/>
        </w:rPr>
        <w:t>.</w:t>
      </w:r>
      <w:r w:rsidR="008D44A8">
        <w:rPr>
          <w:rFonts w:asciiTheme="minorHAnsi" w:hAnsiTheme="minorHAnsi"/>
          <w:sz w:val="24"/>
          <w:szCs w:val="24"/>
        </w:rPr>
        <w:t xml:space="preserve"> Beginning with phallic </w:t>
      </w:r>
      <w:r w:rsidR="00970E7F">
        <w:rPr>
          <w:rFonts w:asciiTheme="minorHAnsi" w:hAnsiTheme="minorHAnsi"/>
          <w:sz w:val="24"/>
          <w:szCs w:val="24"/>
        </w:rPr>
        <w:t>fallibility</w:t>
      </w:r>
      <w:r w:rsidR="008D44A8">
        <w:rPr>
          <w:rFonts w:asciiTheme="minorHAnsi" w:hAnsiTheme="minorHAnsi"/>
          <w:sz w:val="24"/>
          <w:szCs w:val="24"/>
        </w:rPr>
        <w:t xml:space="preserve">, Ferenczi </w:t>
      </w:r>
      <w:r w:rsidR="00E80FF2">
        <w:rPr>
          <w:rFonts w:asciiTheme="minorHAnsi" w:hAnsiTheme="minorHAnsi"/>
          <w:sz w:val="24"/>
          <w:szCs w:val="24"/>
        </w:rPr>
        <w:t>appears</w:t>
      </w:r>
      <w:r w:rsidR="008D44A8">
        <w:rPr>
          <w:rFonts w:asciiTheme="minorHAnsi" w:hAnsiTheme="minorHAnsi"/>
          <w:sz w:val="24"/>
          <w:szCs w:val="24"/>
        </w:rPr>
        <w:t xml:space="preserve"> to disperse the apparently </w:t>
      </w:r>
      <w:r w:rsidR="00492188">
        <w:rPr>
          <w:rFonts w:asciiTheme="minorHAnsi" w:hAnsiTheme="minorHAnsi"/>
          <w:sz w:val="24"/>
          <w:szCs w:val="24"/>
        </w:rPr>
        <w:t>singular</w:t>
      </w:r>
      <w:r w:rsidR="008D44A8">
        <w:rPr>
          <w:rFonts w:asciiTheme="minorHAnsi" w:hAnsiTheme="minorHAnsi"/>
          <w:sz w:val="24"/>
          <w:szCs w:val="24"/>
        </w:rPr>
        <w:t xml:space="preserve"> end point of the phallic phase </w:t>
      </w:r>
      <w:r w:rsidR="00DC670E">
        <w:rPr>
          <w:rFonts w:asciiTheme="minorHAnsi" w:hAnsiTheme="minorHAnsi"/>
          <w:sz w:val="24"/>
          <w:szCs w:val="24"/>
        </w:rPr>
        <w:t>by sharing it out</w:t>
      </w:r>
      <w:r w:rsidR="008D44A8">
        <w:rPr>
          <w:rFonts w:asciiTheme="minorHAnsi" w:hAnsiTheme="minorHAnsi"/>
          <w:sz w:val="24"/>
          <w:szCs w:val="24"/>
        </w:rPr>
        <w:t xml:space="preserve"> among</w:t>
      </w:r>
      <w:r w:rsidR="000E4A1F">
        <w:rPr>
          <w:rFonts w:asciiTheme="minorHAnsi" w:hAnsiTheme="minorHAnsi"/>
          <w:sz w:val="24"/>
          <w:szCs w:val="24"/>
        </w:rPr>
        <w:t>st</w:t>
      </w:r>
      <w:r w:rsidR="00E35442">
        <w:rPr>
          <w:rFonts w:asciiTheme="minorHAnsi" w:hAnsiTheme="minorHAnsi"/>
          <w:sz w:val="24"/>
          <w:szCs w:val="24"/>
        </w:rPr>
        <w:t xml:space="preserve"> other organs and</w:t>
      </w:r>
      <w:r w:rsidR="008D44A8">
        <w:rPr>
          <w:rFonts w:asciiTheme="minorHAnsi" w:hAnsiTheme="minorHAnsi"/>
          <w:sz w:val="24"/>
          <w:szCs w:val="24"/>
        </w:rPr>
        <w:t xml:space="preserve"> </w:t>
      </w:r>
      <w:r w:rsidR="00E35442">
        <w:rPr>
          <w:rFonts w:asciiTheme="minorHAnsi" w:hAnsiTheme="minorHAnsi"/>
          <w:sz w:val="24"/>
          <w:szCs w:val="24"/>
        </w:rPr>
        <w:t xml:space="preserve">rendering this dispersal </w:t>
      </w:r>
      <w:r w:rsidR="00DC670E">
        <w:rPr>
          <w:rFonts w:asciiTheme="minorHAnsi" w:hAnsiTheme="minorHAnsi"/>
          <w:sz w:val="24"/>
          <w:szCs w:val="24"/>
        </w:rPr>
        <w:t>comparable to</w:t>
      </w:r>
      <w:r w:rsidR="008D44A8">
        <w:rPr>
          <w:rFonts w:asciiTheme="minorHAnsi" w:hAnsiTheme="minorHAnsi"/>
          <w:sz w:val="24"/>
          <w:szCs w:val="24"/>
        </w:rPr>
        <w:t xml:space="preserve"> many other bodily contexts. </w:t>
      </w:r>
      <w:r w:rsidR="006878D7">
        <w:rPr>
          <w:rFonts w:asciiTheme="minorHAnsi" w:hAnsiTheme="minorHAnsi"/>
          <w:sz w:val="24"/>
          <w:szCs w:val="24"/>
        </w:rPr>
        <w:t xml:space="preserve">This group work is both physical and cathected. </w:t>
      </w:r>
      <w:r w:rsidR="000E4A1F">
        <w:rPr>
          <w:rFonts w:asciiTheme="minorHAnsi" w:hAnsiTheme="minorHAnsi"/>
          <w:sz w:val="24"/>
          <w:szCs w:val="24"/>
        </w:rPr>
        <w:t>For Wilson, this departure from a utilitarian biology that might assign each organ an individual task</w:t>
      </w:r>
      <w:r w:rsidR="00E71301">
        <w:rPr>
          <w:rFonts w:asciiTheme="minorHAnsi" w:hAnsiTheme="minorHAnsi"/>
          <w:sz w:val="24"/>
          <w:szCs w:val="24"/>
        </w:rPr>
        <w:t xml:space="preserve"> </w:t>
      </w:r>
      <w:r w:rsidR="00193D68">
        <w:rPr>
          <w:rFonts w:asciiTheme="minorHAnsi" w:hAnsiTheme="minorHAnsi"/>
          <w:sz w:val="24"/>
          <w:szCs w:val="24"/>
        </w:rPr>
        <w:t>habituated to</w:t>
      </w:r>
      <w:r w:rsidR="00E71301">
        <w:rPr>
          <w:rFonts w:asciiTheme="minorHAnsi" w:hAnsiTheme="minorHAnsi"/>
          <w:sz w:val="24"/>
          <w:szCs w:val="24"/>
        </w:rPr>
        <w:t xml:space="preserve"> </w:t>
      </w:r>
      <w:r w:rsidR="00193D68">
        <w:rPr>
          <w:rFonts w:asciiTheme="minorHAnsi" w:hAnsiTheme="minorHAnsi"/>
          <w:sz w:val="24"/>
          <w:szCs w:val="24"/>
        </w:rPr>
        <w:t>‘</w:t>
      </w:r>
      <w:r w:rsidR="00E71301">
        <w:rPr>
          <w:rFonts w:asciiTheme="minorHAnsi" w:hAnsiTheme="minorHAnsi"/>
          <w:sz w:val="24"/>
          <w:szCs w:val="24"/>
        </w:rPr>
        <w:t xml:space="preserve">their utility for the preservation of life’ allows </w:t>
      </w:r>
      <w:r w:rsidR="00630DB2">
        <w:rPr>
          <w:rFonts w:asciiTheme="minorHAnsi" w:hAnsiTheme="minorHAnsi"/>
          <w:sz w:val="24"/>
          <w:szCs w:val="24"/>
        </w:rPr>
        <w:t>not just for a dynamic understanding</w:t>
      </w:r>
      <w:r w:rsidR="002727C1">
        <w:rPr>
          <w:rFonts w:asciiTheme="minorHAnsi" w:hAnsiTheme="minorHAnsi"/>
          <w:sz w:val="24"/>
          <w:szCs w:val="24"/>
        </w:rPr>
        <w:t xml:space="preserve"> of the body but also for the S</w:t>
      </w:r>
      <w:r w:rsidR="00630DB2">
        <w:rPr>
          <w:rFonts w:asciiTheme="minorHAnsi" w:hAnsiTheme="minorHAnsi"/>
          <w:sz w:val="24"/>
          <w:szCs w:val="24"/>
        </w:rPr>
        <w:t>F body to engage in the ‘expression of wishes’ and even ‘complicated thought’.</w:t>
      </w:r>
      <w:r w:rsidR="00630DB2">
        <w:rPr>
          <w:rStyle w:val="EndnoteReference"/>
          <w:rFonts w:asciiTheme="minorHAnsi" w:hAnsiTheme="minorHAnsi"/>
          <w:sz w:val="24"/>
          <w:szCs w:val="24"/>
        </w:rPr>
        <w:endnoteReference w:id="34"/>
      </w:r>
      <w:r w:rsidR="00630DB2">
        <w:rPr>
          <w:rFonts w:asciiTheme="minorHAnsi" w:hAnsiTheme="minorHAnsi"/>
          <w:sz w:val="24"/>
          <w:szCs w:val="24"/>
        </w:rPr>
        <w:t xml:space="preserve"> </w:t>
      </w:r>
      <w:r w:rsidR="00CD599D">
        <w:rPr>
          <w:rFonts w:asciiTheme="minorHAnsi" w:hAnsiTheme="minorHAnsi"/>
          <w:sz w:val="24"/>
          <w:szCs w:val="24"/>
        </w:rPr>
        <w:t xml:space="preserve">From here she </w:t>
      </w:r>
      <w:r w:rsidR="00492188">
        <w:rPr>
          <w:rFonts w:asciiTheme="minorHAnsi" w:hAnsiTheme="minorHAnsi"/>
          <w:sz w:val="24"/>
          <w:szCs w:val="24"/>
        </w:rPr>
        <w:t>leaves</w:t>
      </w:r>
      <w:r w:rsidR="00E80FF2">
        <w:rPr>
          <w:rFonts w:asciiTheme="minorHAnsi" w:hAnsiTheme="minorHAnsi"/>
          <w:sz w:val="24"/>
          <w:szCs w:val="24"/>
        </w:rPr>
        <w:t xml:space="preserve"> the letter of</w:t>
      </w:r>
      <w:r w:rsidR="00492188">
        <w:rPr>
          <w:rFonts w:asciiTheme="minorHAnsi" w:hAnsiTheme="minorHAnsi"/>
          <w:sz w:val="24"/>
          <w:szCs w:val="24"/>
        </w:rPr>
        <w:t xml:space="preserve"> </w:t>
      </w:r>
      <w:r w:rsidR="0046643B" w:rsidRPr="0046643B">
        <w:rPr>
          <w:rFonts w:asciiTheme="minorHAnsi" w:hAnsiTheme="minorHAnsi"/>
          <w:i/>
          <w:sz w:val="24"/>
          <w:szCs w:val="24"/>
        </w:rPr>
        <w:t>Thalassa</w:t>
      </w:r>
      <w:r w:rsidR="00492188">
        <w:rPr>
          <w:rFonts w:asciiTheme="minorHAnsi" w:hAnsiTheme="minorHAnsi"/>
          <w:sz w:val="24"/>
          <w:szCs w:val="24"/>
        </w:rPr>
        <w:t xml:space="preserve"> to turn</w:t>
      </w:r>
      <w:r w:rsidR="00CD599D">
        <w:rPr>
          <w:rFonts w:asciiTheme="minorHAnsi" w:hAnsiTheme="minorHAnsi"/>
          <w:sz w:val="24"/>
          <w:szCs w:val="24"/>
        </w:rPr>
        <w:t xml:space="preserve"> to</w:t>
      </w:r>
      <w:r w:rsidR="00492188">
        <w:rPr>
          <w:rFonts w:asciiTheme="minorHAnsi" w:hAnsiTheme="minorHAnsi"/>
          <w:sz w:val="24"/>
          <w:szCs w:val="24"/>
        </w:rPr>
        <w:t>ward</w:t>
      </w:r>
      <w:r w:rsidR="00CD599D">
        <w:rPr>
          <w:rFonts w:asciiTheme="minorHAnsi" w:hAnsiTheme="minorHAnsi"/>
          <w:sz w:val="24"/>
          <w:szCs w:val="24"/>
        </w:rPr>
        <w:t xml:space="preserve"> the belly of the bulimic as participant rather than puppet in the thought processes of depression. </w:t>
      </w:r>
      <w:r w:rsidR="00DC670E">
        <w:rPr>
          <w:rFonts w:asciiTheme="minorHAnsi" w:hAnsiTheme="minorHAnsi"/>
          <w:sz w:val="24"/>
          <w:szCs w:val="24"/>
        </w:rPr>
        <w:t xml:space="preserve">In line with Ferenczi this participation does not award a consciousness to any </w:t>
      </w:r>
      <w:r w:rsidR="005F1E15">
        <w:rPr>
          <w:rFonts w:asciiTheme="minorHAnsi" w:hAnsiTheme="minorHAnsi"/>
          <w:sz w:val="24"/>
          <w:szCs w:val="24"/>
        </w:rPr>
        <w:t xml:space="preserve">alternative </w:t>
      </w:r>
      <w:r w:rsidR="00DC670E">
        <w:rPr>
          <w:rFonts w:asciiTheme="minorHAnsi" w:hAnsiTheme="minorHAnsi"/>
          <w:sz w:val="24"/>
          <w:szCs w:val="24"/>
        </w:rPr>
        <w:t xml:space="preserve">organ but suggests the </w:t>
      </w:r>
      <w:r w:rsidR="004D377A">
        <w:rPr>
          <w:rFonts w:asciiTheme="minorHAnsi" w:hAnsiTheme="minorHAnsi"/>
          <w:sz w:val="24"/>
          <w:szCs w:val="24"/>
        </w:rPr>
        <w:t>phylogenetic sedimentation</w:t>
      </w:r>
      <w:r w:rsidR="00DC670E">
        <w:rPr>
          <w:rFonts w:asciiTheme="minorHAnsi" w:hAnsiTheme="minorHAnsi"/>
          <w:sz w:val="24"/>
          <w:szCs w:val="24"/>
        </w:rPr>
        <w:t xml:space="preserve"> of </w:t>
      </w:r>
      <w:r w:rsidR="00492188">
        <w:rPr>
          <w:rFonts w:asciiTheme="minorHAnsi" w:hAnsiTheme="minorHAnsi"/>
          <w:sz w:val="24"/>
          <w:szCs w:val="24"/>
        </w:rPr>
        <w:t xml:space="preserve">what he calls </w:t>
      </w:r>
      <w:r w:rsidR="00DC670E">
        <w:rPr>
          <w:rFonts w:asciiTheme="minorHAnsi" w:hAnsiTheme="minorHAnsi"/>
          <w:sz w:val="24"/>
          <w:szCs w:val="24"/>
        </w:rPr>
        <w:t>a ‘biological unconscious’</w:t>
      </w:r>
      <w:r w:rsidR="006C352E">
        <w:rPr>
          <w:rFonts w:asciiTheme="minorHAnsi" w:hAnsiTheme="minorHAnsi"/>
          <w:sz w:val="24"/>
          <w:szCs w:val="24"/>
        </w:rPr>
        <w:t xml:space="preserve"> throughout the body</w:t>
      </w:r>
      <w:r w:rsidR="008606E4">
        <w:rPr>
          <w:rFonts w:asciiTheme="minorHAnsi" w:hAnsiTheme="minorHAnsi"/>
          <w:sz w:val="24"/>
          <w:szCs w:val="24"/>
        </w:rPr>
        <w:t xml:space="preserve"> rendering that body amenable to analysis</w:t>
      </w:r>
      <w:r w:rsidR="00DC670E">
        <w:rPr>
          <w:rFonts w:asciiTheme="minorHAnsi" w:hAnsiTheme="minorHAnsi"/>
          <w:sz w:val="24"/>
          <w:szCs w:val="24"/>
        </w:rPr>
        <w:t>.</w:t>
      </w:r>
      <w:r w:rsidR="00661C00">
        <w:rPr>
          <w:rStyle w:val="EndnoteReference"/>
          <w:rFonts w:asciiTheme="minorHAnsi" w:hAnsiTheme="minorHAnsi"/>
          <w:sz w:val="24"/>
          <w:szCs w:val="24"/>
        </w:rPr>
        <w:endnoteReference w:id="35"/>
      </w:r>
    </w:p>
    <w:p w14:paraId="129B429F" w14:textId="77777777" w:rsidR="005025C1" w:rsidRPr="00385027" w:rsidRDefault="005025C1">
      <w:pPr>
        <w:rPr>
          <w:rFonts w:asciiTheme="minorHAnsi" w:hAnsiTheme="minorHAnsi"/>
          <w:sz w:val="24"/>
          <w:szCs w:val="24"/>
        </w:rPr>
      </w:pPr>
    </w:p>
    <w:p w14:paraId="4A0D959F" w14:textId="1EC19C79" w:rsidR="00867ACC" w:rsidRDefault="005025C1" w:rsidP="0021094B">
      <w:pPr>
        <w:rPr>
          <w:rFonts w:asciiTheme="minorHAnsi" w:hAnsiTheme="minorHAnsi"/>
          <w:sz w:val="24"/>
          <w:szCs w:val="24"/>
        </w:rPr>
      </w:pPr>
      <w:r>
        <w:rPr>
          <w:rFonts w:asciiTheme="minorHAnsi" w:hAnsiTheme="minorHAnsi"/>
          <w:sz w:val="24"/>
          <w:szCs w:val="24"/>
        </w:rPr>
        <w:t xml:space="preserve">Given </w:t>
      </w:r>
      <w:r w:rsidR="005C09AD">
        <w:rPr>
          <w:rFonts w:asciiTheme="minorHAnsi" w:hAnsiTheme="minorHAnsi"/>
          <w:sz w:val="24"/>
          <w:szCs w:val="24"/>
        </w:rPr>
        <w:t>the affirmation of this</w:t>
      </w:r>
      <w:r>
        <w:rPr>
          <w:rFonts w:asciiTheme="minorHAnsi" w:hAnsiTheme="minorHAnsi"/>
          <w:sz w:val="24"/>
          <w:szCs w:val="24"/>
        </w:rPr>
        <w:t xml:space="preserve"> dynamic material, bodily, biological capacity, detached from </w:t>
      </w:r>
      <w:r w:rsidR="002D7088">
        <w:rPr>
          <w:rFonts w:asciiTheme="minorHAnsi" w:hAnsiTheme="minorHAnsi"/>
          <w:sz w:val="24"/>
          <w:szCs w:val="24"/>
        </w:rPr>
        <w:t>exclusively</w:t>
      </w:r>
      <w:r>
        <w:rPr>
          <w:rFonts w:asciiTheme="minorHAnsi" w:hAnsiTheme="minorHAnsi"/>
          <w:sz w:val="24"/>
          <w:szCs w:val="24"/>
        </w:rPr>
        <w:t xml:space="preserve"> preserving life</w:t>
      </w:r>
      <w:r w:rsidR="005C09AD">
        <w:rPr>
          <w:rFonts w:asciiTheme="minorHAnsi" w:hAnsiTheme="minorHAnsi"/>
          <w:sz w:val="24"/>
          <w:szCs w:val="24"/>
        </w:rPr>
        <w:t xml:space="preserve"> that we find in Wilson</w:t>
      </w:r>
      <w:r>
        <w:rPr>
          <w:rFonts w:asciiTheme="minorHAnsi" w:hAnsiTheme="minorHAnsi"/>
          <w:sz w:val="24"/>
          <w:szCs w:val="24"/>
        </w:rPr>
        <w:t xml:space="preserve">, it is remarkable how single-minded the thought of this </w:t>
      </w:r>
      <w:r w:rsidR="00D23CD0">
        <w:rPr>
          <w:rFonts w:asciiTheme="minorHAnsi" w:hAnsiTheme="minorHAnsi"/>
          <w:sz w:val="24"/>
          <w:szCs w:val="24"/>
        </w:rPr>
        <w:t>S</w:t>
      </w:r>
      <w:r w:rsidR="008716B9">
        <w:rPr>
          <w:rFonts w:asciiTheme="minorHAnsi" w:hAnsiTheme="minorHAnsi"/>
          <w:sz w:val="24"/>
          <w:szCs w:val="24"/>
        </w:rPr>
        <w:t xml:space="preserve">F </w:t>
      </w:r>
      <w:r>
        <w:rPr>
          <w:rFonts w:asciiTheme="minorHAnsi" w:hAnsiTheme="minorHAnsi"/>
          <w:sz w:val="24"/>
          <w:szCs w:val="24"/>
        </w:rPr>
        <w:t>body becomes</w:t>
      </w:r>
      <w:r w:rsidR="008716B9">
        <w:rPr>
          <w:rFonts w:asciiTheme="minorHAnsi" w:hAnsiTheme="minorHAnsi"/>
          <w:sz w:val="24"/>
          <w:szCs w:val="24"/>
        </w:rPr>
        <w:t xml:space="preserve"> in the subsequent pages of </w:t>
      </w:r>
      <w:r w:rsidR="008716B9" w:rsidRPr="008716B9">
        <w:rPr>
          <w:rFonts w:asciiTheme="minorHAnsi" w:hAnsiTheme="minorHAnsi"/>
          <w:i/>
          <w:sz w:val="24"/>
          <w:szCs w:val="24"/>
        </w:rPr>
        <w:t>Thalassa</w:t>
      </w:r>
      <w:r>
        <w:rPr>
          <w:rFonts w:asciiTheme="minorHAnsi" w:hAnsiTheme="minorHAnsi"/>
          <w:sz w:val="24"/>
          <w:szCs w:val="24"/>
        </w:rPr>
        <w:t>, subjected to what Ferenczi calls the ‘thalassal trend’.</w:t>
      </w:r>
      <w:r w:rsidR="00867ACC">
        <w:rPr>
          <w:rFonts w:asciiTheme="minorHAnsi" w:hAnsiTheme="minorHAnsi"/>
          <w:sz w:val="24"/>
          <w:szCs w:val="24"/>
        </w:rPr>
        <w:t xml:space="preserve"> </w:t>
      </w:r>
    </w:p>
    <w:p w14:paraId="562C54ED" w14:textId="77777777" w:rsidR="0021094B" w:rsidRDefault="0021094B">
      <w:pPr>
        <w:rPr>
          <w:rFonts w:asciiTheme="minorHAnsi" w:hAnsiTheme="minorHAnsi"/>
          <w:sz w:val="24"/>
          <w:szCs w:val="24"/>
        </w:rPr>
      </w:pPr>
    </w:p>
    <w:p w14:paraId="2B602C42" w14:textId="77777777" w:rsidR="005B6775" w:rsidRDefault="005B6775">
      <w:pPr>
        <w:rPr>
          <w:rFonts w:asciiTheme="minorHAnsi" w:hAnsiTheme="minorHAnsi"/>
          <w:sz w:val="24"/>
          <w:szCs w:val="24"/>
        </w:rPr>
      </w:pPr>
    </w:p>
    <w:p w14:paraId="14D3BD84" w14:textId="7322CBC7" w:rsidR="005F1E15" w:rsidRPr="005F1E15" w:rsidRDefault="00FE247F" w:rsidP="005F1E15">
      <w:pPr>
        <w:jc w:val="center"/>
        <w:rPr>
          <w:rFonts w:asciiTheme="minorHAnsi" w:hAnsiTheme="minorHAnsi"/>
          <w:b/>
          <w:sz w:val="24"/>
          <w:szCs w:val="24"/>
        </w:rPr>
      </w:pPr>
      <w:r>
        <w:rPr>
          <w:rFonts w:asciiTheme="minorHAnsi" w:hAnsiTheme="minorHAnsi"/>
          <w:b/>
          <w:sz w:val="24"/>
          <w:szCs w:val="24"/>
        </w:rPr>
        <w:t>Lost</w:t>
      </w:r>
      <w:r w:rsidR="005F1E15" w:rsidRPr="005F1E15">
        <w:rPr>
          <w:rFonts w:asciiTheme="minorHAnsi" w:hAnsiTheme="minorHAnsi"/>
          <w:b/>
          <w:sz w:val="24"/>
          <w:szCs w:val="24"/>
        </w:rPr>
        <w:t xml:space="preserve"> at Sea</w:t>
      </w:r>
    </w:p>
    <w:p w14:paraId="238EB7DF" w14:textId="77777777" w:rsidR="005B6775" w:rsidRDefault="005B6775">
      <w:pPr>
        <w:rPr>
          <w:rFonts w:asciiTheme="minorHAnsi" w:hAnsiTheme="minorHAnsi"/>
          <w:sz w:val="24"/>
          <w:szCs w:val="24"/>
        </w:rPr>
      </w:pPr>
    </w:p>
    <w:p w14:paraId="4A3E8216" w14:textId="77777777" w:rsidR="005E1716" w:rsidRDefault="005E1716">
      <w:pPr>
        <w:rPr>
          <w:rFonts w:asciiTheme="minorHAnsi" w:hAnsiTheme="minorHAnsi"/>
          <w:sz w:val="24"/>
          <w:szCs w:val="24"/>
        </w:rPr>
      </w:pPr>
    </w:p>
    <w:p w14:paraId="7897750D" w14:textId="67AE0FD3" w:rsidR="006C3031" w:rsidRDefault="00FD10C8">
      <w:pPr>
        <w:rPr>
          <w:rFonts w:asciiTheme="minorHAnsi" w:hAnsiTheme="minorHAnsi"/>
          <w:sz w:val="24"/>
          <w:szCs w:val="24"/>
        </w:rPr>
      </w:pPr>
      <w:r>
        <w:rPr>
          <w:rFonts w:asciiTheme="minorHAnsi" w:hAnsiTheme="minorHAnsi"/>
          <w:sz w:val="24"/>
          <w:szCs w:val="24"/>
        </w:rPr>
        <w:t xml:space="preserve">In her account of the dynamic possibilities of </w:t>
      </w:r>
      <w:r w:rsidR="009C0CD3">
        <w:rPr>
          <w:rFonts w:asciiTheme="minorHAnsi" w:hAnsiTheme="minorHAnsi"/>
          <w:sz w:val="24"/>
          <w:szCs w:val="24"/>
        </w:rPr>
        <w:t xml:space="preserve">the </w:t>
      </w:r>
      <w:r w:rsidR="002727C1">
        <w:rPr>
          <w:rFonts w:asciiTheme="minorHAnsi" w:hAnsiTheme="minorHAnsi"/>
          <w:sz w:val="24"/>
          <w:szCs w:val="24"/>
        </w:rPr>
        <w:t>S</w:t>
      </w:r>
      <w:r w:rsidR="006E7CF5">
        <w:rPr>
          <w:rFonts w:asciiTheme="minorHAnsi" w:hAnsiTheme="minorHAnsi"/>
          <w:sz w:val="24"/>
          <w:szCs w:val="24"/>
        </w:rPr>
        <w:t xml:space="preserve">F body in </w:t>
      </w:r>
      <w:r w:rsidRPr="00FD10C8">
        <w:rPr>
          <w:rFonts w:asciiTheme="minorHAnsi" w:hAnsiTheme="minorHAnsi"/>
          <w:i/>
          <w:sz w:val="24"/>
          <w:szCs w:val="24"/>
        </w:rPr>
        <w:t>Thalassa</w:t>
      </w:r>
      <w:r>
        <w:rPr>
          <w:rFonts w:asciiTheme="minorHAnsi" w:hAnsiTheme="minorHAnsi"/>
          <w:sz w:val="24"/>
          <w:szCs w:val="24"/>
        </w:rPr>
        <w:t>, Wilson accentuates the disseminative effect of amphimixis</w:t>
      </w:r>
      <w:r w:rsidR="00E963AA">
        <w:rPr>
          <w:rFonts w:asciiTheme="minorHAnsi" w:hAnsiTheme="minorHAnsi"/>
          <w:sz w:val="24"/>
          <w:szCs w:val="24"/>
        </w:rPr>
        <w:t xml:space="preserve"> </w:t>
      </w:r>
      <w:r>
        <w:rPr>
          <w:rFonts w:asciiTheme="minorHAnsi" w:hAnsiTheme="minorHAnsi"/>
          <w:sz w:val="24"/>
          <w:szCs w:val="24"/>
        </w:rPr>
        <w:t>on the erstwhile magic wand</w:t>
      </w:r>
      <w:r w:rsidR="00380A0A">
        <w:rPr>
          <w:rFonts w:asciiTheme="minorHAnsi" w:hAnsiTheme="minorHAnsi"/>
          <w:sz w:val="24"/>
          <w:szCs w:val="24"/>
        </w:rPr>
        <w:t xml:space="preserve"> </w:t>
      </w:r>
      <w:r w:rsidR="00A125DF">
        <w:rPr>
          <w:rFonts w:asciiTheme="minorHAnsi" w:hAnsiTheme="minorHAnsi"/>
          <w:sz w:val="24"/>
          <w:szCs w:val="24"/>
        </w:rPr>
        <w:t>to produce</w:t>
      </w:r>
      <w:r w:rsidR="00E963AA">
        <w:rPr>
          <w:rFonts w:asciiTheme="minorHAnsi" w:hAnsiTheme="minorHAnsi"/>
          <w:sz w:val="24"/>
          <w:szCs w:val="24"/>
        </w:rPr>
        <w:t xml:space="preserve"> a reading </w:t>
      </w:r>
      <w:r w:rsidR="0068471F">
        <w:rPr>
          <w:rFonts w:asciiTheme="minorHAnsi" w:hAnsiTheme="minorHAnsi"/>
          <w:sz w:val="24"/>
          <w:szCs w:val="24"/>
        </w:rPr>
        <w:t>significantly less conservative</w:t>
      </w:r>
      <w:r w:rsidR="00E963AA">
        <w:rPr>
          <w:rFonts w:asciiTheme="minorHAnsi" w:hAnsiTheme="minorHAnsi"/>
          <w:sz w:val="24"/>
          <w:szCs w:val="24"/>
        </w:rPr>
        <w:t xml:space="preserve"> from the more a</w:t>
      </w:r>
      <w:r w:rsidR="0053356B">
        <w:rPr>
          <w:rFonts w:asciiTheme="minorHAnsi" w:hAnsiTheme="minorHAnsi"/>
          <w:sz w:val="24"/>
          <w:szCs w:val="24"/>
        </w:rPr>
        <w:t>pparent one given by the text. S</w:t>
      </w:r>
      <w:r w:rsidR="00E963AA">
        <w:rPr>
          <w:rFonts w:asciiTheme="minorHAnsi" w:hAnsiTheme="minorHAnsi"/>
          <w:sz w:val="24"/>
          <w:szCs w:val="24"/>
        </w:rPr>
        <w:t>he</w:t>
      </w:r>
      <w:r w:rsidR="00380A0A">
        <w:rPr>
          <w:rFonts w:asciiTheme="minorHAnsi" w:hAnsiTheme="minorHAnsi"/>
          <w:sz w:val="24"/>
          <w:szCs w:val="24"/>
        </w:rPr>
        <w:t xml:space="preserve"> </w:t>
      </w:r>
      <w:r w:rsidR="00FD755A">
        <w:rPr>
          <w:rFonts w:asciiTheme="minorHAnsi" w:hAnsiTheme="minorHAnsi"/>
          <w:sz w:val="24"/>
          <w:szCs w:val="24"/>
        </w:rPr>
        <w:t xml:space="preserve">virtually </w:t>
      </w:r>
      <w:r w:rsidR="000D68EB">
        <w:rPr>
          <w:rFonts w:asciiTheme="minorHAnsi" w:hAnsiTheme="minorHAnsi"/>
          <w:sz w:val="24"/>
          <w:szCs w:val="24"/>
        </w:rPr>
        <w:t>obliges</w:t>
      </w:r>
      <w:r w:rsidR="00380A0A">
        <w:rPr>
          <w:rFonts w:asciiTheme="minorHAnsi" w:hAnsiTheme="minorHAnsi"/>
          <w:sz w:val="24"/>
          <w:szCs w:val="24"/>
        </w:rPr>
        <w:t xml:space="preserve"> Ferenczi </w:t>
      </w:r>
      <w:r w:rsidR="00626043">
        <w:rPr>
          <w:rFonts w:asciiTheme="minorHAnsi" w:hAnsiTheme="minorHAnsi"/>
          <w:sz w:val="24"/>
          <w:szCs w:val="24"/>
        </w:rPr>
        <w:t xml:space="preserve">to </w:t>
      </w:r>
      <w:r w:rsidR="00380A0A">
        <w:rPr>
          <w:rFonts w:asciiTheme="minorHAnsi" w:hAnsiTheme="minorHAnsi"/>
          <w:sz w:val="24"/>
          <w:szCs w:val="24"/>
        </w:rPr>
        <w:t>follow through on his own intuition</w:t>
      </w:r>
      <w:r>
        <w:rPr>
          <w:rFonts w:asciiTheme="minorHAnsi" w:hAnsiTheme="minorHAnsi"/>
          <w:sz w:val="24"/>
          <w:szCs w:val="24"/>
        </w:rPr>
        <w:t xml:space="preserve">. </w:t>
      </w:r>
      <w:r w:rsidR="009C0CD3">
        <w:rPr>
          <w:rFonts w:asciiTheme="minorHAnsi" w:hAnsiTheme="minorHAnsi"/>
          <w:sz w:val="24"/>
          <w:szCs w:val="24"/>
        </w:rPr>
        <w:t xml:space="preserve">Or rather, as I would like to think, it is as if the explicit engagement with Derrida that she brought to her first book </w:t>
      </w:r>
      <w:r w:rsidR="009C0CD3" w:rsidRPr="009C0CD3">
        <w:rPr>
          <w:rFonts w:asciiTheme="minorHAnsi" w:hAnsiTheme="minorHAnsi"/>
          <w:i/>
          <w:sz w:val="24"/>
          <w:szCs w:val="24"/>
        </w:rPr>
        <w:t>Neural Geographies</w:t>
      </w:r>
      <w:r w:rsidR="009C0CD3">
        <w:rPr>
          <w:rFonts w:asciiTheme="minorHAnsi" w:hAnsiTheme="minorHAnsi"/>
          <w:sz w:val="24"/>
          <w:szCs w:val="24"/>
        </w:rPr>
        <w:t xml:space="preserve"> has already been activated</w:t>
      </w:r>
      <w:r w:rsidR="00781CC4">
        <w:rPr>
          <w:rFonts w:asciiTheme="minorHAnsi" w:hAnsiTheme="minorHAnsi"/>
          <w:sz w:val="24"/>
          <w:szCs w:val="24"/>
        </w:rPr>
        <w:t xml:space="preserve"> in the pages of “Gut Feminism,”</w:t>
      </w:r>
      <w:r w:rsidR="009C0CD3">
        <w:rPr>
          <w:rFonts w:asciiTheme="minorHAnsi" w:hAnsiTheme="minorHAnsi"/>
          <w:sz w:val="24"/>
          <w:szCs w:val="24"/>
        </w:rPr>
        <w:t xml:space="preserve"> </w:t>
      </w:r>
      <w:r w:rsidR="000D68EB">
        <w:rPr>
          <w:rFonts w:asciiTheme="minorHAnsi" w:hAnsiTheme="minorHAnsi"/>
          <w:sz w:val="24"/>
          <w:szCs w:val="24"/>
        </w:rPr>
        <w:t>yet</w:t>
      </w:r>
      <w:r w:rsidR="009C0CD3">
        <w:rPr>
          <w:rFonts w:asciiTheme="minorHAnsi" w:hAnsiTheme="minorHAnsi"/>
          <w:sz w:val="24"/>
          <w:szCs w:val="24"/>
        </w:rPr>
        <w:t xml:space="preserve"> silently, without </w:t>
      </w:r>
      <w:r w:rsidR="00FD755A">
        <w:rPr>
          <w:rFonts w:asciiTheme="minorHAnsi" w:hAnsiTheme="minorHAnsi"/>
          <w:sz w:val="24"/>
          <w:szCs w:val="24"/>
        </w:rPr>
        <w:t xml:space="preserve">the signposts of </w:t>
      </w:r>
      <w:r w:rsidR="009C0CD3">
        <w:rPr>
          <w:rFonts w:asciiTheme="minorHAnsi" w:hAnsiTheme="minorHAnsi"/>
          <w:sz w:val="24"/>
          <w:szCs w:val="24"/>
        </w:rPr>
        <w:t>argument as such.</w:t>
      </w:r>
      <w:r w:rsidR="00362413">
        <w:rPr>
          <w:rStyle w:val="EndnoteReference"/>
          <w:rFonts w:asciiTheme="minorHAnsi" w:hAnsiTheme="minorHAnsi"/>
          <w:sz w:val="24"/>
          <w:szCs w:val="24"/>
        </w:rPr>
        <w:endnoteReference w:id="36"/>
      </w:r>
      <w:r w:rsidR="009C0CD3">
        <w:rPr>
          <w:rFonts w:asciiTheme="minorHAnsi" w:hAnsiTheme="minorHAnsi"/>
          <w:sz w:val="24"/>
          <w:szCs w:val="24"/>
        </w:rPr>
        <w:t xml:space="preserve">  </w:t>
      </w:r>
      <w:r w:rsidR="00A8581D">
        <w:rPr>
          <w:rFonts w:asciiTheme="minorHAnsi" w:hAnsiTheme="minorHAnsi"/>
          <w:sz w:val="24"/>
          <w:szCs w:val="24"/>
        </w:rPr>
        <w:t xml:space="preserve">Derrida’s work only warrants a handful of acknowledgements in </w:t>
      </w:r>
      <w:r w:rsidR="00A8581D" w:rsidRPr="00A8581D">
        <w:rPr>
          <w:rFonts w:asciiTheme="minorHAnsi" w:hAnsiTheme="minorHAnsi"/>
          <w:i/>
          <w:sz w:val="24"/>
          <w:szCs w:val="24"/>
        </w:rPr>
        <w:t>Psychosomatic</w:t>
      </w:r>
      <w:r w:rsidR="00A8581D">
        <w:rPr>
          <w:rFonts w:asciiTheme="minorHAnsi" w:hAnsiTheme="minorHAnsi"/>
          <w:sz w:val="24"/>
          <w:szCs w:val="24"/>
        </w:rPr>
        <w:t xml:space="preserve">, but they are telling in light of what she might have </w:t>
      </w:r>
      <w:r w:rsidR="000D68EB">
        <w:rPr>
          <w:rFonts w:asciiTheme="minorHAnsi" w:hAnsiTheme="minorHAnsi"/>
          <w:sz w:val="24"/>
          <w:szCs w:val="24"/>
        </w:rPr>
        <w:t>spelled out</w:t>
      </w:r>
      <w:r w:rsidR="00781CC4">
        <w:rPr>
          <w:rFonts w:asciiTheme="minorHAnsi" w:hAnsiTheme="minorHAnsi"/>
          <w:sz w:val="24"/>
          <w:szCs w:val="24"/>
        </w:rPr>
        <w:t xml:space="preserve"> in “Gut Feminism”</w:t>
      </w:r>
      <w:r w:rsidR="00FD755A">
        <w:rPr>
          <w:rFonts w:asciiTheme="minorHAnsi" w:hAnsiTheme="minorHAnsi"/>
          <w:sz w:val="24"/>
          <w:szCs w:val="24"/>
        </w:rPr>
        <w:t>. Early in that</w:t>
      </w:r>
      <w:r w:rsidR="00A8581D">
        <w:rPr>
          <w:rFonts w:asciiTheme="minorHAnsi" w:hAnsiTheme="minorHAnsi"/>
          <w:sz w:val="24"/>
          <w:szCs w:val="24"/>
        </w:rPr>
        <w:t xml:space="preserve"> book</w:t>
      </w:r>
      <w:r w:rsidR="00786126">
        <w:rPr>
          <w:rFonts w:asciiTheme="minorHAnsi" w:hAnsiTheme="minorHAnsi"/>
          <w:sz w:val="24"/>
          <w:szCs w:val="24"/>
        </w:rPr>
        <w:t xml:space="preserve"> </w:t>
      </w:r>
      <w:r w:rsidR="001338B8">
        <w:rPr>
          <w:rFonts w:asciiTheme="minorHAnsi" w:hAnsiTheme="minorHAnsi"/>
          <w:sz w:val="24"/>
          <w:szCs w:val="24"/>
        </w:rPr>
        <w:t xml:space="preserve">Wilson reassures the reader that the ‘circuit of nerves-penis-cortex-psyche’ </w:t>
      </w:r>
      <w:r w:rsidR="001B41C8">
        <w:rPr>
          <w:rFonts w:asciiTheme="minorHAnsi" w:hAnsiTheme="minorHAnsi"/>
          <w:sz w:val="24"/>
          <w:szCs w:val="24"/>
        </w:rPr>
        <w:t xml:space="preserve">found in Freud’s writing on neurasthenia </w:t>
      </w:r>
      <w:r w:rsidR="001338B8">
        <w:rPr>
          <w:rFonts w:asciiTheme="minorHAnsi" w:hAnsiTheme="minorHAnsi"/>
          <w:sz w:val="24"/>
          <w:szCs w:val="24"/>
        </w:rPr>
        <w:t xml:space="preserve">need not equate to </w:t>
      </w:r>
      <w:r w:rsidR="005B4A84">
        <w:rPr>
          <w:rFonts w:asciiTheme="minorHAnsi" w:hAnsiTheme="minorHAnsi"/>
          <w:sz w:val="24"/>
          <w:szCs w:val="24"/>
        </w:rPr>
        <w:t xml:space="preserve">‘self-contained elements arranged </w:t>
      </w:r>
      <w:r w:rsidR="001B41C8">
        <w:rPr>
          <w:rFonts w:asciiTheme="minorHAnsi" w:hAnsiTheme="minorHAnsi"/>
          <w:sz w:val="24"/>
          <w:szCs w:val="24"/>
        </w:rPr>
        <w:t xml:space="preserve">in </w:t>
      </w:r>
      <w:r w:rsidR="005B4A84">
        <w:rPr>
          <w:rFonts w:asciiTheme="minorHAnsi" w:hAnsiTheme="minorHAnsi"/>
          <w:sz w:val="24"/>
          <w:szCs w:val="24"/>
        </w:rPr>
        <w:t>determinable relations of cause and effect’.</w:t>
      </w:r>
      <w:r w:rsidR="001B41C8">
        <w:rPr>
          <w:rStyle w:val="EndnoteReference"/>
          <w:rFonts w:asciiTheme="minorHAnsi" w:hAnsiTheme="minorHAnsi"/>
          <w:sz w:val="24"/>
          <w:szCs w:val="24"/>
        </w:rPr>
        <w:endnoteReference w:id="37"/>
      </w:r>
      <w:r w:rsidR="005B4A84">
        <w:rPr>
          <w:rFonts w:asciiTheme="minorHAnsi" w:hAnsiTheme="minorHAnsi"/>
          <w:sz w:val="24"/>
          <w:szCs w:val="24"/>
        </w:rPr>
        <w:t xml:space="preserve"> </w:t>
      </w:r>
      <w:r w:rsidR="006C3031">
        <w:rPr>
          <w:rFonts w:asciiTheme="minorHAnsi" w:hAnsiTheme="minorHAnsi"/>
          <w:sz w:val="24"/>
          <w:szCs w:val="24"/>
        </w:rPr>
        <w:t xml:space="preserve">While </w:t>
      </w:r>
      <w:r w:rsidR="00DC3EB2">
        <w:rPr>
          <w:rFonts w:asciiTheme="minorHAnsi" w:hAnsiTheme="minorHAnsi"/>
          <w:sz w:val="24"/>
          <w:szCs w:val="24"/>
        </w:rPr>
        <w:t>her argument</w:t>
      </w:r>
      <w:r w:rsidR="006C3031">
        <w:rPr>
          <w:rFonts w:asciiTheme="minorHAnsi" w:hAnsiTheme="minorHAnsi"/>
          <w:sz w:val="24"/>
          <w:szCs w:val="24"/>
        </w:rPr>
        <w:t xml:space="preserve"> </w:t>
      </w:r>
      <w:r w:rsidR="007627BC">
        <w:rPr>
          <w:rFonts w:asciiTheme="minorHAnsi" w:hAnsiTheme="minorHAnsi"/>
          <w:sz w:val="24"/>
          <w:szCs w:val="24"/>
        </w:rPr>
        <w:t>zones in</w:t>
      </w:r>
      <w:r w:rsidR="006C3031">
        <w:rPr>
          <w:rFonts w:asciiTheme="minorHAnsi" w:hAnsiTheme="minorHAnsi"/>
          <w:sz w:val="24"/>
          <w:szCs w:val="24"/>
        </w:rPr>
        <w:t xml:space="preserve"> on the question of how trauma and specifical</w:t>
      </w:r>
      <w:r w:rsidR="006F387B">
        <w:rPr>
          <w:rFonts w:asciiTheme="minorHAnsi" w:hAnsiTheme="minorHAnsi"/>
          <w:sz w:val="24"/>
          <w:szCs w:val="24"/>
        </w:rPr>
        <w:t>ly mourning registers not just</w:t>
      </w:r>
      <w:r w:rsidR="006C3031">
        <w:rPr>
          <w:rFonts w:asciiTheme="minorHAnsi" w:hAnsiTheme="minorHAnsi"/>
          <w:sz w:val="24"/>
          <w:szCs w:val="24"/>
        </w:rPr>
        <w:t xml:space="preserve"> at the level of the psyche but in ‘serotonergic pathways,’ the theoretical </w:t>
      </w:r>
      <w:r w:rsidR="001B41C8">
        <w:rPr>
          <w:rFonts w:asciiTheme="minorHAnsi" w:hAnsiTheme="minorHAnsi"/>
          <w:sz w:val="24"/>
          <w:szCs w:val="24"/>
        </w:rPr>
        <w:t>flashpoint turns on decentring</w:t>
      </w:r>
      <w:r w:rsidR="006C3031">
        <w:rPr>
          <w:rFonts w:asciiTheme="minorHAnsi" w:hAnsiTheme="minorHAnsi"/>
          <w:sz w:val="24"/>
          <w:szCs w:val="24"/>
        </w:rPr>
        <w:t xml:space="preserve"> </w:t>
      </w:r>
      <w:r w:rsidR="008F51EC">
        <w:rPr>
          <w:rFonts w:asciiTheme="minorHAnsi" w:hAnsiTheme="minorHAnsi"/>
          <w:sz w:val="24"/>
          <w:szCs w:val="24"/>
        </w:rPr>
        <w:t>the penis</w:t>
      </w:r>
      <w:r w:rsidR="0067500D">
        <w:rPr>
          <w:rFonts w:asciiTheme="minorHAnsi" w:hAnsiTheme="minorHAnsi"/>
          <w:sz w:val="24"/>
          <w:szCs w:val="24"/>
        </w:rPr>
        <w:t xml:space="preserve"> as a </w:t>
      </w:r>
      <w:r w:rsidR="000D68EB">
        <w:rPr>
          <w:rFonts w:asciiTheme="minorHAnsi" w:hAnsiTheme="minorHAnsi"/>
          <w:sz w:val="24"/>
          <w:szCs w:val="24"/>
        </w:rPr>
        <w:t xml:space="preserve">supposedly </w:t>
      </w:r>
      <w:r w:rsidR="0067500D">
        <w:rPr>
          <w:rFonts w:asciiTheme="minorHAnsi" w:hAnsiTheme="minorHAnsi"/>
          <w:sz w:val="24"/>
          <w:szCs w:val="24"/>
        </w:rPr>
        <w:t>discrete agent</w:t>
      </w:r>
      <w:r w:rsidR="008F51EC">
        <w:rPr>
          <w:rFonts w:asciiTheme="minorHAnsi" w:hAnsiTheme="minorHAnsi"/>
          <w:sz w:val="24"/>
          <w:szCs w:val="24"/>
        </w:rPr>
        <w:t>.</w:t>
      </w:r>
      <w:r w:rsidR="0067500D">
        <w:rPr>
          <w:rFonts w:asciiTheme="minorHAnsi" w:hAnsiTheme="minorHAnsi"/>
          <w:sz w:val="24"/>
          <w:szCs w:val="24"/>
        </w:rPr>
        <w:t xml:space="preserve"> </w:t>
      </w:r>
      <w:r w:rsidR="001703B7">
        <w:rPr>
          <w:rFonts w:asciiTheme="minorHAnsi" w:hAnsiTheme="minorHAnsi"/>
          <w:sz w:val="24"/>
          <w:szCs w:val="24"/>
        </w:rPr>
        <w:t xml:space="preserve">The structure she advances in her distinctive reading of Freud </w:t>
      </w:r>
    </w:p>
    <w:p w14:paraId="7E1FB40E" w14:textId="3962363D" w:rsidR="00DC4706" w:rsidRDefault="00DC4706" w:rsidP="00DC4706">
      <w:pPr>
        <w:ind w:left="720"/>
        <w:rPr>
          <w:rFonts w:asciiTheme="minorHAnsi" w:hAnsiTheme="minorHAnsi"/>
          <w:sz w:val="24"/>
          <w:szCs w:val="24"/>
        </w:rPr>
      </w:pPr>
      <w:r>
        <w:rPr>
          <w:rFonts w:asciiTheme="minorHAnsi" w:hAnsiTheme="minorHAnsi"/>
          <w:sz w:val="24"/>
          <w:szCs w:val="24"/>
        </w:rPr>
        <w:t xml:space="preserve">could be called a relational or distributed network only when certain ontological conditions have been met.  […] a logic of distribution is critically valuable only as it approximates a Derridean notion of dissemination or </w:t>
      </w:r>
      <w:r w:rsidR="006F387B" w:rsidRPr="006F387B">
        <w:rPr>
          <w:rFonts w:asciiTheme="minorHAnsi" w:hAnsiTheme="minorHAnsi"/>
          <w:i/>
          <w:sz w:val="24"/>
          <w:szCs w:val="24"/>
        </w:rPr>
        <w:t>diff</w:t>
      </w:r>
      <w:r w:rsidR="006F387B" w:rsidRPr="006F387B">
        <w:rPr>
          <w:rFonts w:ascii="Cambria" w:hAnsi="Cambria"/>
          <w:i/>
          <w:sz w:val="24"/>
          <w:szCs w:val="24"/>
        </w:rPr>
        <w:t>é</w:t>
      </w:r>
      <w:r w:rsidR="006F387B" w:rsidRPr="006F387B">
        <w:rPr>
          <w:rFonts w:asciiTheme="minorHAnsi" w:hAnsiTheme="minorHAnsi"/>
          <w:i/>
          <w:sz w:val="24"/>
          <w:szCs w:val="24"/>
        </w:rPr>
        <w:t>ra</w:t>
      </w:r>
      <w:r w:rsidRPr="006F387B">
        <w:rPr>
          <w:rFonts w:asciiTheme="minorHAnsi" w:hAnsiTheme="minorHAnsi"/>
          <w:i/>
          <w:sz w:val="24"/>
          <w:szCs w:val="24"/>
        </w:rPr>
        <w:t>nce</w:t>
      </w:r>
      <w:r>
        <w:rPr>
          <w:rFonts w:asciiTheme="minorHAnsi" w:hAnsiTheme="minorHAnsi"/>
          <w:sz w:val="24"/>
          <w:szCs w:val="24"/>
        </w:rPr>
        <w:t>-that is a distribution or relationality that is constitutive of its component elements.</w:t>
      </w:r>
      <w:r>
        <w:rPr>
          <w:rStyle w:val="EndnoteReference"/>
          <w:rFonts w:asciiTheme="minorHAnsi" w:hAnsiTheme="minorHAnsi"/>
          <w:sz w:val="24"/>
          <w:szCs w:val="24"/>
        </w:rPr>
        <w:endnoteReference w:id="38"/>
      </w:r>
    </w:p>
    <w:p w14:paraId="4B086A13" w14:textId="37B1FE0A" w:rsidR="00D42411" w:rsidRDefault="005704F7">
      <w:pPr>
        <w:rPr>
          <w:rFonts w:asciiTheme="minorHAnsi" w:hAnsiTheme="minorHAnsi"/>
          <w:sz w:val="24"/>
          <w:szCs w:val="24"/>
        </w:rPr>
      </w:pPr>
      <w:r>
        <w:rPr>
          <w:rFonts w:asciiTheme="minorHAnsi" w:hAnsiTheme="minorHAnsi"/>
          <w:sz w:val="24"/>
          <w:szCs w:val="24"/>
        </w:rPr>
        <w:t xml:space="preserve">As with the biology emerging in ‘Gut Feminism’ </w:t>
      </w:r>
      <w:r w:rsidR="00AA2F0C">
        <w:rPr>
          <w:rFonts w:asciiTheme="minorHAnsi" w:hAnsiTheme="minorHAnsi"/>
          <w:sz w:val="24"/>
          <w:szCs w:val="24"/>
        </w:rPr>
        <w:t xml:space="preserve">any sense of the utilitarian or instrumentation of individual organs dissipates. </w:t>
      </w:r>
      <w:r w:rsidR="00CB4783">
        <w:rPr>
          <w:rFonts w:asciiTheme="minorHAnsi" w:hAnsiTheme="minorHAnsi"/>
          <w:sz w:val="24"/>
          <w:szCs w:val="24"/>
        </w:rPr>
        <w:t>Following Wilson’s implication</w:t>
      </w:r>
      <w:r w:rsidR="00B767ED">
        <w:rPr>
          <w:rFonts w:asciiTheme="minorHAnsi" w:hAnsiTheme="minorHAnsi"/>
          <w:sz w:val="24"/>
          <w:szCs w:val="24"/>
        </w:rPr>
        <w:t>,</w:t>
      </w:r>
      <w:r w:rsidR="00CB4783">
        <w:rPr>
          <w:rFonts w:asciiTheme="minorHAnsi" w:hAnsiTheme="minorHAnsi"/>
          <w:sz w:val="24"/>
          <w:szCs w:val="24"/>
        </w:rPr>
        <w:t xml:space="preserve"> </w:t>
      </w:r>
      <w:r w:rsidR="00B933B6">
        <w:rPr>
          <w:rFonts w:asciiTheme="minorHAnsi" w:hAnsiTheme="minorHAnsi"/>
          <w:sz w:val="24"/>
          <w:szCs w:val="24"/>
        </w:rPr>
        <w:t>if not her argument</w:t>
      </w:r>
      <w:r w:rsidR="00B767ED">
        <w:rPr>
          <w:rFonts w:asciiTheme="minorHAnsi" w:hAnsiTheme="minorHAnsi"/>
          <w:sz w:val="24"/>
          <w:szCs w:val="24"/>
        </w:rPr>
        <w:t>,</w:t>
      </w:r>
      <w:r w:rsidR="001703B7">
        <w:rPr>
          <w:rFonts w:asciiTheme="minorHAnsi" w:hAnsiTheme="minorHAnsi"/>
          <w:sz w:val="24"/>
          <w:szCs w:val="24"/>
        </w:rPr>
        <w:t xml:space="preserve"> regarding </w:t>
      </w:r>
      <w:r w:rsidR="001703B7" w:rsidRPr="001703B7">
        <w:rPr>
          <w:rFonts w:asciiTheme="minorHAnsi" w:hAnsiTheme="minorHAnsi"/>
          <w:i/>
          <w:sz w:val="24"/>
          <w:szCs w:val="24"/>
        </w:rPr>
        <w:t>Thalassa</w:t>
      </w:r>
      <w:r w:rsidR="00AA2F0C">
        <w:rPr>
          <w:rFonts w:asciiTheme="minorHAnsi" w:hAnsiTheme="minorHAnsi"/>
          <w:i/>
          <w:sz w:val="24"/>
          <w:szCs w:val="24"/>
        </w:rPr>
        <w:t>,</w:t>
      </w:r>
      <w:r w:rsidR="00B933B6">
        <w:rPr>
          <w:rFonts w:asciiTheme="minorHAnsi" w:hAnsiTheme="minorHAnsi"/>
          <w:sz w:val="24"/>
          <w:szCs w:val="24"/>
        </w:rPr>
        <w:t xml:space="preserve"> an</w:t>
      </w:r>
      <w:r w:rsidR="002727C1">
        <w:rPr>
          <w:rFonts w:asciiTheme="minorHAnsi" w:hAnsiTheme="minorHAnsi"/>
          <w:sz w:val="24"/>
          <w:szCs w:val="24"/>
        </w:rPr>
        <w:t xml:space="preserve"> other kind of S</w:t>
      </w:r>
      <w:r w:rsidR="00CB4783">
        <w:rPr>
          <w:rFonts w:asciiTheme="minorHAnsi" w:hAnsiTheme="minorHAnsi"/>
          <w:sz w:val="24"/>
          <w:szCs w:val="24"/>
        </w:rPr>
        <w:t>F body</w:t>
      </w:r>
      <w:r w:rsidR="00AA2F0C">
        <w:rPr>
          <w:rFonts w:asciiTheme="minorHAnsi" w:hAnsiTheme="minorHAnsi"/>
          <w:sz w:val="24"/>
          <w:szCs w:val="24"/>
        </w:rPr>
        <w:t xml:space="preserve"> must come forth</w:t>
      </w:r>
      <w:r w:rsidR="00CB4783">
        <w:rPr>
          <w:rFonts w:asciiTheme="minorHAnsi" w:hAnsiTheme="minorHAnsi"/>
          <w:sz w:val="24"/>
          <w:szCs w:val="24"/>
        </w:rPr>
        <w:t xml:space="preserve">. </w:t>
      </w:r>
    </w:p>
    <w:p w14:paraId="3E252E6E" w14:textId="77777777" w:rsidR="00D42411" w:rsidRDefault="00D42411">
      <w:pPr>
        <w:rPr>
          <w:rFonts w:asciiTheme="minorHAnsi" w:hAnsiTheme="minorHAnsi"/>
          <w:sz w:val="24"/>
          <w:szCs w:val="24"/>
        </w:rPr>
      </w:pPr>
    </w:p>
    <w:p w14:paraId="63BC3B06" w14:textId="7A1E4084" w:rsidR="00596447" w:rsidRDefault="00FD10C8">
      <w:pPr>
        <w:rPr>
          <w:rFonts w:asciiTheme="minorHAnsi" w:hAnsiTheme="minorHAnsi"/>
          <w:sz w:val="24"/>
          <w:szCs w:val="24"/>
        </w:rPr>
      </w:pPr>
      <w:r>
        <w:rPr>
          <w:rFonts w:asciiTheme="minorHAnsi" w:hAnsiTheme="minorHAnsi"/>
          <w:sz w:val="24"/>
          <w:szCs w:val="24"/>
        </w:rPr>
        <w:t xml:space="preserve">Returning to the </w:t>
      </w:r>
      <w:r w:rsidR="00B933B6">
        <w:rPr>
          <w:rFonts w:asciiTheme="minorHAnsi" w:hAnsiTheme="minorHAnsi"/>
          <w:sz w:val="24"/>
          <w:szCs w:val="24"/>
        </w:rPr>
        <w:t xml:space="preserve">pages of </w:t>
      </w:r>
      <w:r w:rsidR="00B933B6" w:rsidRPr="00B933B6">
        <w:rPr>
          <w:rFonts w:asciiTheme="minorHAnsi" w:hAnsiTheme="minorHAnsi"/>
          <w:i/>
          <w:sz w:val="24"/>
          <w:szCs w:val="24"/>
        </w:rPr>
        <w:t>Thalassa</w:t>
      </w:r>
      <w:r w:rsidR="00BA21A6">
        <w:rPr>
          <w:rFonts w:asciiTheme="minorHAnsi" w:hAnsiTheme="minorHAnsi"/>
          <w:i/>
          <w:sz w:val="24"/>
          <w:szCs w:val="24"/>
        </w:rPr>
        <w:t>,</w:t>
      </w:r>
      <w:r>
        <w:rPr>
          <w:rFonts w:asciiTheme="minorHAnsi" w:hAnsiTheme="minorHAnsi"/>
          <w:sz w:val="24"/>
          <w:szCs w:val="24"/>
        </w:rPr>
        <w:t xml:space="preserve"> </w:t>
      </w:r>
      <w:r w:rsidR="00BA21A6">
        <w:rPr>
          <w:rFonts w:asciiTheme="minorHAnsi" w:hAnsiTheme="minorHAnsi"/>
          <w:sz w:val="24"/>
          <w:szCs w:val="24"/>
        </w:rPr>
        <w:t xml:space="preserve">however, </w:t>
      </w:r>
      <w:r>
        <w:rPr>
          <w:rFonts w:asciiTheme="minorHAnsi" w:hAnsiTheme="minorHAnsi"/>
          <w:sz w:val="24"/>
          <w:szCs w:val="24"/>
        </w:rPr>
        <w:t xml:space="preserve">we find less distribution </w:t>
      </w:r>
      <w:r w:rsidR="008809C3">
        <w:rPr>
          <w:rFonts w:asciiTheme="minorHAnsi" w:hAnsiTheme="minorHAnsi"/>
          <w:sz w:val="24"/>
          <w:szCs w:val="24"/>
        </w:rPr>
        <w:t xml:space="preserve">of the erotic </w:t>
      </w:r>
      <w:r w:rsidR="002727C1">
        <w:rPr>
          <w:rFonts w:asciiTheme="minorHAnsi" w:hAnsiTheme="minorHAnsi"/>
          <w:sz w:val="24"/>
          <w:szCs w:val="24"/>
        </w:rPr>
        <w:t>than synthesis. SF remains loyal to S</w:t>
      </w:r>
      <w:r>
        <w:rPr>
          <w:rFonts w:asciiTheme="minorHAnsi" w:hAnsiTheme="minorHAnsi"/>
          <w:sz w:val="24"/>
          <w:szCs w:val="24"/>
        </w:rPr>
        <w:t>F when it comes to ‘</w:t>
      </w:r>
      <w:r w:rsidR="007E56D7">
        <w:rPr>
          <w:rFonts w:asciiTheme="minorHAnsi" w:hAnsiTheme="minorHAnsi"/>
          <w:sz w:val="24"/>
          <w:szCs w:val="24"/>
        </w:rPr>
        <w:t>genital primacy’ in sexuality. Indeed t</w:t>
      </w:r>
      <w:r>
        <w:rPr>
          <w:rFonts w:asciiTheme="minorHAnsi" w:hAnsiTheme="minorHAnsi"/>
          <w:sz w:val="24"/>
          <w:szCs w:val="24"/>
        </w:rPr>
        <w:t xml:space="preserve">he first </w:t>
      </w:r>
      <w:r w:rsidR="00286CAD">
        <w:rPr>
          <w:rFonts w:asciiTheme="minorHAnsi" w:hAnsiTheme="minorHAnsi"/>
          <w:sz w:val="24"/>
          <w:szCs w:val="24"/>
        </w:rPr>
        <w:t>indication</w:t>
      </w:r>
      <w:r>
        <w:rPr>
          <w:rFonts w:asciiTheme="minorHAnsi" w:hAnsiTheme="minorHAnsi"/>
          <w:sz w:val="24"/>
          <w:szCs w:val="24"/>
        </w:rPr>
        <w:t xml:space="preserve"> of amphimixis in </w:t>
      </w:r>
      <w:r w:rsidRPr="00FD10C8">
        <w:rPr>
          <w:rFonts w:asciiTheme="minorHAnsi" w:hAnsiTheme="minorHAnsi"/>
          <w:i/>
          <w:sz w:val="24"/>
          <w:szCs w:val="24"/>
        </w:rPr>
        <w:t>Thalassa</w:t>
      </w:r>
      <w:r>
        <w:rPr>
          <w:rFonts w:asciiTheme="minorHAnsi" w:hAnsiTheme="minorHAnsi"/>
          <w:sz w:val="24"/>
          <w:szCs w:val="24"/>
        </w:rPr>
        <w:t xml:space="preserve"> ties it in to a teleological formation in which two or more erotisms synthesise into a ‘higher unity’.</w:t>
      </w:r>
      <w:r>
        <w:rPr>
          <w:rStyle w:val="EndnoteReference"/>
          <w:rFonts w:asciiTheme="minorHAnsi" w:hAnsiTheme="minorHAnsi"/>
          <w:sz w:val="24"/>
          <w:szCs w:val="24"/>
        </w:rPr>
        <w:endnoteReference w:id="39"/>
      </w:r>
      <w:r w:rsidR="00A11660">
        <w:rPr>
          <w:rFonts w:asciiTheme="minorHAnsi" w:hAnsiTheme="minorHAnsi"/>
          <w:sz w:val="24"/>
          <w:szCs w:val="24"/>
        </w:rPr>
        <w:t xml:space="preserve"> </w:t>
      </w:r>
      <w:r w:rsidR="002B650F">
        <w:rPr>
          <w:rFonts w:asciiTheme="minorHAnsi" w:hAnsiTheme="minorHAnsi"/>
          <w:sz w:val="24"/>
          <w:szCs w:val="24"/>
        </w:rPr>
        <w:t xml:space="preserve">While </w:t>
      </w:r>
      <w:r w:rsidR="00155C36">
        <w:rPr>
          <w:rFonts w:asciiTheme="minorHAnsi" w:hAnsiTheme="minorHAnsi"/>
          <w:sz w:val="24"/>
          <w:szCs w:val="24"/>
        </w:rPr>
        <w:t>opening up</w:t>
      </w:r>
      <w:r w:rsidR="002B650F">
        <w:rPr>
          <w:rFonts w:asciiTheme="minorHAnsi" w:hAnsiTheme="minorHAnsi"/>
          <w:sz w:val="24"/>
          <w:szCs w:val="24"/>
        </w:rPr>
        <w:t xml:space="preserve"> the</w:t>
      </w:r>
      <w:r w:rsidR="00155C36">
        <w:rPr>
          <w:rFonts w:asciiTheme="minorHAnsi" w:hAnsiTheme="minorHAnsi"/>
          <w:sz w:val="24"/>
          <w:szCs w:val="24"/>
        </w:rPr>
        <w:t xml:space="preserve"> terrain of the</w:t>
      </w:r>
      <w:r w:rsidR="002727C1">
        <w:rPr>
          <w:rFonts w:asciiTheme="minorHAnsi" w:hAnsiTheme="minorHAnsi"/>
          <w:sz w:val="24"/>
          <w:szCs w:val="24"/>
        </w:rPr>
        <w:t xml:space="preserve"> biological, S</w:t>
      </w:r>
      <w:r w:rsidR="002B650F">
        <w:rPr>
          <w:rFonts w:asciiTheme="minorHAnsi" w:hAnsiTheme="minorHAnsi"/>
          <w:sz w:val="24"/>
          <w:szCs w:val="24"/>
        </w:rPr>
        <w:t xml:space="preserve">F nevertheless </w:t>
      </w:r>
      <w:r w:rsidR="00D147AE" w:rsidRPr="00814626">
        <w:rPr>
          <w:rFonts w:asciiTheme="minorHAnsi" w:hAnsiTheme="minorHAnsi"/>
          <w:sz w:val="24"/>
          <w:szCs w:val="24"/>
        </w:rPr>
        <w:t>concedes</w:t>
      </w:r>
      <w:r w:rsidR="00D147AE">
        <w:rPr>
          <w:rFonts w:asciiTheme="minorHAnsi" w:hAnsiTheme="minorHAnsi"/>
          <w:sz w:val="24"/>
          <w:szCs w:val="24"/>
        </w:rPr>
        <w:t xml:space="preserve"> to ‘harmonis[ation]</w:t>
      </w:r>
      <w:r w:rsidR="002B650F">
        <w:rPr>
          <w:rFonts w:asciiTheme="minorHAnsi" w:hAnsiTheme="minorHAnsi"/>
          <w:sz w:val="24"/>
          <w:szCs w:val="24"/>
        </w:rPr>
        <w:t xml:space="preserve">’ with </w:t>
      </w:r>
      <w:r w:rsidR="00944C34">
        <w:rPr>
          <w:rFonts w:asciiTheme="minorHAnsi" w:hAnsiTheme="minorHAnsi"/>
          <w:sz w:val="24"/>
          <w:szCs w:val="24"/>
        </w:rPr>
        <w:t>canonical sexual theory.</w:t>
      </w:r>
      <w:r w:rsidR="00944C34">
        <w:rPr>
          <w:rStyle w:val="EndnoteReference"/>
          <w:rFonts w:asciiTheme="minorHAnsi" w:hAnsiTheme="minorHAnsi"/>
          <w:sz w:val="24"/>
          <w:szCs w:val="24"/>
        </w:rPr>
        <w:endnoteReference w:id="40"/>
      </w:r>
      <w:r w:rsidR="00265920">
        <w:rPr>
          <w:rFonts w:asciiTheme="minorHAnsi" w:hAnsiTheme="minorHAnsi"/>
          <w:sz w:val="24"/>
          <w:szCs w:val="24"/>
        </w:rPr>
        <w:t xml:space="preserve"> </w:t>
      </w:r>
      <w:r w:rsidR="00541C9D">
        <w:rPr>
          <w:rFonts w:asciiTheme="minorHAnsi" w:hAnsiTheme="minorHAnsi"/>
          <w:sz w:val="24"/>
          <w:szCs w:val="24"/>
        </w:rPr>
        <w:t xml:space="preserve">Indeed the </w:t>
      </w:r>
      <w:r w:rsidR="009F02B8">
        <w:rPr>
          <w:rFonts w:asciiTheme="minorHAnsi" w:hAnsiTheme="minorHAnsi"/>
          <w:sz w:val="24"/>
          <w:szCs w:val="24"/>
        </w:rPr>
        <w:t xml:space="preserve">pleasure principle </w:t>
      </w:r>
      <w:r w:rsidR="007A607F">
        <w:rPr>
          <w:rFonts w:asciiTheme="minorHAnsi" w:hAnsiTheme="minorHAnsi"/>
          <w:sz w:val="24"/>
          <w:szCs w:val="24"/>
        </w:rPr>
        <w:t>is legible</w:t>
      </w:r>
      <w:r w:rsidR="009F02B8">
        <w:rPr>
          <w:rFonts w:asciiTheme="minorHAnsi" w:hAnsiTheme="minorHAnsi"/>
          <w:sz w:val="24"/>
          <w:szCs w:val="24"/>
        </w:rPr>
        <w:t xml:space="preserve"> as </w:t>
      </w:r>
      <w:r w:rsidR="007A607F">
        <w:rPr>
          <w:rFonts w:asciiTheme="minorHAnsi" w:hAnsiTheme="minorHAnsi"/>
          <w:sz w:val="24"/>
          <w:szCs w:val="24"/>
        </w:rPr>
        <w:t xml:space="preserve">the </w:t>
      </w:r>
      <w:r w:rsidR="009F02B8">
        <w:rPr>
          <w:rFonts w:asciiTheme="minorHAnsi" w:hAnsiTheme="minorHAnsi"/>
          <w:sz w:val="24"/>
          <w:szCs w:val="24"/>
        </w:rPr>
        <w:t xml:space="preserve">motivational circuit of compensation </w:t>
      </w:r>
      <w:r w:rsidR="00541C9D">
        <w:rPr>
          <w:rFonts w:asciiTheme="minorHAnsi" w:hAnsiTheme="minorHAnsi"/>
          <w:sz w:val="24"/>
          <w:szCs w:val="24"/>
        </w:rPr>
        <w:t xml:space="preserve">as to why organs </w:t>
      </w:r>
      <w:r w:rsidR="009F02B8">
        <w:rPr>
          <w:rFonts w:asciiTheme="minorHAnsi" w:hAnsiTheme="minorHAnsi"/>
          <w:sz w:val="24"/>
          <w:szCs w:val="24"/>
        </w:rPr>
        <w:t xml:space="preserve">such as urethra and anus </w:t>
      </w:r>
      <w:r w:rsidR="00541C9D">
        <w:rPr>
          <w:rFonts w:asciiTheme="minorHAnsi" w:hAnsiTheme="minorHAnsi"/>
          <w:sz w:val="24"/>
          <w:szCs w:val="24"/>
        </w:rPr>
        <w:t xml:space="preserve">should </w:t>
      </w:r>
      <w:r w:rsidR="009F02B8">
        <w:rPr>
          <w:rFonts w:asciiTheme="minorHAnsi" w:hAnsiTheme="minorHAnsi"/>
          <w:sz w:val="24"/>
          <w:szCs w:val="24"/>
        </w:rPr>
        <w:t>communicate. In what Ferenczi calls ‘pregenital amphimixis’ the would-be liberal pee pee learns restraint from the pleasures of retention, the retentive bowel learns to expel ‘by borrowing the urethral pleasure in voiding’.</w:t>
      </w:r>
      <w:r w:rsidR="009F02B8">
        <w:rPr>
          <w:rStyle w:val="EndnoteReference"/>
          <w:rFonts w:asciiTheme="minorHAnsi" w:hAnsiTheme="minorHAnsi"/>
          <w:sz w:val="24"/>
          <w:szCs w:val="24"/>
        </w:rPr>
        <w:endnoteReference w:id="41"/>
      </w:r>
      <w:r w:rsidR="009F02B8">
        <w:rPr>
          <w:rFonts w:asciiTheme="minorHAnsi" w:hAnsiTheme="minorHAnsi"/>
          <w:sz w:val="24"/>
          <w:szCs w:val="24"/>
        </w:rPr>
        <w:t xml:space="preserve"> In such an exchange no pleasures are lost</w:t>
      </w:r>
      <w:r w:rsidR="002D0665">
        <w:rPr>
          <w:rFonts w:asciiTheme="minorHAnsi" w:hAnsiTheme="minorHAnsi"/>
          <w:sz w:val="24"/>
          <w:szCs w:val="24"/>
        </w:rPr>
        <w:t>, no tensions remain</w:t>
      </w:r>
      <w:r w:rsidR="00677C0C">
        <w:rPr>
          <w:rFonts w:asciiTheme="minorHAnsi" w:hAnsiTheme="minorHAnsi"/>
          <w:sz w:val="24"/>
          <w:szCs w:val="24"/>
        </w:rPr>
        <w:t>, equilibrium is maintained</w:t>
      </w:r>
      <w:r w:rsidR="009F02B8">
        <w:rPr>
          <w:rFonts w:asciiTheme="minorHAnsi" w:hAnsiTheme="minorHAnsi"/>
          <w:sz w:val="24"/>
          <w:szCs w:val="24"/>
        </w:rPr>
        <w:t>. Except</w:t>
      </w:r>
      <w:r w:rsidR="007A607F">
        <w:rPr>
          <w:rFonts w:asciiTheme="minorHAnsi" w:hAnsiTheme="minorHAnsi"/>
          <w:sz w:val="24"/>
          <w:szCs w:val="24"/>
        </w:rPr>
        <w:t>,</w:t>
      </w:r>
      <w:r w:rsidR="00A072A4">
        <w:rPr>
          <w:rFonts w:asciiTheme="minorHAnsi" w:hAnsiTheme="minorHAnsi"/>
          <w:sz w:val="24"/>
          <w:szCs w:val="24"/>
        </w:rPr>
        <w:t xml:space="preserve"> when S</w:t>
      </w:r>
      <w:r w:rsidR="009F02B8">
        <w:rPr>
          <w:rFonts w:asciiTheme="minorHAnsi" w:hAnsiTheme="minorHAnsi"/>
          <w:sz w:val="24"/>
          <w:szCs w:val="24"/>
        </w:rPr>
        <w:t xml:space="preserve">F casually mentions the clitoris it is to locate a proper displacement of pleasure to the vagina rather than entertain </w:t>
      </w:r>
      <w:r w:rsidR="00DF098F">
        <w:rPr>
          <w:rFonts w:asciiTheme="minorHAnsi" w:hAnsiTheme="minorHAnsi"/>
          <w:sz w:val="24"/>
          <w:szCs w:val="24"/>
        </w:rPr>
        <w:t xml:space="preserve">any </w:t>
      </w:r>
      <w:r w:rsidR="00596447">
        <w:rPr>
          <w:rFonts w:asciiTheme="minorHAnsi" w:hAnsiTheme="minorHAnsi"/>
          <w:sz w:val="24"/>
          <w:szCs w:val="24"/>
        </w:rPr>
        <w:t>amphimict</w:t>
      </w:r>
      <w:r w:rsidR="009F02B8">
        <w:rPr>
          <w:rFonts w:asciiTheme="minorHAnsi" w:hAnsiTheme="minorHAnsi"/>
          <w:sz w:val="24"/>
          <w:szCs w:val="24"/>
        </w:rPr>
        <w:t>ic constellation.</w:t>
      </w:r>
      <w:r w:rsidR="009F02B8">
        <w:rPr>
          <w:rStyle w:val="EndnoteReference"/>
          <w:rFonts w:asciiTheme="minorHAnsi" w:hAnsiTheme="minorHAnsi"/>
          <w:sz w:val="24"/>
          <w:szCs w:val="24"/>
        </w:rPr>
        <w:endnoteReference w:id="42"/>
      </w:r>
      <w:r w:rsidR="001E7414">
        <w:rPr>
          <w:rFonts w:asciiTheme="minorHAnsi" w:hAnsiTheme="minorHAnsi"/>
          <w:sz w:val="24"/>
          <w:szCs w:val="24"/>
        </w:rPr>
        <w:t xml:space="preserve"> </w:t>
      </w:r>
      <w:r w:rsidR="00EE1507">
        <w:rPr>
          <w:rFonts w:asciiTheme="minorHAnsi" w:hAnsiTheme="minorHAnsi"/>
          <w:sz w:val="24"/>
          <w:szCs w:val="24"/>
        </w:rPr>
        <w:t>The traffic in pleasure</w:t>
      </w:r>
      <w:r w:rsidR="00F05A1B">
        <w:rPr>
          <w:rFonts w:asciiTheme="minorHAnsi" w:hAnsiTheme="minorHAnsi"/>
          <w:sz w:val="24"/>
          <w:szCs w:val="24"/>
        </w:rPr>
        <w:t xml:space="preserve"> in this case filters it away from the clitoris, famously rendered </w:t>
      </w:r>
      <w:r w:rsidR="00AF032B">
        <w:rPr>
          <w:rFonts w:asciiTheme="minorHAnsi" w:hAnsiTheme="minorHAnsi"/>
          <w:sz w:val="24"/>
          <w:szCs w:val="24"/>
        </w:rPr>
        <w:t xml:space="preserve">as </w:t>
      </w:r>
      <w:r w:rsidR="00F05A1B">
        <w:rPr>
          <w:rFonts w:asciiTheme="minorHAnsi" w:hAnsiTheme="minorHAnsi"/>
          <w:sz w:val="24"/>
          <w:szCs w:val="24"/>
        </w:rPr>
        <w:t>the analogue of the male organ</w:t>
      </w:r>
      <w:r w:rsidR="00AF032B">
        <w:rPr>
          <w:rFonts w:asciiTheme="minorHAnsi" w:hAnsiTheme="minorHAnsi"/>
          <w:sz w:val="24"/>
          <w:szCs w:val="24"/>
        </w:rPr>
        <w:t xml:space="preserve"> by Freud</w:t>
      </w:r>
      <w:r w:rsidR="00F05A1B">
        <w:rPr>
          <w:rFonts w:asciiTheme="minorHAnsi" w:hAnsiTheme="minorHAnsi"/>
          <w:sz w:val="24"/>
          <w:szCs w:val="24"/>
        </w:rPr>
        <w:t>, and toward the vagina, which again he famously claimed as ‘the female organ proper’ in spite of its ‘virtual non-existen[ce]’ for ‘several years’.</w:t>
      </w:r>
      <w:r w:rsidR="00F05A1B">
        <w:rPr>
          <w:rStyle w:val="EndnoteReference"/>
          <w:rFonts w:asciiTheme="minorHAnsi" w:hAnsiTheme="minorHAnsi"/>
          <w:sz w:val="24"/>
          <w:szCs w:val="24"/>
        </w:rPr>
        <w:endnoteReference w:id="43"/>
      </w:r>
      <w:r w:rsidR="00F05A1B">
        <w:rPr>
          <w:rFonts w:asciiTheme="minorHAnsi" w:hAnsiTheme="minorHAnsi"/>
          <w:sz w:val="24"/>
          <w:szCs w:val="24"/>
        </w:rPr>
        <w:t xml:space="preserve"> </w:t>
      </w:r>
      <w:r w:rsidR="00596447">
        <w:rPr>
          <w:rFonts w:asciiTheme="minorHAnsi" w:hAnsiTheme="minorHAnsi"/>
          <w:sz w:val="24"/>
          <w:szCs w:val="24"/>
        </w:rPr>
        <w:t xml:space="preserve">A </w:t>
      </w:r>
      <w:r w:rsidR="00BA21A6">
        <w:rPr>
          <w:rFonts w:asciiTheme="minorHAnsi" w:hAnsiTheme="minorHAnsi"/>
          <w:sz w:val="24"/>
          <w:szCs w:val="24"/>
        </w:rPr>
        <w:t xml:space="preserve">slightly </w:t>
      </w:r>
      <w:r w:rsidR="00596447">
        <w:rPr>
          <w:rFonts w:asciiTheme="minorHAnsi" w:hAnsiTheme="minorHAnsi"/>
          <w:sz w:val="24"/>
          <w:szCs w:val="24"/>
        </w:rPr>
        <w:t xml:space="preserve">more complex </w:t>
      </w:r>
      <w:r w:rsidR="00F05A1B">
        <w:rPr>
          <w:rFonts w:asciiTheme="minorHAnsi" w:hAnsiTheme="minorHAnsi"/>
          <w:sz w:val="24"/>
          <w:szCs w:val="24"/>
        </w:rPr>
        <w:t xml:space="preserve">if no less vexed </w:t>
      </w:r>
      <w:r w:rsidR="00596447">
        <w:rPr>
          <w:rFonts w:asciiTheme="minorHAnsi" w:hAnsiTheme="minorHAnsi"/>
          <w:sz w:val="24"/>
          <w:szCs w:val="24"/>
        </w:rPr>
        <w:t xml:space="preserve">story emerges in the third chapter of </w:t>
      </w:r>
      <w:r w:rsidR="00596447" w:rsidRPr="00596447">
        <w:rPr>
          <w:rFonts w:asciiTheme="minorHAnsi" w:hAnsiTheme="minorHAnsi"/>
          <w:i/>
          <w:sz w:val="24"/>
          <w:szCs w:val="24"/>
        </w:rPr>
        <w:t>Thalassa</w:t>
      </w:r>
      <w:r w:rsidR="00AF032B">
        <w:rPr>
          <w:rFonts w:asciiTheme="minorHAnsi" w:hAnsiTheme="minorHAnsi"/>
          <w:i/>
          <w:sz w:val="24"/>
          <w:szCs w:val="24"/>
        </w:rPr>
        <w:t>,</w:t>
      </w:r>
      <w:r w:rsidR="00596447">
        <w:rPr>
          <w:rFonts w:asciiTheme="minorHAnsi" w:hAnsiTheme="minorHAnsi"/>
          <w:sz w:val="24"/>
          <w:szCs w:val="24"/>
        </w:rPr>
        <w:t xml:space="preserve"> which </w:t>
      </w:r>
      <w:r w:rsidR="00AF032B">
        <w:rPr>
          <w:rFonts w:asciiTheme="minorHAnsi" w:hAnsiTheme="minorHAnsi"/>
          <w:sz w:val="24"/>
          <w:szCs w:val="24"/>
        </w:rPr>
        <w:t xml:space="preserve">wrestles with proper feminine sexuality again in line with SF </w:t>
      </w:r>
      <w:r w:rsidR="00E60206">
        <w:rPr>
          <w:rFonts w:asciiTheme="minorHAnsi" w:hAnsiTheme="minorHAnsi"/>
          <w:sz w:val="24"/>
          <w:szCs w:val="24"/>
        </w:rPr>
        <w:t>authority</w:t>
      </w:r>
      <w:r w:rsidR="00596447">
        <w:rPr>
          <w:rFonts w:asciiTheme="minorHAnsi" w:hAnsiTheme="minorHAnsi"/>
          <w:sz w:val="24"/>
          <w:szCs w:val="24"/>
        </w:rPr>
        <w:t>.</w:t>
      </w:r>
    </w:p>
    <w:p w14:paraId="47CE22FE" w14:textId="77777777" w:rsidR="00596447" w:rsidRDefault="00596447">
      <w:pPr>
        <w:rPr>
          <w:rFonts w:asciiTheme="minorHAnsi" w:hAnsiTheme="minorHAnsi"/>
          <w:sz w:val="24"/>
          <w:szCs w:val="24"/>
        </w:rPr>
      </w:pPr>
    </w:p>
    <w:p w14:paraId="748ACAD4" w14:textId="006E4BF3" w:rsidR="0068471F" w:rsidRDefault="00355445">
      <w:pPr>
        <w:rPr>
          <w:rFonts w:asciiTheme="minorHAnsi" w:hAnsiTheme="minorHAnsi"/>
          <w:sz w:val="24"/>
          <w:szCs w:val="24"/>
        </w:rPr>
      </w:pPr>
      <w:r>
        <w:rPr>
          <w:rFonts w:asciiTheme="minorHAnsi" w:hAnsiTheme="minorHAnsi"/>
          <w:sz w:val="24"/>
          <w:szCs w:val="24"/>
        </w:rPr>
        <w:t xml:space="preserve">Reading SF in a very </w:t>
      </w:r>
      <w:r w:rsidR="00BA21A6">
        <w:rPr>
          <w:rFonts w:asciiTheme="minorHAnsi" w:hAnsiTheme="minorHAnsi"/>
          <w:sz w:val="24"/>
          <w:szCs w:val="24"/>
        </w:rPr>
        <w:t>forgiving</w:t>
      </w:r>
      <w:r>
        <w:rPr>
          <w:rFonts w:asciiTheme="minorHAnsi" w:hAnsiTheme="minorHAnsi"/>
          <w:sz w:val="24"/>
          <w:szCs w:val="24"/>
        </w:rPr>
        <w:t xml:space="preserve"> light we might understand the clitoris as </w:t>
      </w:r>
      <w:r w:rsidR="00BA21A6">
        <w:rPr>
          <w:rFonts w:asciiTheme="minorHAnsi" w:hAnsiTheme="minorHAnsi"/>
          <w:sz w:val="24"/>
          <w:szCs w:val="24"/>
        </w:rPr>
        <w:t xml:space="preserve">so </w:t>
      </w:r>
      <w:r>
        <w:rPr>
          <w:rFonts w:asciiTheme="minorHAnsi" w:hAnsiTheme="minorHAnsi"/>
          <w:sz w:val="24"/>
          <w:szCs w:val="24"/>
        </w:rPr>
        <w:t>profoundly generous that</w:t>
      </w:r>
      <w:r w:rsidR="00BA6093">
        <w:rPr>
          <w:rFonts w:asciiTheme="minorHAnsi" w:hAnsiTheme="minorHAnsi"/>
          <w:sz w:val="24"/>
          <w:szCs w:val="24"/>
        </w:rPr>
        <w:t xml:space="preserve"> it</w:t>
      </w:r>
      <w:r>
        <w:rPr>
          <w:rFonts w:asciiTheme="minorHAnsi" w:hAnsiTheme="minorHAnsi"/>
          <w:sz w:val="24"/>
          <w:szCs w:val="24"/>
        </w:rPr>
        <w:t xml:space="preserve"> shares its pleasures not only with the vagina but with ‘other parts of the body […] in particular the nipple and the surrounding area.’</w:t>
      </w:r>
      <w:r w:rsidR="00B62319">
        <w:rPr>
          <w:rStyle w:val="EndnoteReference"/>
          <w:rFonts w:asciiTheme="minorHAnsi" w:hAnsiTheme="minorHAnsi"/>
          <w:sz w:val="24"/>
          <w:szCs w:val="24"/>
        </w:rPr>
        <w:endnoteReference w:id="44"/>
      </w:r>
      <w:r>
        <w:rPr>
          <w:rFonts w:asciiTheme="minorHAnsi" w:hAnsiTheme="minorHAnsi"/>
          <w:sz w:val="24"/>
          <w:szCs w:val="24"/>
        </w:rPr>
        <w:t xml:space="preserve"> </w:t>
      </w:r>
      <w:r w:rsidR="00B62319">
        <w:rPr>
          <w:rFonts w:asciiTheme="minorHAnsi" w:hAnsiTheme="minorHAnsi"/>
          <w:sz w:val="24"/>
          <w:szCs w:val="24"/>
        </w:rPr>
        <w:t>While SF describes this displacement in comparison to hysteria, Wilson would remind us that the soma of SF hysteria renders the body as participant in displaced affects: it is not simply hijacked by a foreign agent. The body is widely eroticised</w:t>
      </w:r>
      <w:r w:rsidR="00CD3ADE">
        <w:rPr>
          <w:rFonts w:asciiTheme="minorHAnsi" w:hAnsiTheme="minorHAnsi"/>
          <w:sz w:val="24"/>
          <w:szCs w:val="24"/>
        </w:rPr>
        <w:t xml:space="preserve"> because it can be rather</w:t>
      </w:r>
      <w:r w:rsidR="004E7DCD">
        <w:rPr>
          <w:rFonts w:asciiTheme="minorHAnsi" w:hAnsiTheme="minorHAnsi"/>
          <w:sz w:val="24"/>
          <w:szCs w:val="24"/>
        </w:rPr>
        <w:t xml:space="preserve"> than</w:t>
      </w:r>
      <w:r w:rsidR="00CD3ADE">
        <w:rPr>
          <w:rFonts w:asciiTheme="minorHAnsi" w:hAnsiTheme="minorHAnsi"/>
          <w:sz w:val="24"/>
          <w:szCs w:val="24"/>
        </w:rPr>
        <w:t xml:space="preserve"> is obliged to be. </w:t>
      </w:r>
      <w:r w:rsidR="00FE4E13">
        <w:rPr>
          <w:rFonts w:asciiTheme="minorHAnsi" w:hAnsiTheme="minorHAnsi"/>
          <w:sz w:val="24"/>
          <w:szCs w:val="24"/>
        </w:rPr>
        <w:t xml:space="preserve">However, unlike the </w:t>
      </w:r>
      <w:r w:rsidR="00071C5E">
        <w:rPr>
          <w:rFonts w:asciiTheme="minorHAnsi" w:hAnsiTheme="minorHAnsi"/>
          <w:sz w:val="24"/>
          <w:szCs w:val="24"/>
        </w:rPr>
        <w:t>organisation</w:t>
      </w:r>
      <w:r w:rsidR="00FE4E13">
        <w:rPr>
          <w:rFonts w:asciiTheme="minorHAnsi" w:hAnsiTheme="minorHAnsi"/>
          <w:sz w:val="24"/>
          <w:szCs w:val="24"/>
        </w:rPr>
        <w:t xml:space="preserve"> evoked by Gayatri Spivak in which ‘[t]he clitor</w:t>
      </w:r>
      <w:r w:rsidR="00071C5E">
        <w:rPr>
          <w:rFonts w:asciiTheme="minorHAnsi" w:hAnsiTheme="minorHAnsi"/>
          <w:sz w:val="24"/>
          <w:szCs w:val="24"/>
        </w:rPr>
        <w:t>is escapes reproductive framing</w:t>
      </w:r>
      <w:r w:rsidR="00FE4E13">
        <w:rPr>
          <w:rFonts w:asciiTheme="minorHAnsi" w:hAnsiTheme="minorHAnsi"/>
          <w:sz w:val="24"/>
          <w:szCs w:val="24"/>
        </w:rPr>
        <w:t xml:space="preserve">’ </w:t>
      </w:r>
      <w:r w:rsidR="00071C5E">
        <w:rPr>
          <w:rFonts w:asciiTheme="minorHAnsi" w:hAnsiTheme="minorHAnsi"/>
          <w:sz w:val="24"/>
          <w:szCs w:val="24"/>
        </w:rPr>
        <w:t xml:space="preserve">and might therefore speak to an economy of pleasure alone unbound to function, SF </w:t>
      </w:r>
      <w:r w:rsidR="005E2650">
        <w:rPr>
          <w:rFonts w:asciiTheme="minorHAnsi" w:hAnsiTheme="minorHAnsi"/>
          <w:sz w:val="24"/>
          <w:szCs w:val="24"/>
        </w:rPr>
        <w:t xml:space="preserve">is blind to that possibility and tightly </w:t>
      </w:r>
      <w:r w:rsidR="00071C5E">
        <w:rPr>
          <w:rFonts w:asciiTheme="minorHAnsi" w:hAnsiTheme="minorHAnsi"/>
          <w:sz w:val="24"/>
          <w:szCs w:val="24"/>
        </w:rPr>
        <w:t>binds</w:t>
      </w:r>
      <w:r w:rsidR="005E2650">
        <w:rPr>
          <w:rFonts w:asciiTheme="minorHAnsi" w:hAnsiTheme="minorHAnsi"/>
          <w:sz w:val="24"/>
          <w:szCs w:val="24"/>
        </w:rPr>
        <w:t xml:space="preserve"> this vector of escape</w:t>
      </w:r>
      <w:r w:rsidR="00FE4E13">
        <w:rPr>
          <w:rFonts w:asciiTheme="minorHAnsi" w:hAnsiTheme="minorHAnsi"/>
          <w:sz w:val="24"/>
          <w:szCs w:val="24"/>
        </w:rPr>
        <w:t>.</w:t>
      </w:r>
      <w:r w:rsidR="00071C5E">
        <w:rPr>
          <w:rStyle w:val="EndnoteReference"/>
          <w:rFonts w:asciiTheme="minorHAnsi" w:hAnsiTheme="minorHAnsi"/>
          <w:sz w:val="24"/>
          <w:szCs w:val="24"/>
        </w:rPr>
        <w:endnoteReference w:id="45"/>
      </w:r>
      <w:r w:rsidR="00FE4E13">
        <w:rPr>
          <w:rFonts w:asciiTheme="minorHAnsi" w:hAnsiTheme="minorHAnsi"/>
          <w:sz w:val="24"/>
          <w:szCs w:val="24"/>
        </w:rPr>
        <w:t xml:space="preserve"> </w:t>
      </w:r>
      <w:r w:rsidR="00687870">
        <w:rPr>
          <w:rFonts w:asciiTheme="minorHAnsi" w:hAnsiTheme="minorHAnsi"/>
          <w:sz w:val="24"/>
          <w:szCs w:val="24"/>
        </w:rPr>
        <w:t xml:space="preserve">Amphimixis </w:t>
      </w:r>
      <w:r w:rsidR="00A77E2F">
        <w:rPr>
          <w:rFonts w:asciiTheme="minorHAnsi" w:hAnsiTheme="minorHAnsi"/>
          <w:sz w:val="24"/>
          <w:szCs w:val="24"/>
        </w:rPr>
        <w:t>shows up</w:t>
      </w:r>
      <w:r w:rsidR="00BA21A6">
        <w:rPr>
          <w:rFonts w:asciiTheme="minorHAnsi" w:hAnsiTheme="minorHAnsi"/>
          <w:sz w:val="24"/>
          <w:szCs w:val="24"/>
        </w:rPr>
        <w:t xml:space="preserve">. However the ends of reproduction are served by expelling expulsion from feminine rhythms. In SF, </w:t>
      </w:r>
      <w:r w:rsidR="009C58DE">
        <w:rPr>
          <w:rFonts w:asciiTheme="minorHAnsi" w:hAnsiTheme="minorHAnsi"/>
          <w:sz w:val="24"/>
          <w:szCs w:val="24"/>
        </w:rPr>
        <w:t xml:space="preserve">the vagina may borrow </w:t>
      </w:r>
      <w:r w:rsidR="00AD5BF0">
        <w:rPr>
          <w:rFonts w:asciiTheme="minorHAnsi" w:hAnsiTheme="minorHAnsi"/>
          <w:sz w:val="24"/>
          <w:szCs w:val="24"/>
        </w:rPr>
        <w:t xml:space="preserve">‘considerable amounts’ of erotism from elsewhere - </w:t>
      </w:r>
      <w:r w:rsidR="009C58DE">
        <w:rPr>
          <w:rFonts w:asciiTheme="minorHAnsi" w:hAnsiTheme="minorHAnsi"/>
          <w:sz w:val="24"/>
          <w:szCs w:val="24"/>
        </w:rPr>
        <w:t>peristalsis from oral ingestion and retention from the anus</w:t>
      </w:r>
      <w:r w:rsidR="00AD5BF0">
        <w:rPr>
          <w:rFonts w:asciiTheme="minorHAnsi" w:hAnsiTheme="minorHAnsi"/>
          <w:sz w:val="24"/>
          <w:szCs w:val="24"/>
        </w:rPr>
        <w:t>,</w:t>
      </w:r>
      <w:r w:rsidR="009C58DE">
        <w:rPr>
          <w:rFonts w:asciiTheme="minorHAnsi" w:hAnsiTheme="minorHAnsi"/>
          <w:sz w:val="24"/>
          <w:szCs w:val="24"/>
        </w:rPr>
        <w:t xml:space="preserve"> but this is all in the service of retaining semen and ‘sheltering’ the vulnerable penis in coitus.</w:t>
      </w:r>
      <w:r w:rsidR="009C58DE">
        <w:rPr>
          <w:rStyle w:val="EndnoteReference"/>
          <w:rFonts w:asciiTheme="minorHAnsi" w:hAnsiTheme="minorHAnsi"/>
          <w:sz w:val="24"/>
          <w:szCs w:val="24"/>
        </w:rPr>
        <w:endnoteReference w:id="46"/>
      </w:r>
      <w:r w:rsidR="009C58DE">
        <w:rPr>
          <w:rFonts w:asciiTheme="minorHAnsi" w:hAnsiTheme="minorHAnsi"/>
          <w:sz w:val="24"/>
          <w:szCs w:val="24"/>
        </w:rPr>
        <w:t xml:space="preserve"> </w:t>
      </w:r>
      <w:r w:rsidR="00681FB6">
        <w:rPr>
          <w:rFonts w:asciiTheme="minorHAnsi" w:hAnsiTheme="minorHAnsi"/>
          <w:sz w:val="24"/>
          <w:szCs w:val="24"/>
        </w:rPr>
        <w:t>‘</w:t>
      </w:r>
      <w:r w:rsidR="0053356B">
        <w:rPr>
          <w:rFonts w:asciiTheme="minorHAnsi" w:hAnsiTheme="minorHAnsi"/>
          <w:sz w:val="24"/>
          <w:szCs w:val="24"/>
        </w:rPr>
        <w:t>There/there</w:t>
      </w:r>
      <w:r w:rsidR="009C58DE">
        <w:rPr>
          <w:rFonts w:asciiTheme="minorHAnsi" w:hAnsiTheme="minorHAnsi"/>
          <w:sz w:val="24"/>
          <w:szCs w:val="24"/>
        </w:rPr>
        <w:t xml:space="preserve"> </w:t>
      </w:r>
      <w:r w:rsidR="009F401B">
        <w:rPr>
          <w:rFonts w:asciiTheme="minorHAnsi" w:hAnsiTheme="minorHAnsi"/>
          <w:sz w:val="24"/>
          <w:szCs w:val="24"/>
        </w:rPr>
        <w:t xml:space="preserve"> (</w:t>
      </w:r>
      <w:r w:rsidR="0053356B">
        <w:rPr>
          <w:rFonts w:asciiTheme="minorHAnsi" w:hAnsiTheme="minorHAnsi"/>
          <w:i/>
          <w:sz w:val="24"/>
          <w:szCs w:val="24"/>
        </w:rPr>
        <w:t>da/</w:t>
      </w:r>
      <w:r w:rsidR="009F401B" w:rsidRPr="009F401B">
        <w:rPr>
          <w:rFonts w:asciiTheme="minorHAnsi" w:hAnsiTheme="minorHAnsi"/>
          <w:i/>
          <w:sz w:val="24"/>
          <w:szCs w:val="24"/>
        </w:rPr>
        <w:t>da</w:t>
      </w:r>
      <w:r w:rsidR="009F401B">
        <w:rPr>
          <w:rFonts w:asciiTheme="minorHAnsi" w:hAnsiTheme="minorHAnsi"/>
          <w:sz w:val="24"/>
          <w:szCs w:val="24"/>
        </w:rPr>
        <w:t>)</w:t>
      </w:r>
      <w:r w:rsidR="0053356B">
        <w:rPr>
          <w:rFonts w:asciiTheme="minorHAnsi" w:hAnsiTheme="minorHAnsi"/>
          <w:sz w:val="24"/>
          <w:szCs w:val="24"/>
        </w:rPr>
        <w:t>’</w:t>
      </w:r>
      <w:r w:rsidR="009F401B">
        <w:rPr>
          <w:rFonts w:asciiTheme="minorHAnsi" w:hAnsiTheme="minorHAnsi"/>
          <w:sz w:val="24"/>
          <w:szCs w:val="24"/>
        </w:rPr>
        <w:t xml:space="preserve"> </w:t>
      </w:r>
      <w:r w:rsidR="009C58DE">
        <w:rPr>
          <w:rFonts w:asciiTheme="minorHAnsi" w:hAnsiTheme="minorHAnsi"/>
          <w:sz w:val="24"/>
          <w:szCs w:val="24"/>
        </w:rPr>
        <w:t xml:space="preserve">her rhythms might </w:t>
      </w:r>
      <w:r w:rsidR="00BA6093">
        <w:rPr>
          <w:rFonts w:asciiTheme="minorHAnsi" w:hAnsiTheme="minorHAnsi"/>
          <w:sz w:val="24"/>
          <w:szCs w:val="24"/>
        </w:rPr>
        <w:t>mutter</w:t>
      </w:r>
      <w:r w:rsidR="009C58DE">
        <w:rPr>
          <w:rFonts w:asciiTheme="minorHAnsi" w:hAnsiTheme="minorHAnsi"/>
          <w:sz w:val="24"/>
          <w:szCs w:val="24"/>
        </w:rPr>
        <w:t>.</w:t>
      </w:r>
      <w:r w:rsidR="00681FB6">
        <w:rPr>
          <w:rFonts w:asciiTheme="minorHAnsi" w:hAnsiTheme="minorHAnsi"/>
          <w:sz w:val="24"/>
          <w:szCs w:val="24"/>
        </w:rPr>
        <w:t xml:space="preserve"> </w:t>
      </w:r>
      <w:r w:rsidR="00527A98">
        <w:rPr>
          <w:rFonts w:asciiTheme="minorHAnsi" w:hAnsiTheme="minorHAnsi"/>
          <w:sz w:val="24"/>
          <w:szCs w:val="24"/>
        </w:rPr>
        <w:t xml:space="preserve">The urethra is </w:t>
      </w:r>
      <w:r w:rsidR="00955007">
        <w:rPr>
          <w:rFonts w:asciiTheme="minorHAnsi" w:hAnsiTheme="minorHAnsi"/>
          <w:sz w:val="24"/>
          <w:szCs w:val="24"/>
        </w:rPr>
        <w:t xml:space="preserve">virtually </w:t>
      </w:r>
      <w:r w:rsidR="00527A98">
        <w:rPr>
          <w:rFonts w:asciiTheme="minorHAnsi" w:hAnsiTheme="minorHAnsi"/>
          <w:sz w:val="24"/>
          <w:szCs w:val="24"/>
        </w:rPr>
        <w:t xml:space="preserve">as forsaken as the clitoris in this story. </w:t>
      </w:r>
      <w:r w:rsidR="0068471F">
        <w:rPr>
          <w:rFonts w:asciiTheme="minorHAnsi" w:hAnsiTheme="minorHAnsi"/>
          <w:sz w:val="24"/>
          <w:szCs w:val="24"/>
        </w:rPr>
        <w:t>Yet</w:t>
      </w:r>
      <w:r w:rsidR="00525E15">
        <w:rPr>
          <w:rFonts w:asciiTheme="minorHAnsi" w:hAnsiTheme="minorHAnsi"/>
          <w:sz w:val="24"/>
          <w:szCs w:val="24"/>
        </w:rPr>
        <w:t xml:space="preserve"> the SF endorsement of the desire to return to life in water remains</w:t>
      </w:r>
      <w:r w:rsidR="002B151D">
        <w:rPr>
          <w:rFonts w:asciiTheme="minorHAnsi" w:hAnsiTheme="minorHAnsi"/>
          <w:sz w:val="24"/>
          <w:szCs w:val="24"/>
        </w:rPr>
        <w:t xml:space="preserve"> to be taken into account</w:t>
      </w:r>
      <w:r w:rsidR="00525E15">
        <w:rPr>
          <w:rFonts w:asciiTheme="minorHAnsi" w:hAnsiTheme="minorHAnsi"/>
          <w:sz w:val="24"/>
          <w:szCs w:val="24"/>
        </w:rPr>
        <w:t xml:space="preserve">. This is only configured for the woman </w:t>
      </w:r>
      <w:r w:rsidR="0068471F">
        <w:rPr>
          <w:rFonts w:asciiTheme="minorHAnsi" w:hAnsiTheme="minorHAnsi"/>
          <w:sz w:val="24"/>
          <w:szCs w:val="24"/>
        </w:rPr>
        <w:t>by virtue of introducing a more categorical split between the psycho- and the bio- analyti</w:t>
      </w:r>
      <w:r w:rsidR="00B164D7">
        <w:rPr>
          <w:rFonts w:asciiTheme="minorHAnsi" w:hAnsiTheme="minorHAnsi"/>
          <w:sz w:val="24"/>
          <w:szCs w:val="24"/>
        </w:rPr>
        <w:t>c:</w:t>
      </w:r>
      <w:r w:rsidR="0068471F">
        <w:rPr>
          <w:rFonts w:asciiTheme="minorHAnsi" w:hAnsiTheme="minorHAnsi"/>
          <w:sz w:val="24"/>
          <w:szCs w:val="24"/>
        </w:rPr>
        <w:t xml:space="preserve"> she retains ‘at any rate in the psychic sphere’ a masculine wish to return to the womb achievable through identification with the ‘penis-possessing male’</w:t>
      </w:r>
      <w:r w:rsidR="00DC0D5B">
        <w:rPr>
          <w:rFonts w:asciiTheme="minorHAnsi" w:hAnsiTheme="minorHAnsi"/>
          <w:sz w:val="24"/>
          <w:szCs w:val="24"/>
        </w:rPr>
        <w:t xml:space="preserve"> as well as his symbolic equivalent – the ‘child that she harbors within her own body’ who has </w:t>
      </w:r>
      <w:r w:rsidR="007C3C40">
        <w:rPr>
          <w:rFonts w:asciiTheme="minorHAnsi" w:hAnsiTheme="minorHAnsi"/>
          <w:sz w:val="24"/>
          <w:szCs w:val="24"/>
        </w:rPr>
        <w:t xml:space="preserve">apparently </w:t>
      </w:r>
      <w:r w:rsidR="00DC0D5B">
        <w:rPr>
          <w:rFonts w:asciiTheme="minorHAnsi" w:hAnsiTheme="minorHAnsi"/>
          <w:sz w:val="24"/>
          <w:szCs w:val="24"/>
        </w:rPr>
        <w:t>successfully made that trip</w:t>
      </w:r>
      <w:r w:rsidR="007C3C40">
        <w:rPr>
          <w:rFonts w:asciiTheme="minorHAnsi" w:hAnsiTheme="minorHAnsi"/>
          <w:sz w:val="24"/>
          <w:szCs w:val="24"/>
        </w:rPr>
        <w:t xml:space="preserve"> (and </w:t>
      </w:r>
      <w:r w:rsidR="00563D78">
        <w:rPr>
          <w:rFonts w:asciiTheme="minorHAnsi" w:hAnsiTheme="minorHAnsi"/>
          <w:sz w:val="24"/>
          <w:szCs w:val="24"/>
        </w:rPr>
        <w:t>negated</w:t>
      </w:r>
      <w:r w:rsidR="00527A98">
        <w:rPr>
          <w:rFonts w:asciiTheme="minorHAnsi" w:hAnsiTheme="minorHAnsi"/>
          <w:sz w:val="24"/>
          <w:szCs w:val="24"/>
        </w:rPr>
        <w:t xml:space="preserve"> any</w:t>
      </w:r>
      <w:r w:rsidR="007C3C40">
        <w:rPr>
          <w:rFonts w:asciiTheme="minorHAnsi" w:hAnsiTheme="minorHAnsi"/>
          <w:sz w:val="24"/>
          <w:szCs w:val="24"/>
        </w:rPr>
        <w:t xml:space="preserve"> feminine</w:t>
      </w:r>
      <w:r w:rsidR="00527A98">
        <w:rPr>
          <w:rFonts w:asciiTheme="minorHAnsi" w:hAnsiTheme="minorHAnsi"/>
          <w:sz w:val="24"/>
          <w:szCs w:val="24"/>
        </w:rPr>
        <w:t xml:space="preserve"> material</w:t>
      </w:r>
      <w:r w:rsidR="00240A8D">
        <w:rPr>
          <w:rFonts w:asciiTheme="minorHAnsi" w:hAnsiTheme="minorHAnsi"/>
          <w:sz w:val="24"/>
          <w:szCs w:val="24"/>
        </w:rPr>
        <w:t xml:space="preserve"> or symbol</w:t>
      </w:r>
      <w:r w:rsidR="007C3C40">
        <w:rPr>
          <w:rFonts w:asciiTheme="minorHAnsi" w:hAnsiTheme="minorHAnsi"/>
          <w:sz w:val="24"/>
          <w:szCs w:val="24"/>
        </w:rPr>
        <w:t>)</w:t>
      </w:r>
      <w:r w:rsidR="00DC0D5B">
        <w:rPr>
          <w:rFonts w:asciiTheme="minorHAnsi" w:hAnsiTheme="minorHAnsi"/>
          <w:sz w:val="24"/>
          <w:szCs w:val="24"/>
        </w:rPr>
        <w:t>.</w:t>
      </w:r>
      <w:r w:rsidR="009966FC">
        <w:rPr>
          <w:rStyle w:val="EndnoteReference"/>
          <w:rFonts w:asciiTheme="minorHAnsi" w:hAnsiTheme="minorHAnsi"/>
          <w:sz w:val="24"/>
          <w:szCs w:val="24"/>
        </w:rPr>
        <w:endnoteReference w:id="47"/>
      </w:r>
      <w:r w:rsidR="009B2B0A">
        <w:rPr>
          <w:rFonts w:asciiTheme="minorHAnsi" w:hAnsiTheme="minorHAnsi"/>
          <w:sz w:val="24"/>
          <w:szCs w:val="24"/>
        </w:rPr>
        <w:t xml:space="preserve"> </w:t>
      </w:r>
      <w:r w:rsidR="00240A8D">
        <w:rPr>
          <w:rFonts w:asciiTheme="minorHAnsi" w:hAnsiTheme="minorHAnsi"/>
          <w:sz w:val="24"/>
          <w:szCs w:val="24"/>
        </w:rPr>
        <w:t xml:space="preserve">Amphimixis again makes </w:t>
      </w:r>
      <w:r w:rsidR="00A77E2F">
        <w:rPr>
          <w:rFonts w:asciiTheme="minorHAnsi" w:hAnsiTheme="minorHAnsi"/>
          <w:sz w:val="24"/>
          <w:szCs w:val="24"/>
        </w:rPr>
        <w:t>an appe</w:t>
      </w:r>
      <w:r w:rsidR="00E9293C">
        <w:rPr>
          <w:rFonts w:asciiTheme="minorHAnsi" w:hAnsiTheme="minorHAnsi"/>
          <w:sz w:val="24"/>
          <w:szCs w:val="24"/>
        </w:rPr>
        <w:t>arance in a further convolution.</w:t>
      </w:r>
      <w:r w:rsidR="00A77E2F">
        <w:rPr>
          <w:rFonts w:asciiTheme="minorHAnsi" w:hAnsiTheme="minorHAnsi"/>
          <w:sz w:val="24"/>
          <w:szCs w:val="24"/>
        </w:rPr>
        <w:t xml:space="preserve"> </w:t>
      </w:r>
      <w:r w:rsidR="00E9293C">
        <w:rPr>
          <w:rFonts w:asciiTheme="minorHAnsi" w:hAnsiTheme="minorHAnsi"/>
          <w:sz w:val="24"/>
          <w:szCs w:val="24"/>
        </w:rPr>
        <w:t>H</w:t>
      </w:r>
      <w:r w:rsidR="00240A8D">
        <w:rPr>
          <w:rFonts w:asciiTheme="minorHAnsi" w:hAnsiTheme="minorHAnsi"/>
          <w:sz w:val="24"/>
          <w:szCs w:val="24"/>
        </w:rPr>
        <w:t>er ‘female penis’</w:t>
      </w:r>
      <w:r w:rsidR="00A77E2F">
        <w:rPr>
          <w:rFonts w:asciiTheme="minorHAnsi" w:hAnsiTheme="minorHAnsi"/>
          <w:sz w:val="24"/>
          <w:szCs w:val="24"/>
        </w:rPr>
        <w:t xml:space="preserve"> as former</w:t>
      </w:r>
      <w:r w:rsidR="00E9293C">
        <w:rPr>
          <w:rFonts w:asciiTheme="minorHAnsi" w:hAnsiTheme="minorHAnsi"/>
          <w:sz w:val="24"/>
          <w:szCs w:val="24"/>
        </w:rPr>
        <w:t xml:space="preserve"> but not ‘pre-‘</w:t>
      </w:r>
      <w:r w:rsidR="00A77E2F">
        <w:rPr>
          <w:rFonts w:asciiTheme="minorHAnsi" w:hAnsiTheme="minorHAnsi"/>
          <w:sz w:val="24"/>
          <w:szCs w:val="24"/>
        </w:rPr>
        <w:t xml:space="preserve"> genital prior to the proper adoption of feminine passivity was itself consolidated through amphimixis – we can only assume along the same </w:t>
      </w:r>
      <w:r w:rsidR="00A77E2F" w:rsidRPr="00A77E2F">
        <w:rPr>
          <w:rFonts w:asciiTheme="minorHAnsi" w:hAnsiTheme="minorHAnsi"/>
          <w:i/>
          <w:sz w:val="24"/>
          <w:szCs w:val="24"/>
        </w:rPr>
        <w:t>fort/da</w:t>
      </w:r>
      <w:r w:rsidR="00A77E2F">
        <w:rPr>
          <w:rFonts w:asciiTheme="minorHAnsi" w:hAnsiTheme="minorHAnsi"/>
          <w:sz w:val="24"/>
          <w:szCs w:val="24"/>
        </w:rPr>
        <w:t xml:space="preserve"> pulsions at play in the </w:t>
      </w:r>
      <w:r w:rsidR="00362D28">
        <w:rPr>
          <w:rFonts w:asciiTheme="minorHAnsi" w:hAnsiTheme="minorHAnsi"/>
          <w:sz w:val="24"/>
          <w:szCs w:val="24"/>
        </w:rPr>
        <w:t xml:space="preserve">masculine model </w:t>
      </w:r>
      <w:r w:rsidR="0073295D">
        <w:rPr>
          <w:rFonts w:asciiTheme="minorHAnsi" w:hAnsiTheme="minorHAnsi"/>
          <w:sz w:val="24"/>
          <w:szCs w:val="24"/>
        </w:rPr>
        <w:t>since symmetry is being invoked</w:t>
      </w:r>
      <w:r w:rsidR="002672C6">
        <w:rPr>
          <w:rFonts w:asciiTheme="minorHAnsi" w:hAnsiTheme="minorHAnsi"/>
          <w:sz w:val="24"/>
          <w:szCs w:val="24"/>
        </w:rPr>
        <w:t xml:space="preserve"> </w:t>
      </w:r>
      <w:r w:rsidR="00362D28">
        <w:rPr>
          <w:rFonts w:asciiTheme="minorHAnsi" w:hAnsiTheme="minorHAnsi"/>
          <w:sz w:val="24"/>
          <w:szCs w:val="24"/>
        </w:rPr>
        <w:t>– only to retract or ‘regress’ into her ‘whole body’ and ‘whole ego’.</w:t>
      </w:r>
      <w:r w:rsidR="00A77E2F">
        <w:rPr>
          <w:rStyle w:val="EndnoteReference"/>
          <w:rFonts w:asciiTheme="minorHAnsi" w:hAnsiTheme="minorHAnsi"/>
          <w:sz w:val="24"/>
          <w:szCs w:val="24"/>
        </w:rPr>
        <w:endnoteReference w:id="48"/>
      </w:r>
      <w:r w:rsidR="00A77E2F">
        <w:rPr>
          <w:rFonts w:asciiTheme="minorHAnsi" w:hAnsiTheme="minorHAnsi"/>
          <w:sz w:val="24"/>
          <w:szCs w:val="24"/>
        </w:rPr>
        <w:t xml:space="preserve"> </w:t>
      </w:r>
    </w:p>
    <w:p w14:paraId="3AAD3AEC" w14:textId="77777777" w:rsidR="001E4C7F" w:rsidRDefault="001E4C7F">
      <w:pPr>
        <w:rPr>
          <w:rFonts w:asciiTheme="minorHAnsi" w:hAnsiTheme="minorHAnsi"/>
          <w:sz w:val="24"/>
          <w:szCs w:val="24"/>
        </w:rPr>
      </w:pPr>
    </w:p>
    <w:p w14:paraId="442C29F6" w14:textId="77777777" w:rsidR="00E33F98" w:rsidRDefault="00596447">
      <w:pPr>
        <w:rPr>
          <w:rFonts w:asciiTheme="minorHAnsi" w:hAnsiTheme="minorHAnsi"/>
          <w:sz w:val="24"/>
          <w:szCs w:val="24"/>
        </w:rPr>
      </w:pPr>
      <w:r>
        <w:rPr>
          <w:rFonts w:asciiTheme="minorHAnsi" w:hAnsiTheme="minorHAnsi"/>
          <w:sz w:val="24"/>
          <w:szCs w:val="24"/>
        </w:rPr>
        <w:t>The success story of g</w:t>
      </w:r>
      <w:r w:rsidR="001E7414">
        <w:rPr>
          <w:rFonts w:asciiTheme="minorHAnsi" w:hAnsiTheme="minorHAnsi"/>
          <w:sz w:val="24"/>
          <w:szCs w:val="24"/>
        </w:rPr>
        <w:t xml:space="preserve">enital amphimixis </w:t>
      </w:r>
      <w:r w:rsidR="007E56D7">
        <w:rPr>
          <w:rFonts w:asciiTheme="minorHAnsi" w:hAnsiTheme="minorHAnsi"/>
          <w:sz w:val="24"/>
          <w:szCs w:val="24"/>
        </w:rPr>
        <w:t>turns out to be</w:t>
      </w:r>
      <w:r w:rsidR="001E7414">
        <w:rPr>
          <w:rFonts w:asciiTheme="minorHAnsi" w:hAnsiTheme="minorHAnsi"/>
          <w:sz w:val="24"/>
          <w:szCs w:val="24"/>
        </w:rPr>
        <w:t xml:space="preserve"> </w:t>
      </w:r>
      <w:r>
        <w:rPr>
          <w:rFonts w:asciiTheme="minorHAnsi" w:hAnsiTheme="minorHAnsi"/>
          <w:sz w:val="24"/>
          <w:szCs w:val="24"/>
        </w:rPr>
        <w:t xml:space="preserve">the speculation </w:t>
      </w:r>
      <w:r w:rsidR="001E7414">
        <w:rPr>
          <w:rFonts w:asciiTheme="minorHAnsi" w:hAnsiTheme="minorHAnsi"/>
          <w:sz w:val="24"/>
          <w:szCs w:val="24"/>
        </w:rPr>
        <w:t xml:space="preserve">of the </w:t>
      </w:r>
      <w:r w:rsidR="002672C6">
        <w:rPr>
          <w:rFonts w:asciiTheme="minorHAnsi" w:hAnsiTheme="minorHAnsi"/>
          <w:sz w:val="24"/>
          <w:szCs w:val="24"/>
        </w:rPr>
        <w:t xml:space="preserve">penis and the </w:t>
      </w:r>
      <w:r w:rsidR="001E7414">
        <w:rPr>
          <w:rFonts w:asciiTheme="minorHAnsi" w:hAnsiTheme="minorHAnsi"/>
          <w:sz w:val="24"/>
          <w:szCs w:val="24"/>
        </w:rPr>
        <w:t>phallus</w:t>
      </w:r>
      <w:r w:rsidR="002672C6">
        <w:rPr>
          <w:rFonts w:asciiTheme="minorHAnsi" w:hAnsiTheme="minorHAnsi"/>
          <w:sz w:val="24"/>
          <w:szCs w:val="24"/>
        </w:rPr>
        <w:t xml:space="preserve"> (since body and symbol are both invoked)</w:t>
      </w:r>
      <w:r w:rsidR="001E7414">
        <w:rPr>
          <w:rFonts w:asciiTheme="minorHAnsi" w:hAnsiTheme="minorHAnsi"/>
          <w:sz w:val="24"/>
          <w:szCs w:val="24"/>
        </w:rPr>
        <w:t xml:space="preserve">. Coitus is the stage upon which to </w:t>
      </w:r>
      <w:r w:rsidR="00AA1D27">
        <w:rPr>
          <w:rFonts w:asciiTheme="minorHAnsi" w:hAnsiTheme="minorHAnsi"/>
          <w:sz w:val="24"/>
          <w:szCs w:val="24"/>
        </w:rPr>
        <w:t>bet on</w:t>
      </w:r>
      <w:r w:rsidR="001E7414">
        <w:rPr>
          <w:rFonts w:asciiTheme="minorHAnsi" w:hAnsiTheme="minorHAnsi"/>
          <w:sz w:val="24"/>
          <w:szCs w:val="24"/>
        </w:rPr>
        <w:t xml:space="preserve"> its safe return. </w:t>
      </w:r>
      <w:r w:rsidR="00A072A4">
        <w:rPr>
          <w:rFonts w:asciiTheme="minorHAnsi" w:hAnsiTheme="minorHAnsi"/>
          <w:sz w:val="24"/>
          <w:szCs w:val="24"/>
        </w:rPr>
        <w:t>With a singularly S</w:t>
      </w:r>
      <w:r w:rsidR="00F04EAA">
        <w:rPr>
          <w:rFonts w:asciiTheme="minorHAnsi" w:hAnsiTheme="minorHAnsi"/>
          <w:sz w:val="24"/>
          <w:szCs w:val="24"/>
        </w:rPr>
        <w:t xml:space="preserve">F flourish, this return is not only bound to the phallogocentric </w:t>
      </w:r>
      <w:r w:rsidR="00A3538D">
        <w:rPr>
          <w:rFonts w:asciiTheme="minorHAnsi" w:hAnsiTheme="minorHAnsi"/>
          <w:sz w:val="24"/>
          <w:szCs w:val="24"/>
        </w:rPr>
        <w:t>economy</w:t>
      </w:r>
      <w:r w:rsidR="00F04EAA">
        <w:rPr>
          <w:rFonts w:asciiTheme="minorHAnsi" w:hAnsiTheme="minorHAnsi"/>
          <w:sz w:val="24"/>
          <w:szCs w:val="24"/>
        </w:rPr>
        <w:t xml:space="preserve"> of r</w:t>
      </w:r>
      <w:r w:rsidR="00155C36">
        <w:rPr>
          <w:rFonts w:asciiTheme="minorHAnsi" w:hAnsiTheme="minorHAnsi"/>
          <w:sz w:val="24"/>
          <w:szCs w:val="24"/>
        </w:rPr>
        <w:t xml:space="preserve">epresentation - an economy </w:t>
      </w:r>
      <w:r w:rsidR="00F04EAA">
        <w:rPr>
          <w:rFonts w:asciiTheme="minorHAnsi" w:hAnsiTheme="minorHAnsi"/>
          <w:sz w:val="24"/>
          <w:szCs w:val="24"/>
        </w:rPr>
        <w:t>that Luce Irigaray specifically addresses</w:t>
      </w:r>
      <w:r w:rsidR="00A3538D">
        <w:rPr>
          <w:rFonts w:asciiTheme="minorHAnsi" w:hAnsiTheme="minorHAnsi"/>
          <w:sz w:val="24"/>
          <w:szCs w:val="24"/>
        </w:rPr>
        <w:t xml:space="preserve"> and </w:t>
      </w:r>
      <w:r w:rsidR="007E56D7">
        <w:rPr>
          <w:rFonts w:asciiTheme="minorHAnsi" w:hAnsiTheme="minorHAnsi"/>
          <w:sz w:val="24"/>
          <w:szCs w:val="24"/>
        </w:rPr>
        <w:t xml:space="preserve">offsets with her concave </w:t>
      </w:r>
      <w:r w:rsidR="007E56D7" w:rsidRPr="007E56D7">
        <w:rPr>
          <w:rFonts w:asciiTheme="minorHAnsi" w:hAnsiTheme="minorHAnsi"/>
          <w:i/>
          <w:sz w:val="24"/>
          <w:szCs w:val="24"/>
        </w:rPr>
        <w:t>Speculum</w:t>
      </w:r>
      <w:r w:rsidR="00F04EAA">
        <w:rPr>
          <w:rFonts w:asciiTheme="minorHAnsi" w:hAnsiTheme="minorHAnsi"/>
          <w:sz w:val="24"/>
          <w:szCs w:val="24"/>
        </w:rPr>
        <w:t>.</w:t>
      </w:r>
      <w:r w:rsidR="00F04EAA">
        <w:rPr>
          <w:rStyle w:val="EndnoteReference"/>
          <w:rFonts w:asciiTheme="minorHAnsi" w:hAnsiTheme="minorHAnsi"/>
          <w:sz w:val="24"/>
          <w:szCs w:val="24"/>
        </w:rPr>
        <w:endnoteReference w:id="49"/>
      </w:r>
      <w:r w:rsidR="00F04EAA">
        <w:rPr>
          <w:rFonts w:asciiTheme="minorHAnsi" w:hAnsiTheme="minorHAnsi"/>
          <w:sz w:val="24"/>
          <w:szCs w:val="24"/>
        </w:rPr>
        <w:t xml:space="preserve"> </w:t>
      </w:r>
    </w:p>
    <w:p w14:paraId="12DB2A7A" w14:textId="77777777" w:rsidR="00E33F98" w:rsidRDefault="00E33F98">
      <w:pPr>
        <w:rPr>
          <w:rFonts w:asciiTheme="minorHAnsi" w:hAnsiTheme="minorHAnsi"/>
          <w:sz w:val="24"/>
          <w:szCs w:val="24"/>
        </w:rPr>
      </w:pPr>
    </w:p>
    <w:p w14:paraId="0006D552" w14:textId="77777777" w:rsidR="00E33F98" w:rsidRDefault="00E33F98" w:rsidP="00E33F98">
      <w:pPr>
        <w:ind w:left="720"/>
        <w:rPr>
          <w:rFonts w:asciiTheme="minorHAnsi" w:hAnsiTheme="minorHAnsi"/>
          <w:sz w:val="24"/>
          <w:szCs w:val="24"/>
        </w:rPr>
      </w:pPr>
      <w:r w:rsidRPr="00E33F98">
        <w:rPr>
          <w:rFonts w:asciiTheme="minorHAnsi" w:hAnsiTheme="minorHAnsi"/>
          <w:sz w:val="24"/>
          <w:szCs w:val="24"/>
        </w:rPr>
        <w:t>If woman had desires other than ‘penis-envy,’ this would call into question the unity, the uniqueness, the simplicity of the mirror charged with sending man’s image back to him-albeit inverted. Call into question its flatness. The specularization, and speculation, of the purpose of (his) desire could no longer be two-dimensional</w:t>
      </w:r>
      <w:r>
        <w:rPr>
          <w:rFonts w:asciiTheme="minorHAnsi" w:hAnsiTheme="minorHAnsi"/>
          <w:sz w:val="24"/>
          <w:szCs w:val="24"/>
        </w:rPr>
        <w:t>.</w:t>
      </w:r>
      <w:r>
        <w:rPr>
          <w:rStyle w:val="EndnoteReference"/>
          <w:rFonts w:asciiTheme="minorHAnsi" w:hAnsiTheme="minorHAnsi"/>
          <w:sz w:val="24"/>
          <w:szCs w:val="24"/>
        </w:rPr>
        <w:endnoteReference w:id="50"/>
      </w:r>
    </w:p>
    <w:p w14:paraId="7CF938D9" w14:textId="77777777" w:rsidR="00E33F98" w:rsidRDefault="00E33F98">
      <w:pPr>
        <w:rPr>
          <w:rFonts w:asciiTheme="minorHAnsi" w:hAnsiTheme="minorHAnsi"/>
          <w:sz w:val="24"/>
          <w:szCs w:val="24"/>
        </w:rPr>
      </w:pPr>
    </w:p>
    <w:p w14:paraId="621D25DD" w14:textId="6D528C3E" w:rsidR="00990D42" w:rsidRDefault="00F04EAA">
      <w:pPr>
        <w:rPr>
          <w:rFonts w:asciiTheme="minorHAnsi" w:hAnsiTheme="minorHAnsi"/>
          <w:sz w:val="24"/>
          <w:szCs w:val="24"/>
        </w:rPr>
      </w:pPr>
      <w:r>
        <w:rPr>
          <w:rFonts w:asciiTheme="minorHAnsi" w:hAnsiTheme="minorHAnsi"/>
          <w:sz w:val="24"/>
          <w:szCs w:val="24"/>
        </w:rPr>
        <w:t xml:space="preserve">Man’s anxieties over the safety of his ‘most precious organ’ </w:t>
      </w:r>
      <w:r w:rsidR="00D147AE">
        <w:rPr>
          <w:rFonts w:asciiTheme="minorHAnsi" w:hAnsiTheme="minorHAnsi"/>
          <w:sz w:val="24"/>
          <w:szCs w:val="24"/>
        </w:rPr>
        <w:t xml:space="preserve">during coitus </w:t>
      </w:r>
      <w:r>
        <w:rPr>
          <w:rFonts w:asciiTheme="minorHAnsi" w:hAnsiTheme="minorHAnsi"/>
          <w:sz w:val="24"/>
          <w:szCs w:val="24"/>
        </w:rPr>
        <w:t>are mollified by his ‘introjection’ of ‘the organ of the woman’</w:t>
      </w:r>
      <w:r w:rsidR="00E949B5">
        <w:rPr>
          <w:rFonts w:asciiTheme="minorHAnsi" w:hAnsiTheme="minorHAnsi"/>
          <w:sz w:val="24"/>
          <w:szCs w:val="24"/>
        </w:rPr>
        <w:t xml:space="preserve"> (we are not told which one)</w:t>
      </w:r>
      <w:r>
        <w:rPr>
          <w:rFonts w:asciiTheme="minorHAnsi" w:hAnsiTheme="minorHAnsi"/>
          <w:sz w:val="24"/>
          <w:szCs w:val="24"/>
        </w:rPr>
        <w:t>.</w:t>
      </w:r>
      <w:r>
        <w:rPr>
          <w:rStyle w:val="EndnoteReference"/>
          <w:rFonts w:asciiTheme="minorHAnsi" w:hAnsiTheme="minorHAnsi"/>
          <w:sz w:val="24"/>
          <w:szCs w:val="24"/>
        </w:rPr>
        <w:endnoteReference w:id="51"/>
      </w:r>
      <w:r w:rsidR="00D47B22">
        <w:rPr>
          <w:rFonts w:asciiTheme="minorHAnsi" w:hAnsiTheme="minorHAnsi"/>
          <w:sz w:val="24"/>
          <w:szCs w:val="24"/>
        </w:rPr>
        <w:t xml:space="preserve"> With such a capture </w:t>
      </w:r>
      <w:r>
        <w:rPr>
          <w:rFonts w:asciiTheme="minorHAnsi" w:hAnsiTheme="minorHAnsi"/>
          <w:sz w:val="24"/>
          <w:szCs w:val="24"/>
        </w:rPr>
        <w:t xml:space="preserve">in place the terrifying </w:t>
      </w:r>
      <w:r w:rsidR="004B1499">
        <w:rPr>
          <w:rFonts w:asciiTheme="minorHAnsi" w:hAnsiTheme="minorHAnsi"/>
          <w:sz w:val="24"/>
          <w:szCs w:val="24"/>
        </w:rPr>
        <w:t xml:space="preserve">sexual </w:t>
      </w:r>
      <w:r>
        <w:rPr>
          <w:rFonts w:asciiTheme="minorHAnsi" w:hAnsiTheme="minorHAnsi"/>
          <w:sz w:val="24"/>
          <w:szCs w:val="24"/>
        </w:rPr>
        <w:t xml:space="preserve">other is annulled while his organ does not </w:t>
      </w:r>
      <w:r w:rsidR="00D147AE">
        <w:rPr>
          <w:rFonts w:asciiTheme="minorHAnsi" w:hAnsiTheme="minorHAnsi"/>
          <w:sz w:val="24"/>
          <w:szCs w:val="24"/>
        </w:rPr>
        <w:t xml:space="preserve">really </w:t>
      </w:r>
      <w:r>
        <w:rPr>
          <w:rFonts w:asciiTheme="minorHAnsi" w:hAnsiTheme="minorHAnsi"/>
          <w:sz w:val="24"/>
          <w:szCs w:val="24"/>
        </w:rPr>
        <w:t>go anywhere</w:t>
      </w:r>
      <w:r w:rsidR="00E949B5">
        <w:rPr>
          <w:rFonts w:asciiTheme="minorHAnsi" w:hAnsiTheme="minorHAnsi"/>
          <w:sz w:val="24"/>
          <w:szCs w:val="24"/>
        </w:rPr>
        <w:t>, or undergo any change,</w:t>
      </w:r>
      <w:r>
        <w:rPr>
          <w:rFonts w:asciiTheme="minorHAnsi" w:hAnsiTheme="minorHAnsi"/>
          <w:sz w:val="24"/>
          <w:szCs w:val="24"/>
        </w:rPr>
        <w:t xml:space="preserve"> in which it might ‘get lost’.</w:t>
      </w:r>
      <w:r>
        <w:rPr>
          <w:rStyle w:val="EndnoteReference"/>
          <w:rFonts w:asciiTheme="minorHAnsi" w:hAnsiTheme="minorHAnsi"/>
          <w:sz w:val="24"/>
          <w:szCs w:val="24"/>
        </w:rPr>
        <w:endnoteReference w:id="52"/>
      </w:r>
      <w:r w:rsidR="004A05CE">
        <w:rPr>
          <w:rFonts w:asciiTheme="minorHAnsi" w:hAnsiTheme="minorHAnsi"/>
          <w:sz w:val="24"/>
          <w:szCs w:val="24"/>
        </w:rPr>
        <w:t xml:space="preserve"> Having ventured the safety of the environment however, Ferenczi returns to the amphimixic </w:t>
      </w:r>
      <w:r w:rsidR="00A072A4">
        <w:rPr>
          <w:rFonts w:asciiTheme="minorHAnsi" w:hAnsiTheme="minorHAnsi"/>
          <w:sz w:val="24"/>
          <w:szCs w:val="24"/>
        </w:rPr>
        <w:t>labours</w:t>
      </w:r>
      <w:r w:rsidR="004A05CE">
        <w:rPr>
          <w:rFonts w:asciiTheme="minorHAnsi" w:hAnsiTheme="minorHAnsi"/>
          <w:sz w:val="24"/>
          <w:szCs w:val="24"/>
        </w:rPr>
        <w:t xml:space="preserve"> of ejaculation and the </w:t>
      </w:r>
      <w:r w:rsidR="00C12F5A">
        <w:rPr>
          <w:rFonts w:asciiTheme="minorHAnsi" w:hAnsiTheme="minorHAnsi"/>
          <w:sz w:val="24"/>
          <w:szCs w:val="24"/>
        </w:rPr>
        <w:t>fortification</w:t>
      </w:r>
      <w:r w:rsidR="004A05CE">
        <w:rPr>
          <w:rFonts w:asciiTheme="minorHAnsi" w:hAnsiTheme="minorHAnsi"/>
          <w:sz w:val="24"/>
          <w:szCs w:val="24"/>
        </w:rPr>
        <w:t xml:space="preserve"> of that secretion. Again identification steps in, now unifying the whole of the – masculine – organism with firstly his genital, secondly his female partner (</w:t>
      </w:r>
      <w:r w:rsidR="004A05CE" w:rsidRPr="00D3642C">
        <w:rPr>
          <w:rFonts w:asciiTheme="minorHAnsi" w:hAnsiTheme="minorHAnsi"/>
          <w:i/>
          <w:sz w:val="24"/>
          <w:szCs w:val="24"/>
        </w:rPr>
        <w:t>Thalassa</w:t>
      </w:r>
      <w:r w:rsidR="004A05CE">
        <w:rPr>
          <w:rFonts w:asciiTheme="minorHAnsi" w:hAnsiTheme="minorHAnsi"/>
          <w:sz w:val="24"/>
          <w:szCs w:val="24"/>
        </w:rPr>
        <w:t xml:space="preserve"> swims in heteronormative waters) and thirdly his </w:t>
      </w:r>
      <w:r w:rsidR="00D147AE">
        <w:rPr>
          <w:rFonts w:asciiTheme="minorHAnsi" w:hAnsiTheme="minorHAnsi"/>
          <w:sz w:val="24"/>
          <w:szCs w:val="24"/>
        </w:rPr>
        <w:t>emission</w:t>
      </w:r>
      <w:r w:rsidR="007D784C">
        <w:rPr>
          <w:rFonts w:asciiTheme="minorHAnsi" w:hAnsiTheme="minorHAnsi"/>
          <w:sz w:val="24"/>
          <w:szCs w:val="24"/>
        </w:rPr>
        <w:t>.</w:t>
      </w:r>
      <w:r w:rsidR="007D784C">
        <w:rPr>
          <w:rStyle w:val="EndnoteReference"/>
          <w:rFonts w:asciiTheme="minorHAnsi" w:hAnsiTheme="minorHAnsi"/>
          <w:sz w:val="24"/>
          <w:szCs w:val="24"/>
        </w:rPr>
        <w:endnoteReference w:id="53"/>
      </w:r>
      <w:r w:rsidR="00171034">
        <w:rPr>
          <w:rFonts w:asciiTheme="minorHAnsi" w:hAnsiTheme="minorHAnsi"/>
          <w:sz w:val="24"/>
          <w:szCs w:val="24"/>
        </w:rPr>
        <w:t xml:space="preserve"> This </w:t>
      </w:r>
      <w:r w:rsidR="00C12F5A">
        <w:rPr>
          <w:rFonts w:asciiTheme="minorHAnsi" w:hAnsiTheme="minorHAnsi"/>
          <w:sz w:val="24"/>
          <w:szCs w:val="24"/>
        </w:rPr>
        <w:t xml:space="preserve">deposit must be secured. </w:t>
      </w:r>
      <w:r w:rsidR="002727C1">
        <w:rPr>
          <w:rFonts w:asciiTheme="minorHAnsi" w:hAnsiTheme="minorHAnsi"/>
          <w:sz w:val="24"/>
          <w:szCs w:val="24"/>
        </w:rPr>
        <w:t xml:space="preserve"> S</w:t>
      </w:r>
      <w:r w:rsidR="005C4A86">
        <w:rPr>
          <w:rFonts w:asciiTheme="minorHAnsi" w:hAnsiTheme="minorHAnsi"/>
          <w:sz w:val="24"/>
          <w:szCs w:val="24"/>
        </w:rPr>
        <w:t xml:space="preserve">F banks on the uterus: where </w:t>
      </w:r>
      <w:r w:rsidR="00A072A4">
        <w:rPr>
          <w:rFonts w:asciiTheme="minorHAnsi" w:hAnsiTheme="minorHAnsi"/>
          <w:sz w:val="24"/>
          <w:szCs w:val="24"/>
        </w:rPr>
        <w:t>else would be free of discord</w:t>
      </w:r>
      <w:r w:rsidR="005C4A86">
        <w:rPr>
          <w:rFonts w:asciiTheme="minorHAnsi" w:hAnsiTheme="minorHAnsi"/>
          <w:sz w:val="24"/>
          <w:szCs w:val="24"/>
        </w:rPr>
        <w:t xml:space="preserve">, free of enervating stimuli? </w:t>
      </w:r>
      <w:r w:rsidR="00BA0A3C">
        <w:rPr>
          <w:rFonts w:asciiTheme="minorHAnsi" w:hAnsiTheme="minorHAnsi"/>
          <w:sz w:val="24"/>
          <w:szCs w:val="24"/>
        </w:rPr>
        <w:t xml:space="preserve">Free of difference? </w:t>
      </w:r>
      <w:r w:rsidR="00C12F5A">
        <w:rPr>
          <w:rFonts w:asciiTheme="minorHAnsi" w:hAnsiTheme="minorHAnsi"/>
          <w:sz w:val="24"/>
          <w:szCs w:val="24"/>
        </w:rPr>
        <w:t>While the organism and the organ achieve ‘hallucinatory’ or partial identification with this return, the best is</w:t>
      </w:r>
      <w:r w:rsidR="002727C1">
        <w:rPr>
          <w:rFonts w:asciiTheme="minorHAnsi" w:hAnsiTheme="minorHAnsi"/>
          <w:sz w:val="24"/>
          <w:szCs w:val="24"/>
        </w:rPr>
        <w:t xml:space="preserve"> saved for the third term. In S</w:t>
      </w:r>
      <w:r w:rsidR="00C12F5A">
        <w:rPr>
          <w:rFonts w:asciiTheme="minorHAnsi" w:hAnsiTheme="minorHAnsi"/>
          <w:sz w:val="24"/>
          <w:szCs w:val="24"/>
        </w:rPr>
        <w:t>F ‘the sexual secretion’ alone achieves reunion ‘</w:t>
      </w:r>
      <w:r w:rsidR="00C12F5A" w:rsidRPr="004A3032">
        <w:rPr>
          <w:rFonts w:asciiTheme="minorHAnsi" w:hAnsiTheme="minorHAnsi"/>
          <w:i/>
          <w:sz w:val="24"/>
          <w:szCs w:val="24"/>
        </w:rPr>
        <w:t>in reality</w:t>
      </w:r>
      <w:r w:rsidR="00C12F5A">
        <w:rPr>
          <w:rFonts w:asciiTheme="minorHAnsi" w:hAnsiTheme="minorHAnsi"/>
          <w:sz w:val="24"/>
          <w:szCs w:val="24"/>
        </w:rPr>
        <w:t xml:space="preserve"> to the womb of the mother.’</w:t>
      </w:r>
      <w:r w:rsidR="00C12F5A">
        <w:rPr>
          <w:rStyle w:val="EndnoteReference"/>
          <w:rFonts w:asciiTheme="minorHAnsi" w:hAnsiTheme="minorHAnsi"/>
          <w:sz w:val="24"/>
          <w:szCs w:val="24"/>
        </w:rPr>
        <w:endnoteReference w:id="54"/>
      </w:r>
      <w:r w:rsidR="005C4A86">
        <w:rPr>
          <w:rFonts w:asciiTheme="minorHAnsi" w:hAnsiTheme="minorHAnsi"/>
          <w:sz w:val="24"/>
          <w:szCs w:val="24"/>
        </w:rPr>
        <w:t xml:space="preserve"> Where</w:t>
      </w:r>
      <w:r w:rsidR="00897283">
        <w:rPr>
          <w:rFonts w:asciiTheme="minorHAnsi" w:hAnsiTheme="minorHAnsi"/>
          <w:sz w:val="24"/>
          <w:szCs w:val="24"/>
        </w:rPr>
        <w:t xml:space="preserve">as </w:t>
      </w:r>
      <w:r w:rsidR="004B1499">
        <w:rPr>
          <w:rFonts w:asciiTheme="minorHAnsi" w:hAnsiTheme="minorHAnsi"/>
          <w:sz w:val="24"/>
          <w:szCs w:val="24"/>
        </w:rPr>
        <w:t xml:space="preserve">he suggests that </w:t>
      </w:r>
      <w:r w:rsidR="00897283" w:rsidRPr="00FE4E13">
        <w:rPr>
          <w:rFonts w:asciiTheme="minorHAnsi" w:hAnsiTheme="minorHAnsi"/>
          <w:i/>
          <w:sz w:val="24"/>
          <w:szCs w:val="24"/>
        </w:rPr>
        <w:t>all</w:t>
      </w:r>
      <w:r w:rsidR="00897283">
        <w:rPr>
          <w:rFonts w:asciiTheme="minorHAnsi" w:hAnsiTheme="minorHAnsi"/>
          <w:sz w:val="24"/>
          <w:szCs w:val="24"/>
        </w:rPr>
        <w:t xml:space="preserve"> (human) beings desire to return to the peace of intrauterine life, and </w:t>
      </w:r>
      <w:r w:rsidR="00897283" w:rsidRPr="00FE4E13">
        <w:rPr>
          <w:rFonts w:asciiTheme="minorHAnsi" w:hAnsiTheme="minorHAnsi"/>
          <w:i/>
          <w:sz w:val="24"/>
          <w:szCs w:val="24"/>
        </w:rPr>
        <w:t>all</w:t>
      </w:r>
      <w:r w:rsidR="00897283">
        <w:rPr>
          <w:rFonts w:asciiTheme="minorHAnsi" w:hAnsiTheme="minorHAnsi"/>
          <w:sz w:val="24"/>
          <w:szCs w:val="24"/>
        </w:rPr>
        <w:t xml:space="preserve"> mammalian life desires to return to life in water, only one </w:t>
      </w:r>
      <w:r w:rsidR="000251B0">
        <w:rPr>
          <w:rFonts w:asciiTheme="minorHAnsi" w:hAnsiTheme="minorHAnsi"/>
          <w:sz w:val="24"/>
          <w:szCs w:val="24"/>
        </w:rPr>
        <w:t>entity</w:t>
      </w:r>
      <w:r w:rsidR="00897283">
        <w:rPr>
          <w:rFonts w:asciiTheme="minorHAnsi" w:hAnsiTheme="minorHAnsi"/>
          <w:sz w:val="24"/>
          <w:szCs w:val="24"/>
        </w:rPr>
        <w:t xml:space="preserve"> manages to ‘</w:t>
      </w:r>
      <w:r w:rsidR="00897283" w:rsidRPr="004A3032">
        <w:rPr>
          <w:rFonts w:asciiTheme="minorHAnsi" w:hAnsiTheme="minorHAnsi"/>
          <w:i/>
          <w:sz w:val="24"/>
          <w:szCs w:val="24"/>
        </w:rPr>
        <w:t>in reality’</w:t>
      </w:r>
      <w:r w:rsidR="00897283">
        <w:rPr>
          <w:rFonts w:asciiTheme="minorHAnsi" w:hAnsiTheme="minorHAnsi"/>
          <w:sz w:val="24"/>
          <w:szCs w:val="24"/>
        </w:rPr>
        <w:t xml:space="preserve"> regain this state.</w:t>
      </w:r>
      <w:r w:rsidR="00D3642C">
        <w:rPr>
          <w:rStyle w:val="EndnoteReference"/>
          <w:rFonts w:asciiTheme="minorHAnsi" w:hAnsiTheme="minorHAnsi"/>
          <w:sz w:val="24"/>
          <w:szCs w:val="24"/>
        </w:rPr>
        <w:endnoteReference w:id="55"/>
      </w:r>
      <w:r w:rsidR="005C4A86">
        <w:rPr>
          <w:rFonts w:asciiTheme="minorHAnsi" w:hAnsiTheme="minorHAnsi"/>
          <w:sz w:val="24"/>
          <w:szCs w:val="24"/>
        </w:rPr>
        <w:t xml:space="preserve"> </w:t>
      </w:r>
      <w:r w:rsidR="00C12F5A">
        <w:rPr>
          <w:rFonts w:asciiTheme="minorHAnsi" w:hAnsiTheme="minorHAnsi"/>
          <w:sz w:val="24"/>
          <w:szCs w:val="24"/>
        </w:rPr>
        <w:t xml:space="preserve"> </w:t>
      </w:r>
      <w:r w:rsidR="0009661F">
        <w:rPr>
          <w:rFonts w:asciiTheme="minorHAnsi" w:hAnsiTheme="minorHAnsi"/>
          <w:sz w:val="24"/>
          <w:szCs w:val="24"/>
        </w:rPr>
        <w:t xml:space="preserve">Insemination is homeward bound. With so many steps set up to </w:t>
      </w:r>
      <w:r w:rsidR="00580BB5">
        <w:rPr>
          <w:rFonts w:asciiTheme="minorHAnsi" w:hAnsiTheme="minorHAnsi"/>
          <w:sz w:val="24"/>
          <w:szCs w:val="24"/>
        </w:rPr>
        <w:t>secure</w:t>
      </w:r>
      <w:r w:rsidR="0009661F">
        <w:rPr>
          <w:rFonts w:asciiTheme="minorHAnsi" w:hAnsiTheme="minorHAnsi"/>
          <w:sz w:val="24"/>
          <w:szCs w:val="24"/>
        </w:rPr>
        <w:t xml:space="preserve"> safe </w:t>
      </w:r>
      <w:r w:rsidR="006153C8">
        <w:rPr>
          <w:rFonts w:asciiTheme="minorHAnsi" w:hAnsiTheme="minorHAnsi"/>
          <w:sz w:val="24"/>
          <w:szCs w:val="24"/>
        </w:rPr>
        <w:t>passage</w:t>
      </w:r>
      <w:r w:rsidR="0009661F">
        <w:rPr>
          <w:rFonts w:asciiTheme="minorHAnsi" w:hAnsiTheme="minorHAnsi"/>
          <w:sz w:val="24"/>
          <w:szCs w:val="24"/>
        </w:rPr>
        <w:t xml:space="preserve"> including the specular elimination of the sexual other such that she only reflects ‘the same</w:t>
      </w:r>
      <w:r w:rsidR="00E55265">
        <w:rPr>
          <w:rFonts w:asciiTheme="minorHAnsi" w:hAnsiTheme="minorHAnsi"/>
          <w:sz w:val="24"/>
          <w:szCs w:val="24"/>
        </w:rPr>
        <w:t>,</w:t>
      </w:r>
      <w:r w:rsidR="0009661F">
        <w:rPr>
          <w:rFonts w:asciiTheme="minorHAnsi" w:hAnsiTheme="minorHAnsi"/>
          <w:sz w:val="24"/>
          <w:szCs w:val="24"/>
        </w:rPr>
        <w:t xml:space="preserve">’ as Irigaray would say, Ferenczi neither steps beyond Freud nor </w:t>
      </w:r>
      <w:r w:rsidR="00E55265">
        <w:rPr>
          <w:rFonts w:asciiTheme="minorHAnsi" w:hAnsiTheme="minorHAnsi"/>
          <w:sz w:val="24"/>
          <w:szCs w:val="24"/>
        </w:rPr>
        <w:t>into</w:t>
      </w:r>
      <w:r w:rsidR="0009661F">
        <w:rPr>
          <w:rFonts w:asciiTheme="minorHAnsi" w:hAnsiTheme="minorHAnsi"/>
          <w:sz w:val="24"/>
          <w:szCs w:val="24"/>
        </w:rPr>
        <w:t xml:space="preserve"> the warm thalassal seas that are ostensibly the object of desire. </w:t>
      </w:r>
    </w:p>
    <w:p w14:paraId="7AE3A773" w14:textId="77777777" w:rsidR="00990D42" w:rsidRDefault="00990D42">
      <w:pPr>
        <w:rPr>
          <w:rFonts w:asciiTheme="minorHAnsi" w:hAnsiTheme="minorHAnsi"/>
          <w:sz w:val="24"/>
          <w:szCs w:val="24"/>
        </w:rPr>
      </w:pPr>
    </w:p>
    <w:p w14:paraId="7D603BDA" w14:textId="31AE278D" w:rsidR="00FD10C8" w:rsidRDefault="00FE43EC">
      <w:pPr>
        <w:rPr>
          <w:rFonts w:asciiTheme="minorHAnsi" w:hAnsiTheme="minorHAnsi"/>
          <w:sz w:val="24"/>
          <w:szCs w:val="24"/>
        </w:rPr>
      </w:pPr>
      <w:r>
        <w:rPr>
          <w:rFonts w:asciiTheme="minorHAnsi" w:hAnsiTheme="minorHAnsi"/>
          <w:sz w:val="24"/>
          <w:szCs w:val="24"/>
        </w:rPr>
        <w:t xml:space="preserve">This </w:t>
      </w:r>
      <w:r w:rsidR="004B1499">
        <w:rPr>
          <w:rFonts w:asciiTheme="minorHAnsi" w:hAnsiTheme="minorHAnsi"/>
          <w:sz w:val="24"/>
          <w:szCs w:val="24"/>
        </w:rPr>
        <w:t>over-valuation</w:t>
      </w:r>
      <w:r>
        <w:rPr>
          <w:rFonts w:asciiTheme="minorHAnsi" w:hAnsiTheme="minorHAnsi"/>
          <w:sz w:val="24"/>
          <w:szCs w:val="24"/>
        </w:rPr>
        <w:t xml:space="preserve"> and fierce protection</w:t>
      </w:r>
      <w:r w:rsidR="004B1499">
        <w:rPr>
          <w:rFonts w:asciiTheme="minorHAnsi" w:hAnsiTheme="minorHAnsi"/>
          <w:sz w:val="24"/>
          <w:szCs w:val="24"/>
        </w:rPr>
        <w:t xml:space="preserve"> of seminal fluid</w:t>
      </w:r>
      <w:r>
        <w:rPr>
          <w:rFonts w:asciiTheme="minorHAnsi" w:hAnsiTheme="minorHAnsi"/>
          <w:sz w:val="24"/>
          <w:szCs w:val="24"/>
        </w:rPr>
        <w:t xml:space="preserve"> is all the more ironic given the success</w:t>
      </w:r>
      <w:r w:rsidR="002727C1">
        <w:rPr>
          <w:rFonts w:asciiTheme="minorHAnsi" w:hAnsiTheme="minorHAnsi"/>
          <w:sz w:val="24"/>
          <w:szCs w:val="24"/>
        </w:rPr>
        <w:t xml:space="preserve"> of its arrival, </w:t>
      </w:r>
      <w:r w:rsidR="0012391B">
        <w:rPr>
          <w:rFonts w:asciiTheme="minorHAnsi" w:hAnsiTheme="minorHAnsi"/>
          <w:sz w:val="24"/>
          <w:szCs w:val="24"/>
        </w:rPr>
        <w:t>assuming, with</w:t>
      </w:r>
      <w:r w:rsidR="002727C1">
        <w:rPr>
          <w:rFonts w:asciiTheme="minorHAnsi" w:hAnsiTheme="minorHAnsi"/>
          <w:sz w:val="24"/>
          <w:szCs w:val="24"/>
        </w:rPr>
        <w:t xml:space="preserve"> S</w:t>
      </w:r>
      <w:r>
        <w:rPr>
          <w:rFonts w:asciiTheme="minorHAnsi" w:hAnsiTheme="minorHAnsi"/>
          <w:sz w:val="24"/>
          <w:szCs w:val="24"/>
        </w:rPr>
        <w:t>F</w:t>
      </w:r>
      <w:r w:rsidR="0012391B">
        <w:rPr>
          <w:rFonts w:asciiTheme="minorHAnsi" w:hAnsiTheme="minorHAnsi"/>
          <w:sz w:val="24"/>
          <w:szCs w:val="24"/>
        </w:rPr>
        <w:t>, that this is so</w:t>
      </w:r>
      <w:r>
        <w:rPr>
          <w:rFonts w:asciiTheme="minorHAnsi" w:hAnsiTheme="minorHAnsi"/>
          <w:sz w:val="24"/>
          <w:szCs w:val="24"/>
        </w:rPr>
        <w:t xml:space="preserve">. Reuniting with </w:t>
      </w:r>
      <w:r w:rsidR="003667F7">
        <w:rPr>
          <w:rFonts w:asciiTheme="minorHAnsi" w:hAnsiTheme="minorHAnsi"/>
          <w:sz w:val="24"/>
          <w:szCs w:val="24"/>
        </w:rPr>
        <w:t>the uterus</w:t>
      </w:r>
      <w:r>
        <w:rPr>
          <w:rFonts w:asciiTheme="minorHAnsi" w:hAnsiTheme="minorHAnsi"/>
          <w:sz w:val="24"/>
          <w:szCs w:val="24"/>
        </w:rPr>
        <w:t xml:space="preserve"> </w:t>
      </w:r>
      <w:r w:rsidR="003914AC">
        <w:rPr>
          <w:rFonts w:asciiTheme="minorHAnsi" w:hAnsiTheme="minorHAnsi"/>
          <w:sz w:val="24"/>
          <w:szCs w:val="24"/>
        </w:rPr>
        <w:t>would serve</w:t>
      </w:r>
      <w:r>
        <w:rPr>
          <w:rFonts w:asciiTheme="minorHAnsi" w:hAnsiTheme="minorHAnsi"/>
          <w:sz w:val="24"/>
          <w:szCs w:val="24"/>
        </w:rPr>
        <w:t xml:space="preserve"> only to set this game little gamete i</w:t>
      </w:r>
      <w:r w:rsidR="0053356B">
        <w:rPr>
          <w:rFonts w:asciiTheme="minorHAnsi" w:hAnsiTheme="minorHAnsi"/>
          <w:sz w:val="24"/>
          <w:szCs w:val="24"/>
        </w:rPr>
        <w:t>n a sea of searching for the ovum</w:t>
      </w:r>
      <w:r>
        <w:rPr>
          <w:rFonts w:asciiTheme="minorHAnsi" w:hAnsiTheme="minorHAnsi"/>
          <w:sz w:val="24"/>
          <w:szCs w:val="24"/>
        </w:rPr>
        <w:t xml:space="preserve">, since however </w:t>
      </w:r>
      <w:r w:rsidR="00882E82">
        <w:rPr>
          <w:rFonts w:asciiTheme="minorHAnsi" w:hAnsiTheme="minorHAnsi"/>
          <w:sz w:val="24"/>
          <w:szCs w:val="24"/>
        </w:rPr>
        <w:t>jubilant in its homecoming</w:t>
      </w:r>
      <w:r>
        <w:rPr>
          <w:rFonts w:asciiTheme="minorHAnsi" w:hAnsiTheme="minorHAnsi"/>
          <w:sz w:val="24"/>
          <w:szCs w:val="24"/>
        </w:rPr>
        <w:t xml:space="preserve"> the sperm may be</w:t>
      </w:r>
      <w:r w:rsidR="008C7ACE">
        <w:rPr>
          <w:rFonts w:asciiTheme="minorHAnsi" w:hAnsiTheme="minorHAnsi"/>
          <w:sz w:val="24"/>
          <w:szCs w:val="24"/>
        </w:rPr>
        <w:t>,</w:t>
      </w:r>
      <w:r>
        <w:rPr>
          <w:rFonts w:asciiTheme="minorHAnsi" w:hAnsiTheme="minorHAnsi"/>
          <w:sz w:val="24"/>
          <w:szCs w:val="24"/>
        </w:rPr>
        <w:t xml:space="preserve"> the reproducibility that is supposed to motivate this return is pointless without amphimixis in the strict sense.</w:t>
      </w:r>
      <w:r>
        <w:rPr>
          <w:rStyle w:val="EndnoteReference"/>
          <w:rFonts w:asciiTheme="minorHAnsi" w:hAnsiTheme="minorHAnsi"/>
          <w:sz w:val="24"/>
          <w:szCs w:val="24"/>
        </w:rPr>
        <w:endnoteReference w:id="56"/>
      </w:r>
      <w:r w:rsidR="009B2B3E">
        <w:rPr>
          <w:rFonts w:asciiTheme="minorHAnsi" w:hAnsiTheme="minorHAnsi"/>
          <w:sz w:val="24"/>
          <w:szCs w:val="24"/>
        </w:rPr>
        <w:t xml:space="preserve"> </w:t>
      </w:r>
      <w:r w:rsidR="00CA470E">
        <w:rPr>
          <w:rFonts w:asciiTheme="minorHAnsi" w:hAnsiTheme="minorHAnsi"/>
          <w:sz w:val="24"/>
          <w:szCs w:val="24"/>
        </w:rPr>
        <w:t>The ovum evades any identification, any speculation</w:t>
      </w:r>
      <w:r w:rsidR="00D22716">
        <w:rPr>
          <w:rFonts w:asciiTheme="minorHAnsi" w:hAnsiTheme="minorHAnsi"/>
          <w:sz w:val="24"/>
          <w:szCs w:val="24"/>
        </w:rPr>
        <w:t xml:space="preserve"> at all</w:t>
      </w:r>
      <w:r w:rsidR="00CA470E">
        <w:rPr>
          <w:rFonts w:asciiTheme="minorHAnsi" w:hAnsiTheme="minorHAnsi"/>
          <w:sz w:val="24"/>
          <w:szCs w:val="24"/>
        </w:rPr>
        <w:t>.</w:t>
      </w:r>
      <w:r w:rsidR="00D22716">
        <w:rPr>
          <w:rFonts w:asciiTheme="minorHAnsi" w:hAnsiTheme="minorHAnsi"/>
          <w:sz w:val="24"/>
          <w:szCs w:val="24"/>
        </w:rPr>
        <w:t xml:space="preserve"> We do not even know if </w:t>
      </w:r>
      <w:r w:rsidR="00D22716" w:rsidRPr="00054B1A">
        <w:rPr>
          <w:rFonts w:asciiTheme="minorHAnsi" w:hAnsiTheme="minorHAnsi"/>
          <w:i/>
          <w:sz w:val="24"/>
          <w:szCs w:val="24"/>
        </w:rPr>
        <w:t>this</w:t>
      </w:r>
      <w:r w:rsidR="00D22716" w:rsidRPr="00054B1A">
        <w:rPr>
          <w:rFonts w:asciiTheme="minorHAnsi" w:hAnsiTheme="minorHAnsi"/>
          <w:sz w:val="24"/>
          <w:szCs w:val="24"/>
        </w:rPr>
        <w:t xml:space="preserve"> germ plasm is prized</w:t>
      </w:r>
      <w:r w:rsidR="00164282" w:rsidRPr="00054B1A">
        <w:rPr>
          <w:rFonts w:asciiTheme="minorHAnsi" w:hAnsiTheme="minorHAnsi"/>
          <w:sz w:val="24"/>
          <w:szCs w:val="24"/>
        </w:rPr>
        <w:t xml:space="preserve"> at all</w:t>
      </w:r>
      <w:r w:rsidR="00D22716" w:rsidRPr="00054B1A">
        <w:rPr>
          <w:rFonts w:asciiTheme="minorHAnsi" w:hAnsiTheme="minorHAnsi"/>
          <w:sz w:val="24"/>
          <w:szCs w:val="24"/>
        </w:rPr>
        <w:t>.</w:t>
      </w:r>
      <w:r w:rsidR="00CA470E" w:rsidRPr="00054B1A">
        <w:rPr>
          <w:rFonts w:asciiTheme="minorHAnsi" w:hAnsiTheme="minorHAnsi"/>
          <w:sz w:val="24"/>
          <w:szCs w:val="24"/>
        </w:rPr>
        <w:t xml:space="preserve"> </w:t>
      </w:r>
      <w:r w:rsidR="00054B1A" w:rsidRPr="00054B1A">
        <w:rPr>
          <w:rFonts w:asciiTheme="minorHAnsi" w:hAnsiTheme="minorHAnsi"/>
          <w:sz w:val="24"/>
          <w:szCs w:val="24"/>
        </w:rPr>
        <w:t>If the tale of a violent and oppositional sexual difference whether Oedipally or phylogenetically inscribed afforded by Sigmund Freud and Sandor Ferenczi were to be our only story we would stop forthwith.</w:t>
      </w:r>
      <w:r w:rsidR="00054B1A">
        <w:rPr>
          <w:rFonts w:asciiTheme="minorHAnsi" w:hAnsiTheme="minorHAnsi"/>
          <w:sz w:val="24"/>
          <w:szCs w:val="24"/>
        </w:rPr>
        <w:t xml:space="preserve"> </w:t>
      </w:r>
      <w:r w:rsidR="00F41B3C">
        <w:rPr>
          <w:rFonts w:asciiTheme="minorHAnsi" w:hAnsiTheme="minorHAnsi"/>
          <w:sz w:val="24"/>
          <w:szCs w:val="24"/>
        </w:rPr>
        <w:t xml:space="preserve">The SF solution effectively produces the intrauterine environment as one entity, as liquid behaving like a solid, as </w:t>
      </w:r>
      <w:r w:rsidR="00F41B3C" w:rsidRPr="00F41B3C">
        <w:rPr>
          <w:rFonts w:asciiTheme="minorHAnsi" w:hAnsiTheme="minorHAnsi"/>
          <w:i/>
          <w:sz w:val="24"/>
          <w:szCs w:val="24"/>
        </w:rPr>
        <w:t>da</w:t>
      </w:r>
      <w:r w:rsidR="00054B1A">
        <w:rPr>
          <w:rFonts w:asciiTheme="minorHAnsi" w:hAnsiTheme="minorHAnsi"/>
          <w:i/>
          <w:sz w:val="24"/>
          <w:szCs w:val="24"/>
        </w:rPr>
        <w:t>,</w:t>
      </w:r>
      <w:r w:rsidR="00F41B3C">
        <w:rPr>
          <w:rFonts w:asciiTheme="minorHAnsi" w:hAnsiTheme="minorHAnsi"/>
          <w:sz w:val="24"/>
          <w:szCs w:val="24"/>
        </w:rPr>
        <w:t xml:space="preserve"> when it might </w:t>
      </w:r>
      <w:r w:rsidR="00670A56">
        <w:rPr>
          <w:rFonts w:asciiTheme="minorHAnsi" w:hAnsiTheme="minorHAnsi"/>
          <w:sz w:val="24"/>
          <w:szCs w:val="24"/>
        </w:rPr>
        <w:t>otherwis</w:t>
      </w:r>
      <w:r w:rsidR="00F41B3C">
        <w:rPr>
          <w:rFonts w:asciiTheme="minorHAnsi" w:hAnsiTheme="minorHAnsi"/>
          <w:sz w:val="24"/>
          <w:szCs w:val="24"/>
        </w:rPr>
        <w:t xml:space="preserve">e </w:t>
      </w:r>
      <w:r w:rsidR="00EB0A41">
        <w:rPr>
          <w:rFonts w:asciiTheme="minorHAnsi" w:hAnsiTheme="minorHAnsi"/>
          <w:sz w:val="24"/>
          <w:szCs w:val="24"/>
        </w:rPr>
        <w:t xml:space="preserve">enjoy the </w:t>
      </w:r>
      <w:r w:rsidR="00815F7B">
        <w:rPr>
          <w:rFonts w:asciiTheme="minorHAnsi" w:hAnsiTheme="minorHAnsi"/>
          <w:sz w:val="24"/>
          <w:szCs w:val="24"/>
        </w:rPr>
        <w:t>differentiated</w:t>
      </w:r>
      <w:r w:rsidR="00EB0A41">
        <w:rPr>
          <w:rFonts w:asciiTheme="minorHAnsi" w:hAnsiTheme="minorHAnsi"/>
          <w:sz w:val="24"/>
          <w:szCs w:val="24"/>
        </w:rPr>
        <w:t xml:space="preserve"> consistency of</w:t>
      </w:r>
      <w:r w:rsidR="00F41B3C">
        <w:rPr>
          <w:rFonts w:asciiTheme="minorHAnsi" w:hAnsiTheme="minorHAnsi"/>
          <w:sz w:val="24"/>
          <w:szCs w:val="24"/>
        </w:rPr>
        <w:t xml:space="preserve"> a spa. </w:t>
      </w:r>
      <w:r w:rsidR="008C2ACB">
        <w:rPr>
          <w:rFonts w:asciiTheme="minorHAnsi" w:hAnsiTheme="minorHAnsi"/>
          <w:sz w:val="24"/>
          <w:szCs w:val="24"/>
        </w:rPr>
        <w:t xml:space="preserve">‘Spa’ here speaks to what we might, after Irigaray, call a poetics of </w:t>
      </w:r>
      <w:r w:rsidR="00CA60DA">
        <w:rPr>
          <w:rFonts w:asciiTheme="minorHAnsi" w:hAnsiTheme="minorHAnsi"/>
          <w:sz w:val="24"/>
          <w:szCs w:val="24"/>
        </w:rPr>
        <w:t>fluids that,</w:t>
      </w:r>
      <w:r w:rsidR="008C2ACB">
        <w:rPr>
          <w:rFonts w:asciiTheme="minorHAnsi" w:hAnsiTheme="minorHAnsi"/>
          <w:sz w:val="24"/>
          <w:szCs w:val="24"/>
        </w:rPr>
        <w:t xml:space="preserve"> in light of both Irigaray and Derrida</w:t>
      </w:r>
      <w:r w:rsidR="00CA60DA">
        <w:rPr>
          <w:rFonts w:asciiTheme="minorHAnsi" w:hAnsiTheme="minorHAnsi"/>
          <w:sz w:val="24"/>
          <w:szCs w:val="24"/>
        </w:rPr>
        <w:t>,</w:t>
      </w:r>
      <w:r w:rsidR="008C2ACB">
        <w:rPr>
          <w:rFonts w:asciiTheme="minorHAnsi" w:hAnsiTheme="minorHAnsi"/>
          <w:sz w:val="24"/>
          <w:szCs w:val="24"/>
        </w:rPr>
        <w:t xml:space="preserve"> refuse speculative recuperation.</w:t>
      </w:r>
      <w:r w:rsidR="008C2ACB">
        <w:rPr>
          <w:rStyle w:val="EndnoteReference"/>
          <w:rFonts w:asciiTheme="minorHAnsi" w:hAnsiTheme="minorHAnsi"/>
          <w:sz w:val="24"/>
          <w:szCs w:val="24"/>
        </w:rPr>
        <w:endnoteReference w:id="57"/>
      </w:r>
      <w:r w:rsidR="008C2ACB">
        <w:rPr>
          <w:rFonts w:asciiTheme="minorHAnsi" w:hAnsiTheme="minorHAnsi"/>
          <w:sz w:val="24"/>
          <w:szCs w:val="24"/>
        </w:rPr>
        <w:t xml:space="preserve"> That is to say, fluids can always wash and be washed away. </w:t>
      </w:r>
      <w:r w:rsidR="000B435A">
        <w:rPr>
          <w:rFonts w:asciiTheme="minorHAnsi" w:hAnsiTheme="minorHAnsi"/>
          <w:sz w:val="24"/>
          <w:szCs w:val="24"/>
        </w:rPr>
        <w:t xml:space="preserve">Fluids do not seal a single point of origin, </w:t>
      </w:r>
      <w:r w:rsidR="00C408AA">
        <w:rPr>
          <w:rFonts w:asciiTheme="minorHAnsi" w:hAnsiTheme="minorHAnsi"/>
          <w:sz w:val="24"/>
          <w:szCs w:val="24"/>
        </w:rPr>
        <w:t>as</w:t>
      </w:r>
      <w:r w:rsidR="000B435A">
        <w:rPr>
          <w:rFonts w:asciiTheme="minorHAnsi" w:hAnsiTheme="minorHAnsi"/>
          <w:sz w:val="24"/>
          <w:szCs w:val="24"/>
        </w:rPr>
        <w:t xml:space="preserve"> Astrida Neimanis</w:t>
      </w:r>
      <w:r w:rsidR="00C408AA">
        <w:rPr>
          <w:rFonts w:asciiTheme="minorHAnsi" w:hAnsiTheme="minorHAnsi"/>
          <w:sz w:val="24"/>
          <w:szCs w:val="24"/>
        </w:rPr>
        <w:t xml:space="preserve"> insists</w:t>
      </w:r>
      <w:r w:rsidR="000B435A">
        <w:rPr>
          <w:rFonts w:asciiTheme="minorHAnsi" w:hAnsiTheme="minorHAnsi"/>
          <w:sz w:val="24"/>
          <w:szCs w:val="24"/>
        </w:rPr>
        <w:t xml:space="preserve"> ‘</w:t>
      </w:r>
      <w:r w:rsidR="000B435A" w:rsidRPr="00C408AA">
        <w:rPr>
          <w:rFonts w:asciiTheme="minorHAnsi" w:hAnsiTheme="minorHAnsi"/>
          <w:i/>
          <w:sz w:val="24"/>
          <w:szCs w:val="24"/>
        </w:rPr>
        <w:t xml:space="preserve">We are </w:t>
      </w:r>
      <w:r w:rsidR="00C408AA" w:rsidRPr="00C408AA">
        <w:rPr>
          <w:rFonts w:asciiTheme="minorHAnsi" w:hAnsiTheme="minorHAnsi"/>
          <w:i/>
          <w:sz w:val="24"/>
          <w:szCs w:val="24"/>
        </w:rPr>
        <w:t>all</w:t>
      </w:r>
      <w:r w:rsidR="00C408AA">
        <w:rPr>
          <w:rFonts w:asciiTheme="minorHAnsi" w:hAnsiTheme="minorHAnsi"/>
          <w:sz w:val="24"/>
          <w:szCs w:val="24"/>
        </w:rPr>
        <w:t xml:space="preserve"> </w:t>
      </w:r>
      <w:r w:rsidR="000B435A">
        <w:rPr>
          <w:rFonts w:asciiTheme="minorHAnsi" w:hAnsiTheme="minorHAnsi"/>
          <w:sz w:val="24"/>
          <w:szCs w:val="24"/>
        </w:rPr>
        <w:t>[always and already]</w:t>
      </w:r>
      <w:r w:rsidR="00C408AA">
        <w:rPr>
          <w:rFonts w:asciiTheme="minorHAnsi" w:hAnsiTheme="minorHAnsi"/>
          <w:sz w:val="24"/>
          <w:szCs w:val="24"/>
        </w:rPr>
        <w:t xml:space="preserve"> </w:t>
      </w:r>
      <w:r w:rsidR="00C408AA" w:rsidRPr="00C408AA">
        <w:rPr>
          <w:rFonts w:asciiTheme="minorHAnsi" w:hAnsiTheme="minorHAnsi"/>
          <w:i/>
          <w:sz w:val="24"/>
          <w:szCs w:val="24"/>
        </w:rPr>
        <w:t>bodies of water</w:t>
      </w:r>
      <w:r w:rsidR="00C408AA">
        <w:rPr>
          <w:rFonts w:asciiTheme="minorHAnsi" w:hAnsiTheme="minorHAnsi"/>
          <w:sz w:val="24"/>
          <w:szCs w:val="24"/>
        </w:rPr>
        <w:t>.’</w:t>
      </w:r>
      <w:r w:rsidR="00C408AA">
        <w:rPr>
          <w:rStyle w:val="EndnoteReference"/>
          <w:rFonts w:asciiTheme="minorHAnsi" w:hAnsiTheme="minorHAnsi"/>
          <w:sz w:val="24"/>
          <w:szCs w:val="24"/>
        </w:rPr>
        <w:endnoteReference w:id="58"/>
      </w:r>
      <w:r w:rsidR="00C408AA">
        <w:rPr>
          <w:rFonts w:asciiTheme="minorHAnsi" w:hAnsiTheme="minorHAnsi"/>
          <w:sz w:val="24"/>
          <w:szCs w:val="24"/>
        </w:rPr>
        <w:t xml:space="preserve"> </w:t>
      </w:r>
      <w:r w:rsidR="00C61C24">
        <w:rPr>
          <w:rFonts w:asciiTheme="minorHAnsi" w:hAnsiTheme="minorHAnsi"/>
          <w:sz w:val="24"/>
          <w:szCs w:val="24"/>
        </w:rPr>
        <w:t>Water remains our condition of possibility</w:t>
      </w:r>
      <w:r w:rsidR="00391199">
        <w:rPr>
          <w:rFonts w:asciiTheme="minorHAnsi" w:hAnsiTheme="minorHAnsi"/>
          <w:sz w:val="24"/>
          <w:szCs w:val="24"/>
        </w:rPr>
        <w:t>, our mutable common ‘ground’</w:t>
      </w:r>
      <w:r w:rsidR="00C61C24">
        <w:rPr>
          <w:rFonts w:asciiTheme="minorHAnsi" w:hAnsiTheme="minorHAnsi"/>
          <w:sz w:val="24"/>
          <w:szCs w:val="24"/>
        </w:rPr>
        <w:t xml:space="preserve">. </w:t>
      </w:r>
      <w:r w:rsidR="00CB480B">
        <w:rPr>
          <w:rFonts w:asciiTheme="minorHAnsi" w:hAnsiTheme="minorHAnsi"/>
          <w:sz w:val="24"/>
          <w:szCs w:val="24"/>
        </w:rPr>
        <w:t>This poetics</w:t>
      </w:r>
      <w:r w:rsidR="008C2ACB">
        <w:rPr>
          <w:rFonts w:asciiTheme="minorHAnsi" w:hAnsiTheme="minorHAnsi"/>
          <w:sz w:val="24"/>
          <w:szCs w:val="24"/>
        </w:rPr>
        <w:t xml:space="preserve"> might also sustain a more hospitable address to biology</w:t>
      </w:r>
      <w:r w:rsidR="00CB480B">
        <w:rPr>
          <w:rFonts w:asciiTheme="minorHAnsi" w:hAnsiTheme="minorHAnsi"/>
          <w:sz w:val="24"/>
          <w:szCs w:val="24"/>
        </w:rPr>
        <w:t xml:space="preserve"> –</w:t>
      </w:r>
      <w:r w:rsidR="00941737">
        <w:rPr>
          <w:rFonts w:asciiTheme="minorHAnsi" w:hAnsiTheme="minorHAnsi"/>
          <w:sz w:val="24"/>
          <w:szCs w:val="24"/>
        </w:rPr>
        <w:t xml:space="preserve"> an</w:t>
      </w:r>
      <w:r w:rsidR="00CB480B">
        <w:rPr>
          <w:rFonts w:asciiTheme="minorHAnsi" w:hAnsiTheme="minorHAnsi"/>
          <w:sz w:val="24"/>
          <w:szCs w:val="24"/>
        </w:rPr>
        <w:t xml:space="preserve"> address that is a long way from the biological essentialism </w:t>
      </w:r>
      <w:r w:rsidR="00C84864">
        <w:rPr>
          <w:rFonts w:asciiTheme="minorHAnsi" w:hAnsiTheme="minorHAnsi"/>
          <w:sz w:val="24"/>
          <w:szCs w:val="24"/>
        </w:rPr>
        <w:t>of which Irigaray ha</w:t>
      </w:r>
      <w:r w:rsidR="00941737">
        <w:rPr>
          <w:rFonts w:asciiTheme="minorHAnsi" w:hAnsiTheme="minorHAnsi"/>
          <w:sz w:val="24"/>
          <w:szCs w:val="24"/>
        </w:rPr>
        <w:t xml:space="preserve">s </w:t>
      </w:r>
      <w:r w:rsidR="00C84864">
        <w:rPr>
          <w:rFonts w:asciiTheme="minorHAnsi" w:hAnsiTheme="minorHAnsi"/>
          <w:sz w:val="24"/>
          <w:szCs w:val="24"/>
        </w:rPr>
        <w:t xml:space="preserve">frequently and </w:t>
      </w:r>
      <w:r w:rsidR="00941737">
        <w:rPr>
          <w:rFonts w:asciiTheme="minorHAnsi" w:hAnsiTheme="minorHAnsi"/>
          <w:sz w:val="24"/>
          <w:szCs w:val="24"/>
        </w:rPr>
        <w:t xml:space="preserve">mistakenly </w:t>
      </w:r>
      <w:r w:rsidR="00C84864">
        <w:rPr>
          <w:rFonts w:asciiTheme="minorHAnsi" w:hAnsiTheme="minorHAnsi"/>
          <w:sz w:val="24"/>
          <w:szCs w:val="24"/>
        </w:rPr>
        <w:t xml:space="preserve">been </w:t>
      </w:r>
      <w:r w:rsidR="00941737">
        <w:rPr>
          <w:rFonts w:asciiTheme="minorHAnsi" w:hAnsiTheme="minorHAnsi"/>
          <w:sz w:val="24"/>
          <w:szCs w:val="24"/>
        </w:rPr>
        <w:t>accused</w:t>
      </w:r>
      <w:r w:rsidR="00274671">
        <w:rPr>
          <w:rFonts w:asciiTheme="minorHAnsi" w:hAnsiTheme="minorHAnsi"/>
          <w:sz w:val="24"/>
          <w:szCs w:val="24"/>
        </w:rPr>
        <w:t>.</w:t>
      </w:r>
      <w:r w:rsidR="00CA2C68">
        <w:rPr>
          <w:rStyle w:val="EndnoteReference"/>
          <w:rFonts w:asciiTheme="minorHAnsi" w:hAnsiTheme="minorHAnsi"/>
          <w:sz w:val="24"/>
          <w:szCs w:val="24"/>
        </w:rPr>
        <w:endnoteReference w:id="59"/>
      </w:r>
      <w:r w:rsidR="00941737">
        <w:rPr>
          <w:rFonts w:asciiTheme="minorHAnsi" w:hAnsiTheme="minorHAnsi"/>
          <w:sz w:val="24"/>
          <w:szCs w:val="24"/>
        </w:rPr>
        <w:t xml:space="preserve"> </w:t>
      </w:r>
    </w:p>
    <w:p w14:paraId="2229DC8C" w14:textId="77777777" w:rsidR="00EB0A41" w:rsidRDefault="00EB0A41">
      <w:pPr>
        <w:rPr>
          <w:rFonts w:asciiTheme="minorHAnsi" w:hAnsiTheme="minorHAnsi"/>
          <w:sz w:val="24"/>
          <w:szCs w:val="24"/>
        </w:rPr>
      </w:pPr>
    </w:p>
    <w:p w14:paraId="51E3A236" w14:textId="77777777" w:rsidR="002405B6" w:rsidRDefault="002405B6">
      <w:pPr>
        <w:rPr>
          <w:rFonts w:asciiTheme="minorHAnsi" w:hAnsiTheme="minorHAnsi"/>
          <w:sz w:val="24"/>
          <w:szCs w:val="24"/>
        </w:rPr>
      </w:pPr>
    </w:p>
    <w:p w14:paraId="3869EAB5" w14:textId="77777777" w:rsidR="002405B6" w:rsidRPr="00325DBD" w:rsidRDefault="002405B6" w:rsidP="002405B6">
      <w:pPr>
        <w:jc w:val="center"/>
        <w:rPr>
          <w:rFonts w:asciiTheme="minorHAnsi" w:hAnsiTheme="minorHAnsi"/>
          <w:b/>
          <w:sz w:val="24"/>
          <w:szCs w:val="24"/>
        </w:rPr>
      </w:pPr>
      <w:r w:rsidRPr="00325DBD">
        <w:rPr>
          <w:rFonts w:asciiTheme="minorHAnsi" w:hAnsiTheme="minorHAnsi"/>
          <w:b/>
          <w:sz w:val="24"/>
          <w:szCs w:val="24"/>
        </w:rPr>
        <w:t>Sea Food</w:t>
      </w:r>
    </w:p>
    <w:p w14:paraId="38A9A610" w14:textId="77777777" w:rsidR="00171E43" w:rsidRDefault="00171E43">
      <w:pPr>
        <w:rPr>
          <w:rFonts w:asciiTheme="minorHAnsi" w:hAnsiTheme="minorHAnsi"/>
          <w:sz w:val="24"/>
          <w:szCs w:val="24"/>
        </w:rPr>
      </w:pPr>
    </w:p>
    <w:p w14:paraId="5F548F00" w14:textId="025F96DC" w:rsidR="00171E43" w:rsidRDefault="00E9619C">
      <w:pPr>
        <w:rPr>
          <w:rFonts w:asciiTheme="minorHAnsi" w:hAnsiTheme="minorHAnsi"/>
          <w:sz w:val="24"/>
          <w:szCs w:val="24"/>
        </w:rPr>
      </w:pPr>
      <w:r>
        <w:rPr>
          <w:rFonts w:asciiTheme="minorHAnsi" w:hAnsiTheme="minorHAnsi"/>
          <w:sz w:val="24"/>
          <w:szCs w:val="24"/>
        </w:rPr>
        <w:t xml:space="preserve">From </w:t>
      </w:r>
      <w:r w:rsidRPr="00E9619C">
        <w:rPr>
          <w:rFonts w:asciiTheme="minorHAnsi" w:hAnsiTheme="minorHAnsi"/>
          <w:i/>
          <w:sz w:val="24"/>
          <w:szCs w:val="24"/>
        </w:rPr>
        <w:t>Psychosomatic’s</w:t>
      </w:r>
      <w:r>
        <w:rPr>
          <w:rFonts w:asciiTheme="minorHAnsi" w:hAnsiTheme="minorHAnsi"/>
          <w:sz w:val="24"/>
          <w:szCs w:val="24"/>
        </w:rPr>
        <w:t xml:space="preserve"> insistence on the Enteric Nervous System (the stomach) as supplement to the Central Nervous System (the brain) to the retrieval of Melanie K</w:t>
      </w:r>
      <w:r w:rsidR="00264D2E">
        <w:rPr>
          <w:rFonts w:asciiTheme="minorHAnsi" w:hAnsiTheme="minorHAnsi"/>
          <w:sz w:val="24"/>
          <w:szCs w:val="24"/>
        </w:rPr>
        <w:t>lein in “</w:t>
      </w:r>
      <w:r>
        <w:rPr>
          <w:rFonts w:asciiTheme="minorHAnsi" w:hAnsiTheme="minorHAnsi"/>
          <w:sz w:val="24"/>
          <w:szCs w:val="24"/>
        </w:rPr>
        <w:t>Underbelly</w:t>
      </w:r>
      <w:r w:rsidR="00FD2364">
        <w:rPr>
          <w:rFonts w:asciiTheme="minorHAnsi" w:hAnsiTheme="minorHAnsi"/>
          <w:sz w:val="24"/>
          <w:szCs w:val="24"/>
        </w:rPr>
        <w:t>,</w:t>
      </w:r>
      <w:r w:rsidR="00264D2E">
        <w:rPr>
          <w:rFonts w:asciiTheme="minorHAnsi" w:hAnsiTheme="minorHAnsi"/>
          <w:sz w:val="24"/>
          <w:szCs w:val="24"/>
        </w:rPr>
        <w:t>’”</w:t>
      </w:r>
      <w:r>
        <w:rPr>
          <w:rFonts w:asciiTheme="minorHAnsi" w:hAnsiTheme="minorHAnsi"/>
          <w:sz w:val="24"/>
          <w:szCs w:val="24"/>
        </w:rPr>
        <w:t xml:space="preserve">Wilson has been </w:t>
      </w:r>
      <w:r w:rsidR="0026651B">
        <w:rPr>
          <w:rFonts w:asciiTheme="minorHAnsi" w:hAnsiTheme="minorHAnsi"/>
          <w:sz w:val="24"/>
          <w:szCs w:val="24"/>
        </w:rPr>
        <w:t>occupied with</w:t>
      </w:r>
      <w:r>
        <w:rPr>
          <w:rFonts w:asciiTheme="minorHAnsi" w:hAnsiTheme="minorHAnsi"/>
          <w:sz w:val="24"/>
          <w:szCs w:val="24"/>
        </w:rPr>
        <w:t xml:space="preserve"> the gut. It is all the more intriguing </w:t>
      </w:r>
      <w:r w:rsidR="00AD5D8D">
        <w:rPr>
          <w:rFonts w:asciiTheme="minorHAnsi" w:hAnsiTheme="minorHAnsi"/>
          <w:sz w:val="24"/>
          <w:szCs w:val="24"/>
        </w:rPr>
        <w:t xml:space="preserve">then, that what escapes </w:t>
      </w:r>
      <w:r w:rsidR="00AD5D8D" w:rsidRPr="008D7783">
        <w:rPr>
          <w:rFonts w:asciiTheme="minorHAnsi" w:hAnsiTheme="minorHAnsi"/>
          <w:sz w:val="24"/>
          <w:szCs w:val="24"/>
        </w:rPr>
        <w:t xml:space="preserve">her attention in SF is </w:t>
      </w:r>
      <w:r w:rsidRPr="008D7783">
        <w:rPr>
          <w:rFonts w:asciiTheme="minorHAnsi" w:hAnsiTheme="minorHAnsi"/>
          <w:sz w:val="24"/>
          <w:szCs w:val="24"/>
        </w:rPr>
        <w:t xml:space="preserve">the brief </w:t>
      </w:r>
      <w:r w:rsidR="00044A9C" w:rsidRPr="008D7783">
        <w:rPr>
          <w:rFonts w:asciiTheme="minorHAnsi" w:hAnsiTheme="minorHAnsi"/>
          <w:sz w:val="24"/>
          <w:szCs w:val="24"/>
        </w:rPr>
        <w:t>address</w:t>
      </w:r>
      <w:r w:rsidRPr="008D7783">
        <w:rPr>
          <w:rFonts w:asciiTheme="minorHAnsi" w:hAnsiTheme="minorHAnsi"/>
          <w:sz w:val="24"/>
          <w:szCs w:val="24"/>
        </w:rPr>
        <w:t xml:space="preserve"> to a primal mode of ingestion that </w:t>
      </w:r>
      <w:r w:rsidR="00AD5D8D" w:rsidRPr="008D7783">
        <w:rPr>
          <w:rFonts w:asciiTheme="minorHAnsi" w:hAnsiTheme="minorHAnsi"/>
          <w:sz w:val="24"/>
          <w:szCs w:val="24"/>
        </w:rPr>
        <w:t xml:space="preserve">effectively </w:t>
      </w:r>
      <w:r w:rsidR="00990728" w:rsidRPr="008D7783">
        <w:rPr>
          <w:rFonts w:asciiTheme="minorHAnsi" w:hAnsiTheme="minorHAnsi"/>
          <w:sz w:val="24"/>
          <w:szCs w:val="24"/>
        </w:rPr>
        <w:t>prevents the imagined environment desired</w:t>
      </w:r>
      <w:r w:rsidRPr="008D7783">
        <w:rPr>
          <w:rFonts w:asciiTheme="minorHAnsi" w:hAnsiTheme="minorHAnsi"/>
          <w:sz w:val="24"/>
          <w:szCs w:val="24"/>
        </w:rPr>
        <w:t xml:space="preserve"> in </w:t>
      </w:r>
      <w:r w:rsidRPr="008D7783">
        <w:rPr>
          <w:rFonts w:asciiTheme="minorHAnsi" w:hAnsiTheme="minorHAnsi"/>
          <w:i/>
          <w:sz w:val="24"/>
          <w:szCs w:val="24"/>
        </w:rPr>
        <w:t>Thalassa</w:t>
      </w:r>
      <w:r w:rsidR="00990728" w:rsidRPr="008D7783">
        <w:rPr>
          <w:rFonts w:asciiTheme="minorHAnsi" w:hAnsiTheme="minorHAnsi"/>
          <w:i/>
          <w:sz w:val="24"/>
          <w:szCs w:val="24"/>
        </w:rPr>
        <w:t xml:space="preserve"> </w:t>
      </w:r>
      <w:r w:rsidR="00990728" w:rsidRPr="008D7783">
        <w:rPr>
          <w:rFonts w:asciiTheme="minorHAnsi" w:hAnsiTheme="minorHAnsi"/>
          <w:sz w:val="24"/>
          <w:szCs w:val="24"/>
        </w:rPr>
        <w:t>from holding watertight</w:t>
      </w:r>
      <w:r w:rsidRPr="008D7783">
        <w:rPr>
          <w:rFonts w:asciiTheme="minorHAnsi" w:hAnsiTheme="minorHAnsi"/>
          <w:sz w:val="24"/>
          <w:szCs w:val="24"/>
        </w:rPr>
        <w:t>.</w:t>
      </w:r>
      <w:r w:rsidR="00990728">
        <w:rPr>
          <w:rFonts w:asciiTheme="minorHAnsi" w:hAnsiTheme="minorHAnsi"/>
          <w:sz w:val="24"/>
          <w:szCs w:val="24"/>
        </w:rPr>
        <w:t xml:space="preserve"> Ingestion emerges in the pages </w:t>
      </w:r>
      <w:r w:rsidR="00264D2E">
        <w:rPr>
          <w:rFonts w:asciiTheme="minorHAnsi" w:hAnsiTheme="minorHAnsi"/>
          <w:sz w:val="24"/>
          <w:szCs w:val="24"/>
        </w:rPr>
        <w:t>that most directly acknowledge “Beyond the Pleasure Principle”</w:t>
      </w:r>
      <w:r w:rsidR="00990728">
        <w:rPr>
          <w:rFonts w:asciiTheme="minorHAnsi" w:hAnsiTheme="minorHAnsi"/>
          <w:sz w:val="24"/>
          <w:szCs w:val="24"/>
        </w:rPr>
        <w:t xml:space="preserve">. </w:t>
      </w:r>
      <w:r w:rsidR="006B400D">
        <w:rPr>
          <w:rFonts w:asciiTheme="minorHAnsi" w:hAnsiTheme="minorHAnsi"/>
          <w:sz w:val="24"/>
          <w:szCs w:val="24"/>
        </w:rPr>
        <w:t xml:space="preserve">It follows on from Ferenczi’s evocation of the ‘poetic fantasy’ in Plato’s </w:t>
      </w:r>
      <w:r w:rsidR="006B400D" w:rsidRPr="00A7678B">
        <w:rPr>
          <w:rFonts w:asciiTheme="minorHAnsi" w:hAnsiTheme="minorHAnsi"/>
          <w:i/>
          <w:sz w:val="24"/>
          <w:szCs w:val="24"/>
        </w:rPr>
        <w:t>Symposium</w:t>
      </w:r>
      <w:r w:rsidR="006B400D">
        <w:rPr>
          <w:rFonts w:asciiTheme="minorHAnsi" w:hAnsiTheme="minorHAnsi"/>
          <w:sz w:val="24"/>
          <w:szCs w:val="24"/>
        </w:rPr>
        <w:t xml:space="preserve"> as the scene of a catastrophic division of matter into two halves ‘leaving</w:t>
      </w:r>
      <w:r w:rsidR="004C4625">
        <w:rPr>
          <w:rFonts w:asciiTheme="minorHAnsi" w:hAnsiTheme="minorHAnsi"/>
          <w:sz w:val="24"/>
          <w:szCs w:val="24"/>
        </w:rPr>
        <w:t xml:space="preserve"> it with an impulsion to reunite</w:t>
      </w:r>
      <w:r w:rsidR="006B400D">
        <w:rPr>
          <w:rFonts w:asciiTheme="minorHAnsi" w:hAnsiTheme="minorHAnsi"/>
          <w:sz w:val="24"/>
          <w:szCs w:val="24"/>
        </w:rPr>
        <w:t xml:space="preserve"> wherein organic life had its earliest inception.’</w:t>
      </w:r>
      <w:r w:rsidR="006B400D">
        <w:rPr>
          <w:rStyle w:val="EndnoteReference"/>
          <w:rFonts w:asciiTheme="minorHAnsi" w:hAnsiTheme="minorHAnsi"/>
          <w:sz w:val="24"/>
          <w:szCs w:val="24"/>
        </w:rPr>
        <w:endnoteReference w:id="60"/>
      </w:r>
      <w:r w:rsidR="00F43014">
        <w:rPr>
          <w:rFonts w:asciiTheme="minorHAnsi" w:hAnsiTheme="minorHAnsi"/>
          <w:sz w:val="24"/>
          <w:szCs w:val="24"/>
        </w:rPr>
        <w:t xml:space="preserve"> It follows on too from the confession that </w:t>
      </w:r>
      <w:r w:rsidR="0005705B">
        <w:rPr>
          <w:rFonts w:asciiTheme="minorHAnsi" w:hAnsiTheme="minorHAnsi"/>
          <w:sz w:val="24"/>
          <w:szCs w:val="24"/>
        </w:rPr>
        <w:t>Ferenczi’s</w:t>
      </w:r>
      <w:r w:rsidR="00F43014">
        <w:rPr>
          <w:rFonts w:asciiTheme="minorHAnsi" w:hAnsiTheme="minorHAnsi"/>
          <w:sz w:val="24"/>
          <w:szCs w:val="24"/>
        </w:rPr>
        <w:t xml:space="preserve"> earlier account of coitus may be ‘inadequate and unsatisfying’ precisely at the level of fertilisation, albeit unsatisfying in terms of </w:t>
      </w:r>
      <w:r w:rsidR="0005705B">
        <w:rPr>
          <w:rFonts w:asciiTheme="minorHAnsi" w:hAnsiTheme="minorHAnsi"/>
          <w:sz w:val="24"/>
          <w:szCs w:val="24"/>
        </w:rPr>
        <w:t>his</w:t>
      </w:r>
      <w:r w:rsidR="00F43014">
        <w:rPr>
          <w:rFonts w:asciiTheme="minorHAnsi" w:hAnsiTheme="minorHAnsi"/>
          <w:sz w:val="24"/>
          <w:szCs w:val="24"/>
        </w:rPr>
        <w:t xml:space="preserve"> fear that reproductive </w:t>
      </w:r>
      <w:r w:rsidR="0005705B">
        <w:rPr>
          <w:rFonts w:asciiTheme="minorHAnsi" w:hAnsiTheme="minorHAnsi"/>
          <w:sz w:val="24"/>
          <w:szCs w:val="24"/>
        </w:rPr>
        <w:t>practicality</w:t>
      </w:r>
      <w:r w:rsidR="00F43014">
        <w:rPr>
          <w:rFonts w:asciiTheme="minorHAnsi" w:hAnsiTheme="minorHAnsi"/>
          <w:sz w:val="24"/>
          <w:szCs w:val="24"/>
        </w:rPr>
        <w:t xml:space="preserve"> </w:t>
      </w:r>
      <w:r w:rsidR="007774B0">
        <w:rPr>
          <w:rFonts w:asciiTheme="minorHAnsi" w:hAnsiTheme="minorHAnsi"/>
          <w:sz w:val="24"/>
          <w:szCs w:val="24"/>
        </w:rPr>
        <w:t xml:space="preserve">(a </w:t>
      </w:r>
      <w:r w:rsidR="00A33BBF">
        <w:rPr>
          <w:rFonts w:asciiTheme="minorHAnsi" w:hAnsiTheme="minorHAnsi"/>
          <w:sz w:val="24"/>
          <w:szCs w:val="24"/>
        </w:rPr>
        <w:t>flat</w:t>
      </w:r>
      <w:r w:rsidR="007774B0">
        <w:rPr>
          <w:rFonts w:asciiTheme="minorHAnsi" w:hAnsiTheme="minorHAnsi"/>
          <w:sz w:val="24"/>
          <w:szCs w:val="24"/>
        </w:rPr>
        <w:t xml:space="preserve"> biology</w:t>
      </w:r>
      <w:r w:rsidR="00F91A9E">
        <w:rPr>
          <w:rFonts w:asciiTheme="minorHAnsi" w:hAnsiTheme="minorHAnsi"/>
          <w:sz w:val="24"/>
          <w:szCs w:val="24"/>
        </w:rPr>
        <w:t xml:space="preserve"> of the need to reproduce the species</w:t>
      </w:r>
      <w:r w:rsidR="007774B0">
        <w:rPr>
          <w:rFonts w:asciiTheme="minorHAnsi" w:hAnsiTheme="minorHAnsi"/>
          <w:sz w:val="24"/>
          <w:szCs w:val="24"/>
        </w:rPr>
        <w:t xml:space="preserve">) </w:t>
      </w:r>
      <w:r w:rsidR="00F43014">
        <w:rPr>
          <w:rFonts w:asciiTheme="minorHAnsi" w:hAnsiTheme="minorHAnsi"/>
          <w:sz w:val="24"/>
          <w:szCs w:val="24"/>
        </w:rPr>
        <w:t>will trump thalassal regression</w:t>
      </w:r>
      <w:r w:rsidR="007774B0">
        <w:rPr>
          <w:rFonts w:asciiTheme="minorHAnsi" w:hAnsiTheme="minorHAnsi"/>
          <w:sz w:val="24"/>
          <w:szCs w:val="24"/>
        </w:rPr>
        <w:t xml:space="preserve"> (</w:t>
      </w:r>
      <w:r w:rsidR="00F91A9E">
        <w:rPr>
          <w:rFonts w:asciiTheme="minorHAnsi" w:hAnsiTheme="minorHAnsi"/>
          <w:sz w:val="24"/>
          <w:szCs w:val="24"/>
        </w:rPr>
        <w:t xml:space="preserve">the </w:t>
      </w:r>
      <w:r w:rsidR="007774B0">
        <w:rPr>
          <w:rFonts w:asciiTheme="minorHAnsi" w:hAnsiTheme="minorHAnsi"/>
          <w:sz w:val="24"/>
          <w:szCs w:val="24"/>
        </w:rPr>
        <w:t>bioanalysis</w:t>
      </w:r>
      <w:r w:rsidR="00F91A9E">
        <w:rPr>
          <w:rFonts w:asciiTheme="minorHAnsi" w:hAnsiTheme="minorHAnsi"/>
          <w:sz w:val="24"/>
          <w:szCs w:val="24"/>
        </w:rPr>
        <w:t xml:space="preserve"> of </w:t>
      </w:r>
      <w:r w:rsidR="00001A40">
        <w:rPr>
          <w:rFonts w:asciiTheme="minorHAnsi" w:hAnsiTheme="minorHAnsi"/>
          <w:sz w:val="24"/>
          <w:szCs w:val="24"/>
        </w:rPr>
        <w:t>the desire to return</w:t>
      </w:r>
      <w:r w:rsidR="00F91A9E">
        <w:rPr>
          <w:rFonts w:asciiTheme="minorHAnsi" w:hAnsiTheme="minorHAnsi"/>
          <w:sz w:val="24"/>
          <w:szCs w:val="24"/>
        </w:rPr>
        <w:t xml:space="preserve"> to an earlier state</w:t>
      </w:r>
      <w:r w:rsidR="007774B0">
        <w:rPr>
          <w:rFonts w:asciiTheme="minorHAnsi" w:hAnsiTheme="minorHAnsi"/>
          <w:sz w:val="24"/>
          <w:szCs w:val="24"/>
        </w:rPr>
        <w:t>)</w:t>
      </w:r>
      <w:r w:rsidR="00F43014">
        <w:rPr>
          <w:rFonts w:asciiTheme="minorHAnsi" w:hAnsiTheme="minorHAnsi"/>
          <w:sz w:val="24"/>
          <w:szCs w:val="24"/>
        </w:rPr>
        <w:t>.</w:t>
      </w:r>
      <w:r w:rsidR="00F43014">
        <w:rPr>
          <w:rStyle w:val="EndnoteReference"/>
          <w:rFonts w:asciiTheme="minorHAnsi" w:hAnsiTheme="minorHAnsi"/>
          <w:sz w:val="24"/>
          <w:szCs w:val="24"/>
        </w:rPr>
        <w:endnoteReference w:id="61"/>
      </w:r>
      <w:r w:rsidR="00B20DFF">
        <w:rPr>
          <w:rFonts w:asciiTheme="minorHAnsi" w:hAnsiTheme="minorHAnsi"/>
          <w:sz w:val="24"/>
          <w:szCs w:val="24"/>
        </w:rPr>
        <w:t xml:space="preserve"> </w:t>
      </w:r>
      <w:r w:rsidR="00F1768C">
        <w:rPr>
          <w:rFonts w:asciiTheme="minorHAnsi" w:hAnsiTheme="minorHAnsi"/>
          <w:sz w:val="24"/>
          <w:szCs w:val="24"/>
        </w:rPr>
        <w:t>Claiming</w:t>
      </w:r>
      <w:r w:rsidR="00932CE1">
        <w:rPr>
          <w:rFonts w:asciiTheme="minorHAnsi" w:hAnsiTheme="minorHAnsi"/>
          <w:sz w:val="24"/>
          <w:szCs w:val="24"/>
        </w:rPr>
        <w:t xml:space="preserve"> further differentiation than Freud, Ferenczi suggests two catastrophes – the first prompts a division between </w:t>
      </w:r>
      <w:r w:rsidR="007312B9">
        <w:rPr>
          <w:rFonts w:asciiTheme="minorHAnsi" w:hAnsiTheme="minorHAnsi"/>
          <w:sz w:val="24"/>
          <w:szCs w:val="24"/>
        </w:rPr>
        <w:t xml:space="preserve">inorganic and </w:t>
      </w:r>
      <w:r w:rsidR="00932CE1">
        <w:rPr>
          <w:rFonts w:asciiTheme="minorHAnsi" w:hAnsiTheme="minorHAnsi"/>
          <w:sz w:val="24"/>
          <w:szCs w:val="24"/>
        </w:rPr>
        <w:t xml:space="preserve">organic, the second introduces that of sexual difference.  </w:t>
      </w:r>
      <w:r w:rsidR="00FE35E4">
        <w:rPr>
          <w:rFonts w:asciiTheme="minorHAnsi" w:hAnsiTheme="minorHAnsi"/>
          <w:sz w:val="24"/>
          <w:szCs w:val="24"/>
        </w:rPr>
        <w:t>SF tries again invoking the</w:t>
      </w:r>
      <w:r w:rsidR="00930415">
        <w:rPr>
          <w:rFonts w:asciiTheme="minorHAnsi" w:hAnsiTheme="minorHAnsi"/>
          <w:sz w:val="24"/>
          <w:szCs w:val="24"/>
        </w:rPr>
        <w:t xml:space="preserve"> ‘fanciful’ ideas of Wilhelm B</w:t>
      </w:r>
      <w:r w:rsidR="005226B2">
        <w:rPr>
          <w:rFonts w:ascii="Cambria" w:hAnsi="Cambria"/>
          <w:sz w:val="24"/>
          <w:szCs w:val="24"/>
        </w:rPr>
        <w:t>ö</w:t>
      </w:r>
      <w:r w:rsidR="00930415">
        <w:rPr>
          <w:rFonts w:asciiTheme="minorHAnsi" w:hAnsiTheme="minorHAnsi"/>
          <w:sz w:val="24"/>
          <w:szCs w:val="24"/>
        </w:rPr>
        <w:t>lsche</w:t>
      </w:r>
      <w:r w:rsidR="00FE35E4">
        <w:rPr>
          <w:rFonts w:asciiTheme="minorHAnsi" w:hAnsiTheme="minorHAnsi"/>
          <w:sz w:val="24"/>
          <w:szCs w:val="24"/>
        </w:rPr>
        <w:t xml:space="preserve"> who speculated that ‘[w]</w:t>
      </w:r>
      <w:r w:rsidR="00FE35E4" w:rsidRPr="00FE35E4">
        <w:rPr>
          <w:rFonts w:asciiTheme="minorHAnsi" w:hAnsiTheme="minorHAnsi"/>
          <w:sz w:val="24"/>
          <w:szCs w:val="24"/>
        </w:rPr>
        <w:t>ith the firstlings of life there was no opposition between eating and love; eating was a purely logical condition of love.</w:t>
      </w:r>
      <w:r w:rsidR="00FE35E4">
        <w:rPr>
          <w:rFonts w:asciiTheme="minorHAnsi" w:hAnsiTheme="minorHAnsi"/>
          <w:sz w:val="24"/>
          <w:szCs w:val="24"/>
        </w:rPr>
        <w:t>’</w:t>
      </w:r>
      <w:r w:rsidR="00FE35E4">
        <w:rPr>
          <w:rStyle w:val="EndnoteReference"/>
          <w:rFonts w:asciiTheme="minorHAnsi" w:hAnsiTheme="minorHAnsi"/>
          <w:sz w:val="24"/>
          <w:szCs w:val="24"/>
        </w:rPr>
        <w:endnoteReference w:id="62"/>
      </w:r>
      <w:r w:rsidR="00FE35E4">
        <w:rPr>
          <w:rFonts w:asciiTheme="minorHAnsi" w:hAnsiTheme="minorHAnsi"/>
          <w:sz w:val="24"/>
          <w:szCs w:val="24"/>
        </w:rPr>
        <w:t xml:space="preserve"> </w:t>
      </w:r>
      <w:r w:rsidR="007312B9">
        <w:rPr>
          <w:rFonts w:asciiTheme="minorHAnsi" w:hAnsiTheme="minorHAnsi"/>
          <w:sz w:val="24"/>
          <w:szCs w:val="24"/>
        </w:rPr>
        <w:t>In the race to the land b</w:t>
      </w:r>
      <w:r w:rsidR="00930415">
        <w:rPr>
          <w:rFonts w:asciiTheme="minorHAnsi" w:hAnsiTheme="minorHAnsi"/>
          <w:sz w:val="24"/>
          <w:szCs w:val="24"/>
        </w:rPr>
        <w:t>efore the pleasure principle, Ferenczi</w:t>
      </w:r>
      <w:r w:rsidR="007312B9">
        <w:rPr>
          <w:rFonts w:asciiTheme="minorHAnsi" w:hAnsiTheme="minorHAnsi"/>
          <w:sz w:val="24"/>
          <w:szCs w:val="24"/>
        </w:rPr>
        <w:t xml:space="preserve"> hypothesises an ‘even more archaic cataclysm’  - more archaic than coitus – that obliged ‘unicellular organisms […] to eat each other up, in such a manner that no one of the participants in the struggle succeeded in annihilating its opponent.’</w:t>
      </w:r>
      <w:r w:rsidR="006E71E7">
        <w:rPr>
          <w:rStyle w:val="EndnoteReference"/>
          <w:rFonts w:asciiTheme="minorHAnsi" w:hAnsiTheme="minorHAnsi"/>
          <w:sz w:val="24"/>
          <w:szCs w:val="24"/>
        </w:rPr>
        <w:endnoteReference w:id="63"/>
      </w:r>
      <w:r w:rsidR="007312B9">
        <w:rPr>
          <w:rFonts w:asciiTheme="minorHAnsi" w:hAnsiTheme="minorHAnsi"/>
          <w:sz w:val="24"/>
          <w:szCs w:val="24"/>
        </w:rPr>
        <w:t xml:space="preserve"> </w:t>
      </w:r>
      <w:r w:rsidR="00774CCB">
        <w:rPr>
          <w:rFonts w:asciiTheme="minorHAnsi" w:hAnsiTheme="minorHAnsi"/>
          <w:sz w:val="24"/>
          <w:szCs w:val="24"/>
        </w:rPr>
        <w:t>Finessing B</w:t>
      </w:r>
      <w:r w:rsidR="008D7783">
        <w:rPr>
          <w:rFonts w:ascii="Cambria" w:hAnsi="Cambria"/>
          <w:sz w:val="24"/>
          <w:szCs w:val="24"/>
        </w:rPr>
        <w:t>ö</w:t>
      </w:r>
      <w:r w:rsidR="00774CCB">
        <w:rPr>
          <w:rFonts w:asciiTheme="minorHAnsi" w:hAnsiTheme="minorHAnsi"/>
          <w:sz w:val="24"/>
          <w:szCs w:val="24"/>
        </w:rPr>
        <w:t xml:space="preserve">lsche’s incorporation of Ernst Haeckel’s ‘gastraea’ or </w:t>
      </w:r>
      <w:r w:rsidR="009E7DE3">
        <w:rPr>
          <w:rFonts w:asciiTheme="minorHAnsi" w:hAnsiTheme="minorHAnsi"/>
          <w:sz w:val="24"/>
          <w:szCs w:val="24"/>
        </w:rPr>
        <w:t xml:space="preserve">primitive stomach produced through the invagination of </w:t>
      </w:r>
      <w:r w:rsidR="008D795A">
        <w:rPr>
          <w:rFonts w:asciiTheme="minorHAnsi" w:hAnsiTheme="minorHAnsi"/>
          <w:sz w:val="24"/>
          <w:szCs w:val="24"/>
        </w:rPr>
        <w:t>the zygote of multicellular organisms, Ferenczi</w:t>
      </w:r>
      <w:r w:rsidR="00E42E27">
        <w:rPr>
          <w:rFonts w:asciiTheme="minorHAnsi" w:hAnsiTheme="minorHAnsi"/>
          <w:sz w:val="24"/>
          <w:szCs w:val="24"/>
        </w:rPr>
        <w:t xml:space="preserve"> conjures this mutually beneficial commensality as a prelude </w:t>
      </w:r>
      <w:r w:rsidR="0002072F">
        <w:rPr>
          <w:rFonts w:asciiTheme="minorHAnsi" w:hAnsiTheme="minorHAnsi"/>
          <w:sz w:val="24"/>
          <w:szCs w:val="24"/>
        </w:rPr>
        <w:t>to the production of sexually differentiated cells - germ cells, though what pressures this production he does not say</w:t>
      </w:r>
      <w:r w:rsidR="0013360B">
        <w:rPr>
          <w:rFonts w:asciiTheme="minorHAnsi" w:hAnsiTheme="minorHAnsi"/>
          <w:sz w:val="24"/>
          <w:szCs w:val="24"/>
        </w:rPr>
        <w:t>.</w:t>
      </w:r>
      <w:r w:rsidR="00252D6B">
        <w:rPr>
          <w:rStyle w:val="EndnoteReference"/>
          <w:rFonts w:asciiTheme="minorHAnsi" w:hAnsiTheme="minorHAnsi"/>
          <w:sz w:val="24"/>
          <w:szCs w:val="24"/>
        </w:rPr>
        <w:endnoteReference w:id="64"/>
      </w:r>
      <w:r w:rsidR="00A33BBF">
        <w:rPr>
          <w:rFonts w:asciiTheme="minorHAnsi" w:hAnsiTheme="minorHAnsi"/>
          <w:sz w:val="24"/>
          <w:szCs w:val="24"/>
        </w:rPr>
        <w:t xml:space="preserve"> </w:t>
      </w:r>
      <w:r w:rsidR="005468CC">
        <w:rPr>
          <w:rFonts w:asciiTheme="minorHAnsi" w:hAnsiTheme="minorHAnsi"/>
          <w:sz w:val="24"/>
          <w:szCs w:val="24"/>
        </w:rPr>
        <w:t xml:space="preserve">This </w:t>
      </w:r>
      <w:r w:rsidR="00736175">
        <w:rPr>
          <w:rFonts w:asciiTheme="minorHAnsi" w:hAnsiTheme="minorHAnsi"/>
          <w:sz w:val="24"/>
          <w:szCs w:val="24"/>
        </w:rPr>
        <w:t>‘</w:t>
      </w:r>
      <w:r w:rsidR="005468CC">
        <w:rPr>
          <w:rFonts w:asciiTheme="minorHAnsi" w:hAnsiTheme="minorHAnsi"/>
          <w:sz w:val="24"/>
          <w:szCs w:val="24"/>
        </w:rPr>
        <w:t>more archaic</w:t>
      </w:r>
      <w:r w:rsidR="00736175">
        <w:rPr>
          <w:rFonts w:asciiTheme="minorHAnsi" w:hAnsiTheme="minorHAnsi"/>
          <w:sz w:val="24"/>
          <w:szCs w:val="24"/>
        </w:rPr>
        <w:t>’</w:t>
      </w:r>
      <w:r w:rsidR="005468CC">
        <w:rPr>
          <w:rFonts w:asciiTheme="minorHAnsi" w:hAnsiTheme="minorHAnsi"/>
          <w:sz w:val="24"/>
          <w:szCs w:val="24"/>
        </w:rPr>
        <w:t xml:space="preserve"> cataclysm that obliges entities to eat each other</w:t>
      </w:r>
      <w:r w:rsidR="00736175">
        <w:rPr>
          <w:rFonts w:asciiTheme="minorHAnsi" w:hAnsiTheme="minorHAnsi"/>
          <w:sz w:val="24"/>
          <w:szCs w:val="24"/>
        </w:rPr>
        <w:t xml:space="preserve"> does so without murder, miraculously enough</w:t>
      </w:r>
      <w:r w:rsidR="00287497">
        <w:rPr>
          <w:rFonts w:asciiTheme="minorHAnsi" w:hAnsiTheme="minorHAnsi"/>
          <w:sz w:val="24"/>
          <w:szCs w:val="24"/>
        </w:rPr>
        <w:t xml:space="preserve"> for an origin story</w:t>
      </w:r>
      <w:r w:rsidR="00781CC4">
        <w:rPr>
          <w:rFonts w:asciiTheme="minorHAnsi" w:hAnsiTheme="minorHAnsi"/>
          <w:sz w:val="24"/>
          <w:szCs w:val="24"/>
        </w:rPr>
        <w:t>.  Y</w:t>
      </w:r>
      <w:r w:rsidR="00736175">
        <w:rPr>
          <w:rFonts w:asciiTheme="minorHAnsi" w:hAnsiTheme="minorHAnsi"/>
          <w:sz w:val="24"/>
          <w:szCs w:val="24"/>
        </w:rPr>
        <w:t xml:space="preserve">et </w:t>
      </w:r>
      <w:r w:rsidR="00287497">
        <w:rPr>
          <w:rFonts w:asciiTheme="minorHAnsi" w:hAnsiTheme="minorHAnsi"/>
          <w:sz w:val="24"/>
          <w:szCs w:val="24"/>
        </w:rPr>
        <w:t xml:space="preserve">it </w:t>
      </w:r>
      <w:r w:rsidR="00736175">
        <w:rPr>
          <w:rFonts w:asciiTheme="minorHAnsi" w:hAnsiTheme="minorHAnsi"/>
          <w:sz w:val="24"/>
          <w:szCs w:val="24"/>
        </w:rPr>
        <w:t>is framed as the anti</w:t>
      </w:r>
      <w:r w:rsidR="00287497">
        <w:rPr>
          <w:rFonts w:asciiTheme="minorHAnsi" w:hAnsiTheme="minorHAnsi"/>
          <w:sz w:val="24"/>
          <w:szCs w:val="24"/>
        </w:rPr>
        <w:t xml:space="preserve">cipation of sexual reproduction and one whose struggle, as accounted for in </w:t>
      </w:r>
      <w:r w:rsidR="00287497" w:rsidRPr="00287497">
        <w:rPr>
          <w:rFonts w:asciiTheme="minorHAnsi" w:hAnsiTheme="minorHAnsi"/>
          <w:i/>
          <w:sz w:val="24"/>
          <w:szCs w:val="24"/>
        </w:rPr>
        <w:t>Thalassa</w:t>
      </w:r>
      <w:r w:rsidR="00287497">
        <w:rPr>
          <w:rFonts w:asciiTheme="minorHAnsi" w:hAnsiTheme="minorHAnsi"/>
          <w:sz w:val="24"/>
          <w:szCs w:val="24"/>
        </w:rPr>
        <w:t xml:space="preserve">, is far less agreeable. </w:t>
      </w:r>
    </w:p>
    <w:p w14:paraId="68844DDD" w14:textId="77777777" w:rsidR="00287497" w:rsidRDefault="00287497">
      <w:pPr>
        <w:rPr>
          <w:rFonts w:asciiTheme="minorHAnsi" w:hAnsiTheme="minorHAnsi"/>
          <w:sz w:val="24"/>
          <w:szCs w:val="24"/>
        </w:rPr>
      </w:pPr>
    </w:p>
    <w:p w14:paraId="1BFADA66" w14:textId="47DEECED" w:rsidR="00E96AD7" w:rsidRDefault="00287497">
      <w:pPr>
        <w:rPr>
          <w:rFonts w:asciiTheme="minorHAnsi" w:hAnsiTheme="minorHAnsi"/>
          <w:sz w:val="24"/>
          <w:szCs w:val="24"/>
        </w:rPr>
      </w:pPr>
      <w:r>
        <w:rPr>
          <w:rFonts w:asciiTheme="minorHAnsi" w:hAnsiTheme="minorHAnsi"/>
          <w:sz w:val="24"/>
          <w:szCs w:val="24"/>
        </w:rPr>
        <w:t xml:space="preserve">More curiously, </w:t>
      </w:r>
      <w:r w:rsidR="00E96AD7">
        <w:rPr>
          <w:rFonts w:asciiTheme="minorHAnsi" w:hAnsiTheme="minorHAnsi"/>
          <w:sz w:val="24"/>
          <w:szCs w:val="24"/>
        </w:rPr>
        <w:t xml:space="preserve">eating </w:t>
      </w:r>
      <w:r w:rsidR="005625FE">
        <w:rPr>
          <w:rFonts w:asciiTheme="minorHAnsi" w:hAnsiTheme="minorHAnsi"/>
          <w:sz w:val="24"/>
          <w:szCs w:val="24"/>
        </w:rPr>
        <w:t>figures</w:t>
      </w:r>
      <w:r w:rsidR="00E96AD7">
        <w:rPr>
          <w:rFonts w:asciiTheme="minorHAnsi" w:hAnsiTheme="minorHAnsi"/>
          <w:sz w:val="24"/>
          <w:szCs w:val="24"/>
        </w:rPr>
        <w:t xml:space="preserve"> again </w:t>
      </w:r>
      <w:r>
        <w:rPr>
          <w:rFonts w:asciiTheme="minorHAnsi" w:hAnsiTheme="minorHAnsi"/>
          <w:sz w:val="24"/>
          <w:szCs w:val="24"/>
        </w:rPr>
        <w:t>in the book’s final chapter</w:t>
      </w:r>
      <w:r w:rsidR="00D74E74">
        <w:rPr>
          <w:rFonts w:asciiTheme="minorHAnsi" w:hAnsiTheme="minorHAnsi"/>
          <w:sz w:val="24"/>
          <w:szCs w:val="24"/>
        </w:rPr>
        <w:t>.</w:t>
      </w:r>
      <w:r>
        <w:rPr>
          <w:rFonts w:asciiTheme="minorHAnsi" w:hAnsiTheme="minorHAnsi"/>
          <w:sz w:val="24"/>
          <w:szCs w:val="24"/>
        </w:rPr>
        <w:t xml:space="preserve"> </w:t>
      </w:r>
      <w:r w:rsidR="00D74E74">
        <w:rPr>
          <w:rFonts w:asciiTheme="minorHAnsi" w:hAnsiTheme="minorHAnsi"/>
          <w:sz w:val="24"/>
          <w:szCs w:val="24"/>
        </w:rPr>
        <w:t>A</w:t>
      </w:r>
      <w:r>
        <w:rPr>
          <w:rFonts w:asciiTheme="minorHAnsi" w:hAnsiTheme="minorHAnsi"/>
          <w:sz w:val="24"/>
          <w:szCs w:val="24"/>
        </w:rPr>
        <w:t xml:space="preserve">fter passages that offer </w:t>
      </w:r>
      <w:r w:rsidR="00E116CB">
        <w:rPr>
          <w:rFonts w:asciiTheme="minorHAnsi" w:hAnsiTheme="minorHAnsi"/>
          <w:sz w:val="24"/>
          <w:szCs w:val="24"/>
        </w:rPr>
        <w:t>greater</w:t>
      </w:r>
      <w:r>
        <w:rPr>
          <w:rFonts w:asciiTheme="minorHAnsi" w:hAnsiTheme="minorHAnsi"/>
          <w:sz w:val="24"/>
          <w:szCs w:val="24"/>
        </w:rPr>
        <w:t xml:space="preserve"> consonance with the athetic non-oppositional relation of life and death on which Derrida speculates</w:t>
      </w:r>
      <w:r w:rsidR="007B271E">
        <w:rPr>
          <w:rFonts w:asciiTheme="minorHAnsi" w:hAnsiTheme="minorHAnsi"/>
          <w:sz w:val="24"/>
          <w:szCs w:val="24"/>
        </w:rPr>
        <w:t xml:space="preserve"> –</w:t>
      </w:r>
      <w:r w:rsidR="00E96AD7">
        <w:rPr>
          <w:rFonts w:asciiTheme="minorHAnsi" w:hAnsiTheme="minorHAnsi"/>
          <w:sz w:val="24"/>
          <w:szCs w:val="24"/>
        </w:rPr>
        <w:t xml:space="preserve"> </w:t>
      </w:r>
    </w:p>
    <w:p w14:paraId="7E735D1A" w14:textId="23DF010E" w:rsidR="00287497" w:rsidRPr="00990728" w:rsidRDefault="007B271E" w:rsidP="00E96AD7">
      <w:pPr>
        <w:ind w:left="720"/>
        <w:rPr>
          <w:rFonts w:asciiTheme="minorHAnsi" w:hAnsiTheme="minorHAnsi"/>
          <w:sz w:val="24"/>
          <w:szCs w:val="24"/>
        </w:rPr>
      </w:pPr>
      <w:r>
        <w:rPr>
          <w:rFonts w:asciiTheme="minorHAnsi" w:hAnsiTheme="minorHAnsi"/>
          <w:sz w:val="24"/>
          <w:szCs w:val="24"/>
        </w:rPr>
        <w:t xml:space="preserve">What if […] death and dying were not anything absolute, if germs of life and regressive tendencies lay hidden even within inorganic matter […] we should have to drop once </w:t>
      </w:r>
      <w:r w:rsidR="00872FC7">
        <w:rPr>
          <w:rFonts w:asciiTheme="minorHAnsi" w:hAnsiTheme="minorHAnsi"/>
          <w:sz w:val="24"/>
          <w:szCs w:val="24"/>
        </w:rPr>
        <w:t>and for all the question of the beginning and end of life, and conceive the whole inorganic and organic world as a perpetual oscillating between the will to live and the will to die</w:t>
      </w:r>
      <w:r w:rsidR="00E96AD7">
        <w:rPr>
          <w:rFonts w:asciiTheme="minorHAnsi" w:hAnsiTheme="minorHAnsi"/>
          <w:sz w:val="24"/>
          <w:szCs w:val="24"/>
        </w:rPr>
        <w:t xml:space="preserve"> in which an absolute hegemony on the part of either of life or of death is never attained</w:t>
      </w:r>
      <w:r w:rsidR="00E96AD7">
        <w:rPr>
          <w:rStyle w:val="EndnoteReference"/>
          <w:rFonts w:asciiTheme="minorHAnsi" w:hAnsiTheme="minorHAnsi"/>
          <w:sz w:val="24"/>
          <w:szCs w:val="24"/>
        </w:rPr>
        <w:endnoteReference w:id="65"/>
      </w:r>
    </w:p>
    <w:p w14:paraId="28EEE149" w14:textId="139B306E" w:rsidR="00114787" w:rsidRDefault="00B776C7">
      <w:pPr>
        <w:rPr>
          <w:rFonts w:asciiTheme="minorHAnsi" w:hAnsiTheme="minorHAnsi"/>
          <w:sz w:val="24"/>
          <w:szCs w:val="24"/>
        </w:rPr>
      </w:pPr>
      <w:r>
        <w:rPr>
          <w:rFonts w:asciiTheme="minorHAnsi" w:hAnsiTheme="minorHAnsi"/>
          <w:sz w:val="24"/>
          <w:szCs w:val="24"/>
        </w:rPr>
        <w:t xml:space="preserve">– </w:t>
      </w:r>
      <w:r w:rsidR="00D74E74">
        <w:rPr>
          <w:rFonts w:asciiTheme="minorHAnsi" w:hAnsiTheme="minorHAnsi"/>
          <w:sz w:val="24"/>
          <w:szCs w:val="24"/>
        </w:rPr>
        <w:t xml:space="preserve"> and </w:t>
      </w:r>
      <w:r w:rsidR="00114787">
        <w:rPr>
          <w:rFonts w:asciiTheme="minorHAnsi" w:hAnsiTheme="minorHAnsi"/>
          <w:sz w:val="24"/>
          <w:szCs w:val="24"/>
        </w:rPr>
        <w:t xml:space="preserve">immediately preceding the summation of </w:t>
      </w:r>
      <w:r w:rsidR="00D74E74">
        <w:rPr>
          <w:rFonts w:asciiTheme="minorHAnsi" w:hAnsiTheme="minorHAnsi"/>
          <w:sz w:val="24"/>
          <w:szCs w:val="24"/>
        </w:rPr>
        <w:t>SF in his fairy tale,</w:t>
      </w:r>
      <w:r w:rsidR="00114787">
        <w:rPr>
          <w:rFonts w:asciiTheme="minorHAnsi" w:hAnsiTheme="minorHAnsi"/>
          <w:sz w:val="24"/>
          <w:szCs w:val="24"/>
        </w:rPr>
        <w:t xml:space="preserve"> Ferenczi blurts out: </w:t>
      </w:r>
      <w:r w:rsidR="00E116CB">
        <w:rPr>
          <w:rFonts w:asciiTheme="minorHAnsi" w:hAnsiTheme="minorHAnsi"/>
          <w:sz w:val="24"/>
          <w:szCs w:val="24"/>
        </w:rPr>
        <w:t>‘[A]</w:t>
      </w:r>
      <w:r w:rsidR="00F91A9E">
        <w:rPr>
          <w:rFonts w:asciiTheme="minorHAnsi" w:hAnsiTheme="minorHAnsi"/>
          <w:sz w:val="24"/>
          <w:szCs w:val="24"/>
        </w:rPr>
        <w:t>ppetite comes with eating!’</w:t>
      </w:r>
      <w:r w:rsidR="00F91A9E">
        <w:rPr>
          <w:rStyle w:val="EndnoteReference"/>
          <w:rFonts w:asciiTheme="minorHAnsi" w:hAnsiTheme="minorHAnsi"/>
          <w:sz w:val="24"/>
          <w:szCs w:val="24"/>
        </w:rPr>
        <w:endnoteReference w:id="66"/>
      </w:r>
      <w:r w:rsidR="00114787">
        <w:rPr>
          <w:rFonts w:asciiTheme="minorHAnsi" w:hAnsiTheme="minorHAnsi"/>
          <w:sz w:val="24"/>
          <w:szCs w:val="24"/>
        </w:rPr>
        <w:t xml:space="preserve"> This </w:t>
      </w:r>
      <w:r w:rsidR="001B5F05">
        <w:rPr>
          <w:rFonts w:asciiTheme="minorHAnsi" w:hAnsiTheme="minorHAnsi"/>
          <w:sz w:val="24"/>
          <w:szCs w:val="24"/>
        </w:rPr>
        <w:t xml:space="preserve">–whatever this is – </w:t>
      </w:r>
      <w:r w:rsidR="00114787">
        <w:rPr>
          <w:rFonts w:asciiTheme="minorHAnsi" w:hAnsiTheme="minorHAnsi"/>
          <w:sz w:val="24"/>
          <w:szCs w:val="24"/>
        </w:rPr>
        <w:t>is immediately retracted for fear of the ‘unacceptability’ of ‘piling hypothesis upon hypothesis’</w:t>
      </w:r>
      <w:r w:rsidR="00671466">
        <w:rPr>
          <w:rFonts w:asciiTheme="minorHAnsi" w:hAnsiTheme="minorHAnsi"/>
          <w:sz w:val="24"/>
          <w:szCs w:val="24"/>
        </w:rPr>
        <w:t xml:space="preserve">, even as the pleasures </w:t>
      </w:r>
      <w:r w:rsidR="00197439">
        <w:rPr>
          <w:rFonts w:asciiTheme="minorHAnsi" w:hAnsiTheme="minorHAnsi"/>
          <w:sz w:val="24"/>
          <w:szCs w:val="24"/>
        </w:rPr>
        <w:t>of which the</w:t>
      </w:r>
      <w:r w:rsidR="00671466">
        <w:rPr>
          <w:rFonts w:asciiTheme="minorHAnsi" w:hAnsiTheme="minorHAnsi"/>
          <w:sz w:val="24"/>
          <w:szCs w:val="24"/>
        </w:rPr>
        <w:t xml:space="preserve"> proverb </w:t>
      </w:r>
      <w:r w:rsidR="00197439">
        <w:rPr>
          <w:rFonts w:asciiTheme="minorHAnsi" w:hAnsiTheme="minorHAnsi"/>
          <w:sz w:val="24"/>
          <w:szCs w:val="24"/>
        </w:rPr>
        <w:t>speaks confirm</w:t>
      </w:r>
      <w:r w:rsidR="00820E2C">
        <w:rPr>
          <w:rFonts w:asciiTheme="minorHAnsi" w:hAnsiTheme="minorHAnsi"/>
          <w:sz w:val="24"/>
          <w:szCs w:val="24"/>
        </w:rPr>
        <w:t>s</w:t>
      </w:r>
      <w:r w:rsidR="00197439">
        <w:rPr>
          <w:rFonts w:asciiTheme="minorHAnsi" w:hAnsiTheme="minorHAnsi"/>
          <w:sz w:val="24"/>
          <w:szCs w:val="24"/>
        </w:rPr>
        <w:t xml:space="preserve"> the PP</w:t>
      </w:r>
      <w:r w:rsidR="00820E2C">
        <w:rPr>
          <w:rFonts w:asciiTheme="minorHAnsi" w:hAnsiTheme="minorHAnsi"/>
          <w:sz w:val="24"/>
          <w:szCs w:val="24"/>
        </w:rPr>
        <w:t>, while exceeding the peepee</w:t>
      </w:r>
      <w:r w:rsidR="00114787">
        <w:rPr>
          <w:rFonts w:asciiTheme="minorHAnsi" w:hAnsiTheme="minorHAnsi"/>
          <w:sz w:val="24"/>
          <w:szCs w:val="24"/>
        </w:rPr>
        <w:t>.</w:t>
      </w:r>
      <w:r w:rsidR="00310222">
        <w:rPr>
          <w:rFonts w:asciiTheme="minorHAnsi" w:hAnsiTheme="minorHAnsi"/>
          <w:sz w:val="24"/>
          <w:szCs w:val="24"/>
        </w:rPr>
        <w:t xml:space="preserve"> Its unclear whether SF refers to the ingestion of food, or whether the proverb is meant only to </w:t>
      </w:r>
      <w:r w:rsidR="00732E88">
        <w:rPr>
          <w:rFonts w:asciiTheme="minorHAnsi" w:hAnsiTheme="minorHAnsi"/>
          <w:sz w:val="24"/>
          <w:szCs w:val="24"/>
        </w:rPr>
        <w:t>operate</w:t>
      </w:r>
      <w:r w:rsidR="00310222">
        <w:rPr>
          <w:rFonts w:asciiTheme="minorHAnsi" w:hAnsiTheme="minorHAnsi"/>
          <w:sz w:val="24"/>
          <w:szCs w:val="24"/>
        </w:rPr>
        <w:t xml:space="preserve"> metaphorically and eating serves as a figure </w:t>
      </w:r>
      <w:r w:rsidR="00732E88">
        <w:rPr>
          <w:rFonts w:asciiTheme="minorHAnsi" w:hAnsiTheme="minorHAnsi"/>
          <w:sz w:val="24"/>
          <w:szCs w:val="24"/>
        </w:rPr>
        <w:t xml:space="preserve">for any pleasure. </w:t>
      </w:r>
      <w:r w:rsidR="00264D2E">
        <w:rPr>
          <w:rFonts w:asciiTheme="minorHAnsi" w:hAnsiTheme="minorHAnsi"/>
          <w:sz w:val="24"/>
          <w:szCs w:val="24"/>
        </w:rPr>
        <w:t>Whether eating could</w:t>
      </w:r>
      <w:r w:rsidR="003950A3">
        <w:rPr>
          <w:rFonts w:asciiTheme="minorHAnsi" w:hAnsiTheme="minorHAnsi"/>
          <w:sz w:val="24"/>
          <w:szCs w:val="24"/>
        </w:rPr>
        <w:t xml:space="preserve"> sustain a distinction between the literal and the figural</w:t>
      </w:r>
      <w:r w:rsidR="0053170A">
        <w:rPr>
          <w:rFonts w:asciiTheme="minorHAnsi" w:hAnsiTheme="minorHAnsi"/>
          <w:sz w:val="24"/>
          <w:szCs w:val="24"/>
        </w:rPr>
        <w:t>,</w:t>
      </w:r>
      <w:r w:rsidR="003950A3">
        <w:rPr>
          <w:rFonts w:asciiTheme="minorHAnsi" w:hAnsiTheme="minorHAnsi"/>
          <w:sz w:val="24"/>
          <w:szCs w:val="24"/>
        </w:rPr>
        <w:t xml:space="preserve"> however</w:t>
      </w:r>
      <w:r w:rsidR="0053170A">
        <w:rPr>
          <w:rFonts w:asciiTheme="minorHAnsi" w:hAnsiTheme="minorHAnsi"/>
          <w:sz w:val="24"/>
          <w:szCs w:val="24"/>
        </w:rPr>
        <w:t>,</w:t>
      </w:r>
      <w:r w:rsidR="003950A3">
        <w:rPr>
          <w:rFonts w:asciiTheme="minorHAnsi" w:hAnsiTheme="minorHAnsi"/>
          <w:sz w:val="24"/>
          <w:szCs w:val="24"/>
        </w:rPr>
        <w:t xml:space="preserve"> is</w:t>
      </w:r>
      <w:r w:rsidR="00A22E7C">
        <w:rPr>
          <w:rFonts w:asciiTheme="minorHAnsi" w:hAnsiTheme="minorHAnsi"/>
          <w:sz w:val="24"/>
          <w:szCs w:val="24"/>
        </w:rPr>
        <w:t xml:space="preserve"> something that</w:t>
      </w:r>
      <w:r w:rsidR="003950A3">
        <w:rPr>
          <w:rFonts w:asciiTheme="minorHAnsi" w:hAnsiTheme="minorHAnsi"/>
          <w:sz w:val="24"/>
          <w:szCs w:val="24"/>
        </w:rPr>
        <w:t xml:space="preserve"> </w:t>
      </w:r>
      <w:r w:rsidR="00A22E7C">
        <w:rPr>
          <w:rFonts w:asciiTheme="minorHAnsi" w:hAnsiTheme="minorHAnsi"/>
          <w:sz w:val="24"/>
          <w:szCs w:val="24"/>
        </w:rPr>
        <w:t>both Derrida and Wilson put into doubt</w:t>
      </w:r>
      <w:r w:rsidR="003950A3">
        <w:rPr>
          <w:rFonts w:asciiTheme="minorHAnsi" w:hAnsiTheme="minorHAnsi"/>
          <w:sz w:val="24"/>
          <w:szCs w:val="24"/>
        </w:rPr>
        <w:t>.</w:t>
      </w:r>
    </w:p>
    <w:p w14:paraId="4F588207" w14:textId="6F4575D3" w:rsidR="00171E43" w:rsidRDefault="00114787">
      <w:pPr>
        <w:rPr>
          <w:rFonts w:asciiTheme="minorHAnsi" w:hAnsiTheme="minorHAnsi"/>
          <w:sz w:val="24"/>
          <w:szCs w:val="24"/>
        </w:rPr>
      </w:pPr>
      <w:r>
        <w:rPr>
          <w:rFonts w:asciiTheme="minorHAnsi" w:hAnsiTheme="minorHAnsi"/>
          <w:sz w:val="24"/>
          <w:szCs w:val="24"/>
        </w:rPr>
        <w:t xml:space="preserve"> </w:t>
      </w:r>
    </w:p>
    <w:p w14:paraId="6C9978EF" w14:textId="56C15A44" w:rsidR="00206119" w:rsidRDefault="00206119" w:rsidP="00206119">
      <w:pPr>
        <w:jc w:val="center"/>
        <w:rPr>
          <w:rFonts w:asciiTheme="minorHAnsi" w:hAnsiTheme="minorHAnsi"/>
          <w:b/>
          <w:sz w:val="24"/>
          <w:szCs w:val="24"/>
        </w:rPr>
      </w:pPr>
      <w:r w:rsidRPr="00206119">
        <w:rPr>
          <w:rFonts w:asciiTheme="minorHAnsi" w:hAnsiTheme="minorHAnsi"/>
          <w:b/>
          <w:sz w:val="24"/>
          <w:szCs w:val="24"/>
        </w:rPr>
        <w:t>Breach</w:t>
      </w:r>
    </w:p>
    <w:p w14:paraId="5459874F" w14:textId="77777777" w:rsidR="00206119" w:rsidRDefault="00206119">
      <w:pPr>
        <w:rPr>
          <w:rFonts w:asciiTheme="minorHAnsi" w:hAnsiTheme="minorHAnsi"/>
          <w:b/>
          <w:sz w:val="24"/>
          <w:szCs w:val="24"/>
        </w:rPr>
      </w:pPr>
    </w:p>
    <w:p w14:paraId="09A8D5B1" w14:textId="77777777" w:rsidR="00206119" w:rsidRDefault="00206119">
      <w:pPr>
        <w:rPr>
          <w:rFonts w:asciiTheme="minorHAnsi" w:hAnsiTheme="minorHAnsi"/>
          <w:b/>
          <w:sz w:val="24"/>
          <w:szCs w:val="24"/>
        </w:rPr>
      </w:pPr>
    </w:p>
    <w:p w14:paraId="7DE8FD41" w14:textId="789EDAD1" w:rsidR="00114787" w:rsidRDefault="000E0C96">
      <w:pPr>
        <w:rPr>
          <w:rFonts w:asciiTheme="minorHAnsi" w:hAnsiTheme="minorHAnsi"/>
          <w:sz w:val="24"/>
          <w:szCs w:val="24"/>
        </w:rPr>
      </w:pPr>
      <w:r>
        <w:rPr>
          <w:rFonts w:asciiTheme="minorHAnsi" w:hAnsiTheme="minorHAnsi"/>
          <w:sz w:val="24"/>
          <w:szCs w:val="24"/>
        </w:rPr>
        <w:t>“Underbelly”</w:t>
      </w:r>
      <w:r w:rsidR="00856506">
        <w:rPr>
          <w:rFonts w:asciiTheme="minorHAnsi" w:hAnsiTheme="minorHAnsi"/>
          <w:sz w:val="24"/>
          <w:szCs w:val="24"/>
        </w:rPr>
        <w:t xml:space="preserve"> parallels </w:t>
      </w:r>
      <w:r w:rsidR="00422A41">
        <w:rPr>
          <w:rFonts w:asciiTheme="minorHAnsi" w:hAnsiTheme="minorHAnsi"/>
          <w:sz w:val="24"/>
          <w:szCs w:val="24"/>
        </w:rPr>
        <w:t>the project</w:t>
      </w:r>
      <w:r>
        <w:rPr>
          <w:rFonts w:asciiTheme="minorHAnsi" w:hAnsiTheme="minorHAnsi"/>
          <w:sz w:val="24"/>
          <w:szCs w:val="24"/>
        </w:rPr>
        <w:t xml:space="preserve"> of “Gut Feminism”</w:t>
      </w:r>
      <w:r w:rsidR="00856506">
        <w:rPr>
          <w:rFonts w:asciiTheme="minorHAnsi" w:hAnsiTheme="minorHAnsi"/>
          <w:sz w:val="24"/>
          <w:szCs w:val="24"/>
        </w:rPr>
        <w:t xml:space="preserve"> in that Wilson </w:t>
      </w:r>
      <w:r w:rsidR="0065425F">
        <w:rPr>
          <w:rFonts w:asciiTheme="minorHAnsi" w:hAnsiTheme="minorHAnsi"/>
          <w:sz w:val="24"/>
          <w:szCs w:val="24"/>
        </w:rPr>
        <w:t xml:space="preserve">rehearses the denigration of the body in second wave feminism only to find a surprisingly </w:t>
      </w:r>
      <w:r w:rsidR="00DA50F1">
        <w:rPr>
          <w:rFonts w:asciiTheme="minorHAnsi" w:hAnsiTheme="minorHAnsi"/>
          <w:sz w:val="24"/>
          <w:szCs w:val="24"/>
        </w:rPr>
        <w:t>subtle</w:t>
      </w:r>
      <w:r w:rsidR="0065425F">
        <w:rPr>
          <w:rFonts w:asciiTheme="minorHAnsi" w:hAnsiTheme="minorHAnsi"/>
          <w:sz w:val="24"/>
          <w:szCs w:val="24"/>
        </w:rPr>
        <w:t xml:space="preserve"> rejoinder in the work of </w:t>
      </w:r>
      <w:r w:rsidR="003848C7">
        <w:rPr>
          <w:rFonts w:asciiTheme="minorHAnsi" w:hAnsiTheme="minorHAnsi"/>
          <w:sz w:val="24"/>
          <w:szCs w:val="24"/>
        </w:rPr>
        <w:t xml:space="preserve">Melanie </w:t>
      </w:r>
      <w:r w:rsidR="0065425F">
        <w:rPr>
          <w:rFonts w:asciiTheme="minorHAnsi" w:hAnsiTheme="minorHAnsi"/>
          <w:sz w:val="24"/>
          <w:szCs w:val="24"/>
        </w:rPr>
        <w:t>Klein (one of Ferenczi’s ‘most famous analysands,’ as she remarks, and as such breaches the house of SF herself).</w:t>
      </w:r>
      <w:r w:rsidR="0065425F">
        <w:rPr>
          <w:rStyle w:val="EndnoteReference"/>
          <w:rFonts w:asciiTheme="minorHAnsi" w:hAnsiTheme="minorHAnsi"/>
          <w:sz w:val="24"/>
          <w:szCs w:val="24"/>
        </w:rPr>
        <w:endnoteReference w:id="67"/>
      </w:r>
      <w:r w:rsidR="0065425F">
        <w:rPr>
          <w:rFonts w:asciiTheme="minorHAnsi" w:hAnsiTheme="minorHAnsi"/>
          <w:sz w:val="24"/>
          <w:szCs w:val="24"/>
        </w:rPr>
        <w:t xml:space="preserve"> </w:t>
      </w:r>
      <w:r w:rsidR="00581A12">
        <w:rPr>
          <w:rFonts w:asciiTheme="minorHAnsi" w:hAnsiTheme="minorHAnsi"/>
          <w:sz w:val="24"/>
          <w:szCs w:val="24"/>
        </w:rPr>
        <w:t xml:space="preserve">Gayle Rubin’s influential work on the ‘sex/gender’ distinction serves Wilson with </w:t>
      </w:r>
      <w:r w:rsidR="0002605E">
        <w:rPr>
          <w:rFonts w:asciiTheme="minorHAnsi" w:hAnsiTheme="minorHAnsi"/>
          <w:sz w:val="24"/>
          <w:szCs w:val="24"/>
        </w:rPr>
        <w:t xml:space="preserve">a classic </w:t>
      </w:r>
      <w:r w:rsidR="00994AF1">
        <w:rPr>
          <w:rFonts w:asciiTheme="minorHAnsi" w:hAnsiTheme="minorHAnsi"/>
          <w:sz w:val="24"/>
          <w:szCs w:val="24"/>
        </w:rPr>
        <w:t xml:space="preserve">anthropological </w:t>
      </w:r>
      <w:r w:rsidR="0002605E">
        <w:rPr>
          <w:rFonts w:asciiTheme="minorHAnsi" w:hAnsiTheme="minorHAnsi"/>
          <w:sz w:val="24"/>
          <w:szCs w:val="24"/>
        </w:rPr>
        <w:t>division</w:t>
      </w:r>
      <w:r w:rsidR="00581A12">
        <w:rPr>
          <w:rFonts w:asciiTheme="minorHAnsi" w:hAnsiTheme="minorHAnsi"/>
          <w:sz w:val="24"/>
          <w:szCs w:val="24"/>
        </w:rPr>
        <w:t xml:space="preserve"> </w:t>
      </w:r>
      <w:r w:rsidR="000F085D">
        <w:rPr>
          <w:rFonts w:asciiTheme="minorHAnsi" w:hAnsiTheme="minorHAnsi"/>
          <w:sz w:val="24"/>
          <w:szCs w:val="24"/>
        </w:rPr>
        <w:t>between simple hunger and complex cuisine.</w:t>
      </w:r>
      <w:r w:rsidR="000F085D">
        <w:rPr>
          <w:rStyle w:val="EndnoteReference"/>
          <w:rFonts w:asciiTheme="minorHAnsi" w:hAnsiTheme="minorHAnsi"/>
          <w:sz w:val="24"/>
          <w:szCs w:val="24"/>
        </w:rPr>
        <w:endnoteReference w:id="68"/>
      </w:r>
      <w:r w:rsidR="000F085D">
        <w:rPr>
          <w:rFonts w:asciiTheme="minorHAnsi" w:hAnsiTheme="minorHAnsi"/>
          <w:sz w:val="24"/>
          <w:szCs w:val="24"/>
        </w:rPr>
        <w:t xml:space="preserve"> Through Klein, Wilson finds it possible and desirable to argue for the belly’s complexity and participation in psychic life.</w:t>
      </w:r>
      <w:r w:rsidR="0064055B">
        <w:rPr>
          <w:rFonts w:asciiTheme="minorHAnsi" w:hAnsiTheme="minorHAnsi"/>
          <w:sz w:val="24"/>
          <w:szCs w:val="24"/>
        </w:rPr>
        <w:t xml:space="preserve"> Again this speaks to a kind of bioanalysis in which the material frequently merely assumed to support</w:t>
      </w:r>
      <w:r w:rsidR="00AC7B9B">
        <w:rPr>
          <w:rFonts w:asciiTheme="minorHAnsi" w:hAnsiTheme="minorHAnsi"/>
          <w:sz w:val="24"/>
          <w:szCs w:val="24"/>
        </w:rPr>
        <w:t xml:space="preserve"> a complex structure such as phantasy is implicated with it</w:t>
      </w:r>
      <w:r w:rsidR="00874C25">
        <w:rPr>
          <w:rFonts w:asciiTheme="minorHAnsi" w:hAnsiTheme="minorHAnsi"/>
          <w:sz w:val="24"/>
          <w:szCs w:val="24"/>
        </w:rPr>
        <w:t xml:space="preserve"> instead</w:t>
      </w:r>
      <w:r w:rsidR="00AC7B9B">
        <w:rPr>
          <w:rFonts w:asciiTheme="minorHAnsi" w:hAnsiTheme="minorHAnsi"/>
          <w:sz w:val="24"/>
          <w:szCs w:val="24"/>
        </w:rPr>
        <w:t>.</w:t>
      </w:r>
      <w:r w:rsidR="00B776C7">
        <w:rPr>
          <w:rFonts w:asciiTheme="minorHAnsi" w:hAnsiTheme="minorHAnsi"/>
          <w:sz w:val="24"/>
          <w:szCs w:val="24"/>
        </w:rPr>
        <w:t xml:space="preserve"> </w:t>
      </w:r>
      <w:r w:rsidR="003D5DCC">
        <w:rPr>
          <w:rFonts w:asciiTheme="minorHAnsi" w:hAnsiTheme="minorHAnsi"/>
          <w:sz w:val="24"/>
          <w:szCs w:val="24"/>
        </w:rPr>
        <w:t xml:space="preserve">Wilson position’s </w:t>
      </w:r>
      <w:r w:rsidR="00A3506F">
        <w:rPr>
          <w:rFonts w:asciiTheme="minorHAnsi" w:hAnsiTheme="minorHAnsi"/>
          <w:sz w:val="24"/>
          <w:szCs w:val="24"/>
        </w:rPr>
        <w:t xml:space="preserve">the </w:t>
      </w:r>
      <w:r w:rsidR="003D5DCC">
        <w:rPr>
          <w:rFonts w:asciiTheme="minorHAnsi" w:hAnsiTheme="minorHAnsi"/>
          <w:sz w:val="24"/>
          <w:szCs w:val="24"/>
        </w:rPr>
        <w:t xml:space="preserve">belly </w:t>
      </w:r>
      <w:r w:rsidR="00A3506F">
        <w:rPr>
          <w:rFonts w:asciiTheme="minorHAnsi" w:hAnsiTheme="minorHAnsi"/>
          <w:sz w:val="24"/>
          <w:szCs w:val="24"/>
        </w:rPr>
        <w:t xml:space="preserve">in Klein </w:t>
      </w:r>
      <w:r w:rsidR="003D5DCC">
        <w:rPr>
          <w:rFonts w:asciiTheme="minorHAnsi" w:hAnsiTheme="minorHAnsi"/>
          <w:sz w:val="24"/>
          <w:szCs w:val="24"/>
        </w:rPr>
        <w:t>as ‘psychically alive’ to the infant, full of good and bad object</w:t>
      </w:r>
      <w:r w:rsidR="00A979E7">
        <w:rPr>
          <w:rFonts w:asciiTheme="minorHAnsi" w:hAnsiTheme="minorHAnsi"/>
          <w:sz w:val="24"/>
          <w:szCs w:val="24"/>
        </w:rPr>
        <w:t>s</w:t>
      </w:r>
      <w:r w:rsidR="003D5DCC">
        <w:rPr>
          <w:rFonts w:asciiTheme="minorHAnsi" w:hAnsiTheme="minorHAnsi"/>
          <w:sz w:val="24"/>
          <w:szCs w:val="24"/>
        </w:rPr>
        <w:t xml:space="preserve"> introjected from the first.</w:t>
      </w:r>
      <w:r w:rsidR="003D5DCC">
        <w:rPr>
          <w:rStyle w:val="EndnoteReference"/>
          <w:rFonts w:asciiTheme="minorHAnsi" w:hAnsiTheme="minorHAnsi"/>
          <w:sz w:val="24"/>
          <w:szCs w:val="24"/>
        </w:rPr>
        <w:endnoteReference w:id="69"/>
      </w:r>
      <w:r w:rsidR="00A979E7">
        <w:rPr>
          <w:rFonts w:asciiTheme="minorHAnsi" w:hAnsiTheme="minorHAnsi"/>
          <w:sz w:val="24"/>
          <w:szCs w:val="24"/>
        </w:rPr>
        <w:t xml:space="preserve"> Klein writes:</w:t>
      </w:r>
    </w:p>
    <w:p w14:paraId="7A65F6E9" w14:textId="469FD50B" w:rsidR="0028211E" w:rsidRPr="00320D8E" w:rsidRDefault="0028211E" w:rsidP="0002605E">
      <w:pPr>
        <w:ind w:left="720"/>
        <w:rPr>
          <w:rFonts w:asciiTheme="minorHAnsi" w:hAnsiTheme="minorHAnsi"/>
          <w:sz w:val="24"/>
          <w:szCs w:val="24"/>
        </w:rPr>
      </w:pPr>
      <w:r w:rsidRPr="00320D8E">
        <w:rPr>
          <w:rFonts w:asciiTheme="minorHAnsi" w:hAnsiTheme="minorHAnsi"/>
          <w:sz w:val="24"/>
          <w:szCs w:val="24"/>
          <w:lang w:val="en-US"/>
        </w:rPr>
        <w:t xml:space="preserve">…the child receives his main satisfaction through his mouth, which therefore becomes the main channel through which the child takes in not only his food, but also in his phantasy, the whole world outside him. Not only the mouth, but to a certain degree the whole body with all its senses and functions, performs this ‘taking in’ process [...] the child breathes in, takes in through his eyes, his ears, through touch </w:t>
      </w:r>
      <w:r w:rsidR="00081715">
        <w:rPr>
          <w:rFonts w:asciiTheme="minorHAnsi" w:hAnsiTheme="minorHAnsi"/>
          <w:sz w:val="24"/>
          <w:szCs w:val="24"/>
          <w:lang w:val="en-US"/>
        </w:rPr>
        <w:t>and so on.</w:t>
      </w:r>
      <w:r w:rsidR="0002605E">
        <w:rPr>
          <w:rStyle w:val="EndnoteReference"/>
          <w:rFonts w:asciiTheme="minorHAnsi" w:hAnsiTheme="minorHAnsi"/>
          <w:sz w:val="24"/>
          <w:szCs w:val="24"/>
          <w:lang w:val="en-US"/>
        </w:rPr>
        <w:endnoteReference w:id="70"/>
      </w:r>
    </w:p>
    <w:p w14:paraId="34BE525D" w14:textId="396D4B2B" w:rsidR="0028211E" w:rsidRDefault="00081715" w:rsidP="008E77E1">
      <w:pPr>
        <w:rPr>
          <w:rFonts w:asciiTheme="minorHAnsi" w:hAnsiTheme="minorHAnsi"/>
          <w:sz w:val="24"/>
          <w:szCs w:val="24"/>
        </w:rPr>
      </w:pPr>
      <w:r w:rsidRPr="008E77E1">
        <w:rPr>
          <w:rFonts w:asciiTheme="minorHAnsi" w:hAnsiTheme="minorHAnsi"/>
          <w:sz w:val="24"/>
          <w:szCs w:val="24"/>
        </w:rPr>
        <w:t xml:space="preserve">Klein continues to activate the breast as the first object of introjection, but her ‘not only’ has already opened a path. </w:t>
      </w:r>
      <w:r w:rsidR="003D5DCC">
        <w:rPr>
          <w:rFonts w:asciiTheme="minorHAnsi" w:hAnsiTheme="minorHAnsi"/>
          <w:sz w:val="24"/>
          <w:szCs w:val="24"/>
        </w:rPr>
        <w:t xml:space="preserve"> While Wilson maintains</w:t>
      </w:r>
      <w:r w:rsidR="001D311E">
        <w:rPr>
          <w:rFonts w:asciiTheme="minorHAnsi" w:hAnsiTheme="minorHAnsi"/>
          <w:sz w:val="24"/>
          <w:szCs w:val="24"/>
        </w:rPr>
        <w:t xml:space="preserve"> her focus upon</w:t>
      </w:r>
      <w:r w:rsidR="003D5DCC">
        <w:rPr>
          <w:rFonts w:asciiTheme="minorHAnsi" w:hAnsiTheme="minorHAnsi"/>
          <w:sz w:val="24"/>
          <w:szCs w:val="24"/>
        </w:rPr>
        <w:t xml:space="preserve"> the oral-entomological transit</w:t>
      </w:r>
      <w:r w:rsidR="00E27720">
        <w:rPr>
          <w:rFonts w:asciiTheme="minorHAnsi" w:hAnsiTheme="minorHAnsi"/>
          <w:sz w:val="24"/>
          <w:szCs w:val="24"/>
        </w:rPr>
        <w:t xml:space="preserve"> as home to numerous objects</w:t>
      </w:r>
      <w:r w:rsidR="00491192">
        <w:rPr>
          <w:rFonts w:asciiTheme="minorHAnsi" w:hAnsiTheme="minorHAnsi"/>
          <w:sz w:val="24"/>
          <w:szCs w:val="24"/>
        </w:rPr>
        <w:t xml:space="preserve"> (both phantastic and pharmaceutical)</w:t>
      </w:r>
      <w:r w:rsidR="003D5DCC">
        <w:rPr>
          <w:rFonts w:asciiTheme="minorHAnsi" w:hAnsiTheme="minorHAnsi"/>
          <w:sz w:val="24"/>
          <w:szCs w:val="24"/>
        </w:rPr>
        <w:t xml:space="preserve">, albeit </w:t>
      </w:r>
      <w:r w:rsidR="00E27720">
        <w:rPr>
          <w:rFonts w:asciiTheme="minorHAnsi" w:hAnsiTheme="minorHAnsi"/>
          <w:sz w:val="24"/>
          <w:szCs w:val="24"/>
        </w:rPr>
        <w:t>in a manner</w:t>
      </w:r>
      <w:r w:rsidR="003D5DCC">
        <w:rPr>
          <w:rFonts w:asciiTheme="minorHAnsi" w:hAnsiTheme="minorHAnsi"/>
          <w:sz w:val="24"/>
          <w:szCs w:val="24"/>
        </w:rPr>
        <w:t xml:space="preserve"> that is crucially ‘impurely, relationally constituted</w:t>
      </w:r>
      <w:r w:rsidR="00A76246">
        <w:rPr>
          <w:rFonts w:asciiTheme="minorHAnsi" w:hAnsiTheme="minorHAnsi"/>
          <w:sz w:val="24"/>
          <w:szCs w:val="24"/>
        </w:rPr>
        <w:t>,</w:t>
      </w:r>
      <w:r w:rsidR="003D5DCC">
        <w:rPr>
          <w:rFonts w:asciiTheme="minorHAnsi" w:hAnsiTheme="minorHAnsi"/>
          <w:sz w:val="24"/>
          <w:szCs w:val="24"/>
        </w:rPr>
        <w:t>’</w:t>
      </w:r>
      <w:r w:rsidR="001D311E">
        <w:rPr>
          <w:rFonts w:asciiTheme="minorHAnsi" w:hAnsiTheme="minorHAnsi"/>
          <w:sz w:val="24"/>
          <w:szCs w:val="24"/>
        </w:rPr>
        <w:t xml:space="preserve"> Derrida revise</w:t>
      </w:r>
      <w:r w:rsidR="003D5DCC">
        <w:rPr>
          <w:rFonts w:asciiTheme="minorHAnsi" w:hAnsiTheme="minorHAnsi"/>
          <w:sz w:val="24"/>
          <w:szCs w:val="24"/>
        </w:rPr>
        <w:t>s this path.</w:t>
      </w:r>
      <w:r w:rsidR="003D5DCC">
        <w:rPr>
          <w:rStyle w:val="EndnoteReference"/>
          <w:rFonts w:asciiTheme="minorHAnsi" w:hAnsiTheme="minorHAnsi"/>
          <w:sz w:val="24"/>
          <w:szCs w:val="24"/>
        </w:rPr>
        <w:endnoteReference w:id="71"/>
      </w:r>
    </w:p>
    <w:p w14:paraId="044666B9" w14:textId="77777777" w:rsidR="00FB47B9" w:rsidRPr="008E77E1" w:rsidRDefault="00FB47B9" w:rsidP="008E77E1">
      <w:pPr>
        <w:rPr>
          <w:rFonts w:asciiTheme="minorHAnsi" w:hAnsiTheme="minorHAnsi"/>
          <w:sz w:val="24"/>
          <w:szCs w:val="24"/>
        </w:rPr>
      </w:pPr>
    </w:p>
    <w:p w14:paraId="19E00097" w14:textId="7A927525" w:rsidR="000F085D" w:rsidRPr="008E77E1" w:rsidRDefault="00874C25" w:rsidP="008E77E1">
      <w:pPr>
        <w:rPr>
          <w:rFonts w:asciiTheme="minorHAnsi" w:hAnsiTheme="minorHAnsi"/>
          <w:sz w:val="24"/>
          <w:szCs w:val="24"/>
        </w:rPr>
      </w:pPr>
      <w:r>
        <w:rPr>
          <w:rFonts w:asciiTheme="minorHAnsi" w:hAnsiTheme="minorHAnsi"/>
          <w:sz w:val="24"/>
          <w:szCs w:val="24"/>
        </w:rPr>
        <w:t>In the enigmatic closing para</w:t>
      </w:r>
      <w:r w:rsidR="000E0C96">
        <w:rPr>
          <w:rFonts w:asciiTheme="minorHAnsi" w:hAnsiTheme="minorHAnsi"/>
          <w:sz w:val="24"/>
          <w:szCs w:val="24"/>
        </w:rPr>
        <w:t>graphs of “Freud and the Scene of Writing”</w:t>
      </w:r>
      <w:r w:rsidR="00FB47B9">
        <w:rPr>
          <w:rFonts w:asciiTheme="minorHAnsi" w:hAnsiTheme="minorHAnsi"/>
          <w:sz w:val="24"/>
          <w:szCs w:val="24"/>
        </w:rPr>
        <w:t xml:space="preserve"> Derrida gestures to ‘what might be called a new </w:t>
      </w:r>
      <w:r w:rsidR="00FB47B9" w:rsidRPr="00333EE7">
        <w:rPr>
          <w:rFonts w:asciiTheme="minorHAnsi" w:hAnsiTheme="minorHAnsi"/>
          <w:i/>
          <w:sz w:val="24"/>
          <w:szCs w:val="24"/>
        </w:rPr>
        <w:t>psychoanalytic graphology’</w:t>
      </w:r>
      <w:r w:rsidR="00FB47B9">
        <w:rPr>
          <w:rFonts w:asciiTheme="minorHAnsi" w:hAnsiTheme="minorHAnsi"/>
          <w:sz w:val="24"/>
          <w:szCs w:val="24"/>
        </w:rPr>
        <w:t xml:space="preserve"> and suggests that ‘Klein perhaps opens the way’.</w:t>
      </w:r>
      <w:r w:rsidR="00FB47B9">
        <w:rPr>
          <w:rStyle w:val="EndnoteReference"/>
          <w:rFonts w:asciiTheme="minorHAnsi" w:hAnsiTheme="minorHAnsi"/>
          <w:sz w:val="24"/>
          <w:szCs w:val="24"/>
        </w:rPr>
        <w:endnoteReference w:id="72"/>
      </w:r>
      <w:r w:rsidR="00FB47B9">
        <w:rPr>
          <w:rFonts w:asciiTheme="minorHAnsi" w:hAnsiTheme="minorHAnsi"/>
          <w:sz w:val="24"/>
          <w:szCs w:val="24"/>
        </w:rPr>
        <w:t xml:space="preserve"> </w:t>
      </w:r>
      <w:r w:rsidR="001E6861">
        <w:rPr>
          <w:rFonts w:asciiTheme="minorHAnsi" w:hAnsiTheme="minorHAnsi"/>
          <w:sz w:val="24"/>
          <w:szCs w:val="24"/>
        </w:rPr>
        <w:t>Derrida’s</w:t>
      </w:r>
      <w:r w:rsidR="008F27F9">
        <w:rPr>
          <w:rFonts w:asciiTheme="minorHAnsi" w:hAnsiTheme="minorHAnsi"/>
          <w:sz w:val="24"/>
          <w:szCs w:val="24"/>
        </w:rPr>
        <w:t xml:space="preserve"> phrasing is evocative given </w:t>
      </w:r>
      <w:r w:rsidR="001E6861">
        <w:rPr>
          <w:rFonts w:asciiTheme="minorHAnsi" w:hAnsiTheme="minorHAnsi"/>
          <w:sz w:val="24"/>
          <w:szCs w:val="24"/>
        </w:rPr>
        <w:t>his</w:t>
      </w:r>
      <w:r w:rsidR="008F27F9">
        <w:rPr>
          <w:rFonts w:asciiTheme="minorHAnsi" w:hAnsiTheme="minorHAnsi"/>
          <w:sz w:val="24"/>
          <w:szCs w:val="24"/>
        </w:rPr>
        <w:t xml:space="preserve"> preceding discussion on breaching </w:t>
      </w:r>
      <w:r w:rsidR="005A60A0">
        <w:rPr>
          <w:rFonts w:asciiTheme="minorHAnsi" w:hAnsiTheme="minorHAnsi"/>
          <w:sz w:val="24"/>
          <w:szCs w:val="24"/>
        </w:rPr>
        <w:t>as a ‘ciphered spacing</w:t>
      </w:r>
      <w:r w:rsidR="0015213A">
        <w:rPr>
          <w:rFonts w:asciiTheme="minorHAnsi" w:hAnsiTheme="minorHAnsi"/>
          <w:sz w:val="24"/>
          <w:szCs w:val="24"/>
        </w:rPr>
        <w:t>,</w:t>
      </w:r>
      <w:r w:rsidR="005A60A0">
        <w:rPr>
          <w:rFonts w:asciiTheme="minorHAnsi" w:hAnsiTheme="minorHAnsi"/>
          <w:sz w:val="24"/>
          <w:szCs w:val="24"/>
        </w:rPr>
        <w:t xml:space="preserve">’ </w:t>
      </w:r>
      <w:r w:rsidR="00482B70">
        <w:rPr>
          <w:rFonts w:asciiTheme="minorHAnsi" w:hAnsiTheme="minorHAnsi"/>
          <w:sz w:val="24"/>
          <w:szCs w:val="24"/>
        </w:rPr>
        <w:t>as that event of writing that upsets</w:t>
      </w:r>
      <w:r w:rsidR="005A60A0">
        <w:rPr>
          <w:rFonts w:asciiTheme="minorHAnsi" w:hAnsiTheme="minorHAnsi"/>
          <w:sz w:val="24"/>
          <w:szCs w:val="24"/>
        </w:rPr>
        <w:t xml:space="preserve"> classical models of inside and outside, time and space, before and beyond.</w:t>
      </w:r>
      <w:r w:rsidR="00013013">
        <w:rPr>
          <w:rStyle w:val="EndnoteReference"/>
          <w:rFonts w:asciiTheme="minorHAnsi" w:hAnsiTheme="minorHAnsi"/>
          <w:sz w:val="24"/>
          <w:szCs w:val="24"/>
        </w:rPr>
        <w:endnoteReference w:id="73"/>
      </w:r>
      <w:r w:rsidR="005A60A0">
        <w:rPr>
          <w:rFonts w:asciiTheme="minorHAnsi" w:hAnsiTheme="minorHAnsi"/>
          <w:sz w:val="24"/>
          <w:szCs w:val="24"/>
        </w:rPr>
        <w:t xml:space="preserve"> </w:t>
      </w:r>
      <w:r w:rsidR="00FB47B9">
        <w:rPr>
          <w:rFonts w:asciiTheme="minorHAnsi" w:hAnsiTheme="minorHAnsi"/>
          <w:sz w:val="24"/>
          <w:szCs w:val="24"/>
        </w:rPr>
        <w:t xml:space="preserve">While few scholars have so much as noticed this reference to Klein, compare the following citation from </w:t>
      </w:r>
      <w:r w:rsidR="00024FDB">
        <w:rPr>
          <w:rFonts w:asciiTheme="minorHAnsi" w:hAnsiTheme="minorHAnsi"/>
          <w:sz w:val="24"/>
          <w:szCs w:val="24"/>
        </w:rPr>
        <w:t>his</w:t>
      </w:r>
      <w:r w:rsidR="004E0A76">
        <w:rPr>
          <w:rFonts w:asciiTheme="minorHAnsi" w:hAnsiTheme="minorHAnsi"/>
          <w:sz w:val="24"/>
          <w:szCs w:val="24"/>
        </w:rPr>
        <w:t xml:space="preserve"> interview on “Eating Well”</w:t>
      </w:r>
      <w:r w:rsidR="00FB47B9">
        <w:rPr>
          <w:rFonts w:asciiTheme="minorHAnsi" w:hAnsiTheme="minorHAnsi"/>
          <w:sz w:val="24"/>
          <w:szCs w:val="24"/>
        </w:rPr>
        <w:t>:</w:t>
      </w:r>
    </w:p>
    <w:p w14:paraId="10784327" w14:textId="00AE2A85" w:rsidR="0028211E" w:rsidRPr="008E77E1" w:rsidRDefault="0028211E" w:rsidP="008E77E1">
      <w:pPr>
        <w:ind w:left="720"/>
        <w:rPr>
          <w:rFonts w:asciiTheme="minorHAnsi" w:hAnsiTheme="minorHAnsi"/>
          <w:sz w:val="24"/>
          <w:szCs w:val="24"/>
        </w:rPr>
      </w:pPr>
      <w:r w:rsidRPr="008E77E1">
        <w:rPr>
          <w:rFonts w:asciiTheme="minorHAnsi" w:hAnsiTheme="minorHAnsi"/>
          <w:sz w:val="24"/>
          <w:szCs w:val="24"/>
        </w:rPr>
        <w:t xml:space="preserve">For everything that happens at the edge of the orifices (of orality, but also of the ear, the eye-and all the ‘senses’ in general) the metonymy of ‘eating well’ </w:t>
      </w:r>
      <w:r w:rsidR="008E77E1">
        <w:rPr>
          <w:rFonts w:asciiTheme="minorHAnsi" w:hAnsiTheme="minorHAnsi"/>
          <w:sz w:val="24"/>
          <w:szCs w:val="24"/>
        </w:rPr>
        <w:t>(</w:t>
      </w:r>
      <w:r w:rsidRPr="008E77E1">
        <w:rPr>
          <w:rFonts w:asciiTheme="minorHAnsi" w:hAnsiTheme="minorHAnsi"/>
          <w:i/>
          <w:sz w:val="24"/>
          <w:szCs w:val="24"/>
        </w:rPr>
        <w:t>bien manger</w:t>
      </w:r>
      <w:r w:rsidR="008E77E1">
        <w:rPr>
          <w:rFonts w:asciiTheme="minorHAnsi" w:hAnsiTheme="minorHAnsi"/>
          <w:sz w:val="24"/>
          <w:szCs w:val="24"/>
        </w:rPr>
        <w:t>)</w:t>
      </w:r>
      <w:r w:rsidRPr="008E77E1">
        <w:rPr>
          <w:rFonts w:asciiTheme="minorHAnsi" w:hAnsiTheme="minorHAnsi"/>
          <w:sz w:val="24"/>
          <w:szCs w:val="24"/>
        </w:rPr>
        <w:t xml:space="preserve"> would always be the rule.</w:t>
      </w:r>
      <w:r w:rsidR="00FB47B9">
        <w:rPr>
          <w:rStyle w:val="EndnoteReference"/>
          <w:rFonts w:asciiTheme="minorHAnsi" w:hAnsiTheme="minorHAnsi"/>
          <w:sz w:val="24"/>
          <w:szCs w:val="24"/>
        </w:rPr>
        <w:endnoteReference w:id="74"/>
      </w:r>
    </w:p>
    <w:p w14:paraId="1B9A9AE4" w14:textId="58F18614" w:rsidR="00F17F2C" w:rsidRPr="009E04EE" w:rsidRDefault="00011B23">
      <w:pPr>
        <w:rPr>
          <w:rFonts w:asciiTheme="minorHAnsi" w:hAnsiTheme="minorHAnsi"/>
          <w:sz w:val="24"/>
          <w:szCs w:val="24"/>
        </w:rPr>
      </w:pPr>
      <w:r>
        <w:rPr>
          <w:rFonts w:asciiTheme="minorHAnsi" w:hAnsiTheme="minorHAnsi"/>
          <w:sz w:val="24"/>
          <w:szCs w:val="24"/>
        </w:rPr>
        <w:t>Though they are not named in this interview, Derrida’s metonymy of eating well and its relation to introjection is developed in relation to the work of Nicolas Abraham and Maria Torok.</w:t>
      </w:r>
      <w:r w:rsidR="004E10BD">
        <w:rPr>
          <w:rStyle w:val="EndnoteReference"/>
          <w:rFonts w:asciiTheme="minorHAnsi" w:hAnsiTheme="minorHAnsi"/>
          <w:sz w:val="24"/>
          <w:szCs w:val="24"/>
        </w:rPr>
        <w:endnoteReference w:id="75"/>
      </w:r>
      <w:r>
        <w:rPr>
          <w:rFonts w:asciiTheme="minorHAnsi" w:hAnsiTheme="minorHAnsi"/>
          <w:sz w:val="24"/>
          <w:szCs w:val="24"/>
        </w:rPr>
        <w:t xml:space="preserve"> </w:t>
      </w:r>
      <w:r w:rsidR="009A3A17">
        <w:rPr>
          <w:rFonts w:asciiTheme="minorHAnsi" w:hAnsiTheme="minorHAnsi"/>
          <w:sz w:val="24"/>
          <w:szCs w:val="24"/>
        </w:rPr>
        <w:t>A certain ki</w:t>
      </w:r>
      <w:r w:rsidR="008F4058">
        <w:rPr>
          <w:rFonts w:asciiTheme="minorHAnsi" w:hAnsiTheme="minorHAnsi"/>
          <w:sz w:val="24"/>
          <w:szCs w:val="24"/>
        </w:rPr>
        <w:t xml:space="preserve">nd of genealogy of the notion </w:t>
      </w:r>
      <w:r w:rsidR="009A3A17">
        <w:rPr>
          <w:rFonts w:asciiTheme="minorHAnsi" w:hAnsiTheme="minorHAnsi"/>
          <w:sz w:val="24"/>
          <w:szCs w:val="24"/>
        </w:rPr>
        <w:t>of i</w:t>
      </w:r>
      <w:r w:rsidR="00024FDB">
        <w:rPr>
          <w:rFonts w:asciiTheme="minorHAnsi" w:hAnsiTheme="minorHAnsi"/>
          <w:sz w:val="24"/>
          <w:szCs w:val="24"/>
        </w:rPr>
        <w:t xml:space="preserve">ntrojection </w:t>
      </w:r>
      <w:r w:rsidR="009A3A17">
        <w:rPr>
          <w:rFonts w:asciiTheme="minorHAnsi" w:hAnsiTheme="minorHAnsi"/>
          <w:sz w:val="24"/>
          <w:szCs w:val="24"/>
        </w:rPr>
        <w:t>shapes</w:t>
      </w:r>
      <w:r w:rsidR="00024FDB">
        <w:rPr>
          <w:rFonts w:asciiTheme="minorHAnsi" w:hAnsiTheme="minorHAnsi"/>
          <w:sz w:val="24"/>
          <w:szCs w:val="24"/>
        </w:rPr>
        <w:t xml:space="preserve"> the house of SF</w:t>
      </w:r>
      <w:r w:rsidR="009A3A17">
        <w:rPr>
          <w:rFonts w:asciiTheme="minorHAnsi" w:hAnsiTheme="minorHAnsi"/>
          <w:sz w:val="24"/>
          <w:szCs w:val="24"/>
        </w:rPr>
        <w:t xml:space="preserve">, passing between Ferenczi, </w:t>
      </w:r>
      <w:r w:rsidR="00D4638E">
        <w:rPr>
          <w:rFonts w:asciiTheme="minorHAnsi" w:hAnsiTheme="minorHAnsi"/>
          <w:sz w:val="24"/>
          <w:szCs w:val="24"/>
        </w:rPr>
        <w:t xml:space="preserve">Freud, </w:t>
      </w:r>
      <w:r w:rsidR="009A3A17">
        <w:rPr>
          <w:rFonts w:asciiTheme="minorHAnsi" w:hAnsiTheme="minorHAnsi"/>
          <w:sz w:val="24"/>
          <w:szCs w:val="24"/>
        </w:rPr>
        <w:t xml:space="preserve">Klein, </w:t>
      </w:r>
      <w:r w:rsidR="00D4638E">
        <w:rPr>
          <w:rFonts w:asciiTheme="minorHAnsi" w:hAnsiTheme="minorHAnsi"/>
          <w:sz w:val="24"/>
          <w:szCs w:val="24"/>
        </w:rPr>
        <w:t xml:space="preserve">Karl Abraham, </w:t>
      </w:r>
      <w:r w:rsidR="009A3A17">
        <w:rPr>
          <w:rFonts w:asciiTheme="minorHAnsi" w:hAnsiTheme="minorHAnsi"/>
          <w:sz w:val="24"/>
          <w:szCs w:val="24"/>
        </w:rPr>
        <w:t>Abraham and Torok, and Derrida</w:t>
      </w:r>
      <w:r w:rsidR="00A36B01">
        <w:rPr>
          <w:rFonts w:asciiTheme="minorHAnsi" w:hAnsiTheme="minorHAnsi"/>
          <w:sz w:val="24"/>
          <w:szCs w:val="24"/>
        </w:rPr>
        <w:t>.</w:t>
      </w:r>
      <w:r w:rsidR="00F13FD3">
        <w:rPr>
          <w:rStyle w:val="EndnoteReference"/>
          <w:rFonts w:asciiTheme="minorHAnsi" w:hAnsiTheme="minorHAnsi"/>
          <w:sz w:val="24"/>
          <w:szCs w:val="24"/>
        </w:rPr>
        <w:endnoteReference w:id="76"/>
      </w:r>
      <w:r w:rsidR="00A36B01">
        <w:rPr>
          <w:rFonts w:asciiTheme="minorHAnsi" w:hAnsiTheme="minorHAnsi"/>
          <w:sz w:val="24"/>
          <w:szCs w:val="24"/>
        </w:rPr>
        <w:t xml:space="preserve"> In a figural peristalsis, introjection </w:t>
      </w:r>
      <w:r w:rsidR="00154C18">
        <w:rPr>
          <w:rFonts w:asciiTheme="minorHAnsi" w:hAnsiTheme="minorHAnsi"/>
          <w:sz w:val="24"/>
          <w:szCs w:val="24"/>
        </w:rPr>
        <w:t>undergoes</w:t>
      </w:r>
      <w:r w:rsidR="009A3A17">
        <w:rPr>
          <w:rFonts w:asciiTheme="minorHAnsi" w:hAnsiTheme="minorHAnsi"/>
          <w:sz w:val="24"/>
          <w:szCs w:val="24"/>
        </w:rPr>
        <w:t xml:space="preserve"> </w:t>
      </w:r>
      <w:r w:rsidR="006A3AC9">
        <w:rPr>
          <w:rFonts w:asciiTheme="minorHAnsi" w:hAnsiTheme="minorHAnsi"/>
          <w:sz w:val="24"/>
          <w:szCs w:val="24"/>
        </w:rPr>
        <w:t xml:space="preserve">a </w:t>
      </w:r>
      <w:r w:rsidR="009A3A17">
        <w:rPr>
          <w:rFonts w:asciiTheme="minorHAnsi" w:hAnsiTheme="minorHAnsi"/>
          <w:sz w:val="24"/>
          <w:szCs w:val="24"/>
        </w:rPr>
        <w:t>tighter and looser grip</w:t>
      </w:r>
      <w:r w:rsidR="006A3AC9">
        <w:rPr>
          <w:rFonts w:asciiTheme="minorHAnsi" w:hAnsiTheme="minorHAnsi"/>
          <w:sz w:val="24"/>
          <w:szCs w:val="24"/>
        </w:rPr>
        <w:t xml:space="preserve"> on its subjects and on itself</w:t>
      </w:r>
      <w:r w:rsidR="009A3A17">
        <w:rPr>
          <w:rFonts w:asciiTheme="minorHAnsi" w:hAnsiTheme="minorHAnsi"/>
          <w:sz w:val="24"/>
          <w:szCs w:val="24"/>
        </w:rPr>
        <w:t xml:space="preserve">. </w:t>
      </w:r>
      <w:r w:rsidR="0015213A">
        <w:rPr>
          <w:rFonts w:asciiTheme="minorHAnsi" w:hAnsiTheme="minorHAnsi"/>
          <w:sz w:val="24"/>
          <w:szCs w:val="24"/>
        </w:rPr>
        <w:t xml:space="preserve">Even though Derrida ostensibly supplied a ‘Foreword’ to Abraham and Torok’s book </w:t>
      </w:r>
      <w:r w:rsidR="0015213A" w:rsidRPr="0015213A">
        <w:rPr>
          <w:rFonts w:asciiTheme="minorHAnsi" w:hAnsiTheme="minorHAnsi"/>
          <w:i/>
          <w:sz w:val="24"/>
          <w:szCs w:val="24"/>
        </w:rPr>
        <w:t>The Wolf Man’s Magic Word</w:t>
      </w:r>
      <w:r w:rsidR="0015213A">
        <w:rPr>
          <w:rFonts w:asciiTheme="minorHAnsi" w:hAnsiTheme="minorHAnsi"/>
          <w:sz w:val="24"/>
          <w:szCs w:val="24"/>
        </w:rPr>
        <w:t xml:space="preserve"> and one that magnified the uncanny architecture of their ‘crypt’ from the outset of its idiosyncratic title - ‘</w:t>
      </w:r>
      <w:r w:rsidR="0015213A" w:rsidRPr="0015213A">
        <w:rPr>
          <w:rFonts w:asciiTheme="minorHAnsi" w:hAnsiTheme="minorHAnsi"/>
          <w:i/>
          <w:sz w:val="24"/>
          <w:szCs w:val="24"/>
        </w:rPr>
        <w:t>Fors’</w:t>
      </w:r>
      <w:r w:rsidR="0015213A">
        <w:rPr>
          <w:rFonts w:asciiTheme="minorHAnsi" w:hAnsiTheme="minorHAnsi"/>
          <w:sz w:val="24"/>
          <w:szCs w:val="24"/>
        </w:rPr>
        <w:t>, his work radicalises the path of introjection.</w:t>
      </w:r>
      <w:r w:rsidR="00CB6CF0">
        <w:rPr>
          <w:rStyle w:val="EndnoteReference"/>
          <w:rFonts w:asciiTheme="minorHAnsi" w:hAnsiTheme="minorHAnsi"/>
          <w:sz w:val="24"/>
          <w:szCs w:val="24"/>
        </w:rPr>
        <w:endnoteReference w:id="77"/>
      </w:r>
      <w:r w:rsidR="0015213A">
        <w:rPr>
          <w:rFonts w:asciiTheme="minorHAnsi" w:hAnsiTheme="minorHAnsi"/>
          <w:sz w:val="24"/>
          <w:szCs w:val="24"/>
        </w:rPr>
        <w:t xml:space="preserve"> </w:t>
      </w:r>
      <w:r w:rsidR="008133B7">
        <w:rPr>
          <w:rFonts w:asciiTheme="minorHAnsi" w:hAnsiTheme="minorHAnsi"/>
          <w:sz w:val="24"/>
          <w:szCs w:val="24"/>
        </w:rPr>
        <w:t>Soliciting all the senses in general, Derrida detaches psychic ingestion from the mouth, insists on the metonymical quality of eating,</w:t>
      </w:r>
      <w:r w:rsidR="00172C52">
        <w:rPr>
          <w:rFonts w:asciiTheme="minorHAnsi" w:hAnsiTheme="minorHAnsi"/>
          <w:sz w:val="24"/>
          <w:szCs w:val="24"/>
        </w:rPr>
        <w:t xml:space="preserve"> </w:t>
      </w:r>
      <w:r w:rsidR="003E441C">
        <w:rPr>
          <w:rFonts w:asciiTheme="minorHAnsi" w:hAnsiTheme="minorHAnsi"/>
          <w:sz w:val="24"/>
          <w:szCs w:val="24"/>
        </w:rPr>
        <w:t xml:space="preserve">and drops the </w:t>
      </w:r>
      <w:r w:rsidR="00E9414F">
        <w:rPr>
          <w:rFonts w:asciiTheme="minorHAnsi" w:hAnsiTheme="minorHAnsi"/>
          <w:sz w:val="24"/>
          <w:szCs w:val="24"/>
        </w:rPr>
        <w:t>teleological anticipation of speech as the zone of the human</w:t>
      </w:r>
      <w:r w:rsidR="00AD71F1">
        <w:rPr>
          <w:rFonts w:asciiTheme="minorHAnsi" w:hAnsiTheme="minorHAnsi"/>
          <w:sz w:val="24"/>
          <w:szCs w:val="24"/>
        </w:rPr>
        <w:t xml:space="preserve"> (habitual to psychoanalysis and philosophy)</w:t>
      </w:r>
      <w:r w:rsidR="00E9414F">
        <w:rPr>
          <w:rFonts w:asciiTheme="minorHAnsi" w:hAnsiTheme="minorHAnsi"/>
          <w:sz w:val="24"/>
          <w:szCs w:val="24"/>
        </w:rPr>
        <w:t>.</w:t>
      </w:r>
      <w:r w:rsidR="003E441C">
        <w:rPr>
          <w:rFonts w:asciiTheme="minorHAnsi" w:hAnsiTheme="minorHAnsi"/>
          <w:sz w:val="24"/>
          <w:szCs w:val="24"/>
        </w:rPr>
        <w:t xml:space="preserve">  </w:t>
      </w:r>
      <w:r w:rsidR="00BA609F">
        <w:rPr>
          <w:rFonts w:asciiTheme="minorHAnsi" w:hAnsiTheme="minorHAnsi"/>
          <w:sz w:val="24"/>
          <w:szCs w:val="24"/>
        </w:rPr>
        <w:t xml:space="preserve">While SF interjects ‘[A]ppetite comes with eating!’ and common sense might attribute his meaning </w:t>
      </w:r>
      <w:r w:rsidR="0058416E">
        <w:rPr>
          <w:rFonts w:asciiTheme="minorHAnsi" w:hAnsiTheme="minorHAnsi"/>
          <w:sz w:val="24"/>
          <w:szCs w:val="24"/>
        </w:rPr>
        <w:t>to the</w:t>
      </w:r>
      <w:r w:rsidR="00BA609F">
        <w:rPr>
          <w:rFonts w:asciiTheme="minorHAnsi" w:hAnsiTheme="minorHAnsi"/>
          <w:sz w:val="24"/>
          <w:szCs w:val="24"/>
        </w:rPr>
        <w:t xml:space="preserve"> purely figural, Derrida quite seriously </w:t>
      </w:r>
      <w:r w:rsidR="00BA609F" w:rsidRPr="00BA609F">
        <w:rPr>
          <w:rFonts w:asciiTheme="minorHAnsi" w:hAnsiTheme="minorHAnsi"/>
          <w:sz w:val="24"/>
          <w:szCs w:val="24"/>
        </w:rPr>
        <w:t>asks ‘What is eating?’</w:t>
      </w:r>
      <w:r w:rsidR="00BA609F">
        <w:rPr>
          <w:rFonts w:asciiTheme="minorHAnsi" w:hAnsiTheme="minorHAnsi"/>
          <w:sz w:val="24"/>
          <w:szCs w:val="24"/>
        </w:rPr>
        <w:t xml:space="preserve"> shattering its supposedly simple expression of a basic need</w:t>
      </w:r>
      <w:r w:rsidR="006F4DF9">
        <w:rPr>
          <w:rFonts w:asciiTheme="minorHAnsi" w:hAnsiTheme="minorHAnsi"/>
          <w:sz w:val="24"/>
          <w:szCs w:val="24"/>
        </w:rPr>
        <w:t xml:space="preserve"> and posing it as always and already enmeshed in the ‘becoming-literary of the literal</w:t>
      </w:r>
      <w:r w:rsidR="000850CF">
        <w:rPr>
          <w:rFonts w:asciiTheme="minorHAnsi" w:hAnsiTheme="minorHAnsi"/>
          <w:sz w:val="24"/>
          <w:szCs w:val="24"/>
        </w:rPr>
        <w:t>.</w:t>
      </w:r>
      <w:r w:rsidR="006F4DF9">
        <w:rPr>
          <w:rFonts w:asciiTheme="minorHAnsi" w:hAnsiTheme="minorHAnsi"/>
          <w:sz w:val="24"/>
          <w:szCs w:val="24"/>
        </w:rPr>
        <w:t>’</w:t>
      </w:r>
      <w:r w:rsidR="00D067BD">
        <w:rPr>
          <w:rStyle w:val="EndnoteReference"/>
          <w:rFonts w:asciiTheme="minorHAnsi" w:hAnsiTheme="minorHAnsi"/>
          <w:sz w:val="24"/>
          <w:szCs w:val="24"/>
        </w:rPr>
        <w:endnoteReference w:id="78"/>
      </w:r>
      <w:r w:rsidR="00D067BD">
        <w:rPr>
          <w:rFonts w:asciiTheme="minorHAnsi" w:hAnsiTheme="minorHAnsi"/>
          <w:sz w:val="24"/>
          <w:szCs w:val="24"/>
        </w:rPr>
        <w:t xml:space="preserve"> Introjection is not the action of an intending subject that </w:t>
      </w:r>
      <w:r w:rsidR="00C41683">
        <w:rPr>
          <w:rFonts w:asciiTheme="minorHAnsi" w:hAnsiTheme="minorHAnsi"/>
          <w:sz w:val="24"/>
          <w:szCs w:val="24"/>
        </w:rPr>
        <w:t>can appropriate</w:t>
      </w:r>
      <w:r w:rsidR="00D067BD">
        <w:rPr>
          <w:rFonts w:asciiTheme="minorHAnsi" w:hAnsiTheme="minorHAnsi"/>
          <w:sz w:val="24"/>
          <w:szCs w:val="24"/>
        </w:rPr>
        <w:t xml:space="preserve"> </w:t>
      </w:r>
      <w:r w:rsidR="003D7F82">
        <w:rPr>
          <w:rFonts w:asciiTheme="minorHAnsi" w:hAnsiTheme="minorHAnsi"/>
          <w:sz w:val="24"/>
          <w:szCs w:val="24"/>
        </w:rPr>
        <w:t>the other</w:t>
      </w:r>
      <w:r w:rsidR="00D067BD">
        <w:rPr>
          <w:rFonts w:asciiTheme="minorHAnsi" w:hAnsiTheme="minorHAnsi"/>
          <w:sz w:val="24"/>
          <w:szCs w:val="24"/>
        </w:rPr>
        <w:t xml:space="preserve"> like a tool.</w:t>
      </w:r>
      <w:r w:rsidR="00D41E60">
        <w:rPr>
          <w:rFonts w:asciiTheme="minorHAnsi" w:hAnsiTheme="minorHAnsi"/>
          <w:sz w:val="24"/>
          <w:szCs w:val="24"/>
        </w:rPr>
        <w:t xml:space="preserve"> Psychoanalytic graphology speaks to bioanalysis insofar as the body </w:t>
      </w:r>
      <w:r w:rsidR="00C41683">
        <w:rPr>
          <w:rFonts w:asciiTheme="minorHAnsi" w:hAnsiTheme="minorHAnsi"/>
          <w:sz w:val="24"/>
          <w:szCs w:val="24"/>
        </w:rPr>
        <w:t>is breached.</w:t>
      </w:r>
      <w:r w:rsidR="009945F1">
        <w:rPr>
          <w:rFonts w:asciiTheme="minorHAnsi" w:hAnsiTheme="minorHAnsi"/>
          <w:sz w:val="24"/>
          <w:szCs w:val="24"/>
        </w:rPr>
        <w:t xml:space="preserve"> </w:t>
      </w:r>
      <w:r w:rsidR="00B93FA3">
        <w:rPr>
          <w:rFonts w:asciiTheme="minorHAnsi" w:hAnsiTheme="minorHAnsi"/>
          <w:sz w:val="24"/>
          <w:szCs w:val="24"/>
        </w:rPr>
        <w:t>Regression cannot compel the same phantasy</w:t>
      </w:r>
      <w:r w:rsidR="00AB2C1B">
        <w:rPr>
          <w:rFonts w:asciiTheme="minorHAnsi" w:hAnsiTheme="minorHAnsi"/>
          <w:sz w:val="24"/>
          <w:szCs w:val="24"/>
        </w:rPr>
        <w:t>,</w:t>
      </w:r>
      <w:r w:rsidR="00B93FA3">
        <w:rPr>
          <w:rFonts w:asciiTheme="minorHAnsi" w:hAnsiTheme="minorHAnsi"/>
          <w:sz w:val="24"/>
          <w:szCs w:val="24"/>
        </w:rPr>
        <w:t xml:space="preserve"> only repetit</w:t>
      </w:r>
      <w:r w:rsidR="00AB2C1B">
        <w:rPr>
          <w:rFonts w:asciiTheme="minorHAnsi" w:hAnsiTheme="minorHAnsi"/>
          <w:sz w:val="24"/>
          <w:szCs w:val="24"/>
        </w:rPr>
        <w:t xml:space="preserve">ion that </w:t>
      </w:r>
      <w:r w:rsidR="007F26DB">
        <w:rPr>
          <w:rFonts w:asciiTheme="minorHAnsi" w:hAnsiTheme="minorHAnsi"/>
          <w:sz w:val="24"/>
          <w:szCs w:val="24"/>
        </w:rPr>
        <w:t>can expunge</w:t>
      </w:r>
      <w:r w:rsidR="00AB2C1B">
        <w:rPr>
          <w:rFonts w:asciiTheme="minorHAnsi" w:hAnsiTheme="minorHAnsi"/>
          <w:sz w:val="24"/>
          <w:szCs w:val="24"/>
        </w:rPr>
        <w:t xml:space="preserve"> </w:t>
      </w:r>
      <w:r w:rsidR="007F26DB">
        <w:rPr>
          <w:rFonts w:asciiTheme="minorHAnsi" w:hAnsiTheme="minorHAnsi"/>
          <w:sz w:val="24"/>
          <w:szCs w:val="24"/>
        </w:rPr>
        <w:t xml:space="preserve">in the same gesture. </w:t>
      </w:r>
      <w:r w:rsidR="00E9414F">
        <w:rPr>
          <w:rFonts w:asciiTheme="minorHAnsi" w:hAnsiTheme="minorHAnsi"/>
          <w:sz w:val="24"/>
          <w:szCs w:val="24"/>
        </w:rPr>
        <w:t xml:space="preserve">This can only be </w:t>
      </w:r>
      <w:r w:rsidR="00FB6938">
        <w:rPr>
          <w:rFonts w:asciiTheme="minorHAnsi" w:hAnsiTheme="minorHAnsi"/>
          <w:sz w:val="24"/>
          <w:szCs w:val="24"/>
        </w:rPr>
        <w:t>sustained</w:t>
      </w:r>
      <w:r w:rsidR="00E9414F">
        <w:rPr>
          <w:rFonts w:asciiTheme="minorHAnsi" w:hAnsiTheme="minorHAnsi"/>
          <w:sz w:val="24"/>
          <w:szCs w:val="24"/>
        </w:rPr>
        <w:t xml:space="preserve"> by bringing</w:t>
      </w:r>
      <w:r w:rsidR="00CB6CF0">
        <w:rPr>
          <w:rFonts w:asciiTheme="minorHAnsi" w:hAnsiTheme="minorHAnsi"/>
          <w:sz w:val="24"/>
          <w:szCs w:val="24"/>
        </w:rPr>
        <w:t xml:space="preserve"> the trace t</w:t>
      </w:r>
      <w:r w:rsidR="0015213A">
        <w:rPr>
          <w:rFonts w:asciiTheme="minorHAnsi" w:hAnsiTheme="minorHAnsi"/>
          <w:sz w:val="24"/>
          <w:szCs w:val="24"/>
        </w:rPr>
        <w:t>o the fore.</w:t>
      </w:r>
    </w:p>
    <w:sectPr w:rsidR="00F17F2C" w:rsidRPr="009E04EE" w:rsidSect="000F1376">
      <w:headerReference w:type="even" r:id="rId8"/>
      <w:headerReference w:type="default" r:id="rId9"/>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E1733" w14:textId="77777777" w:rsidR="003D7BD2" w:rsidRDefault="003D7BD2" w:rsidP="00890ECE">
      <w:r>
        <w:separator/>
      </w:r>
    </w:p>
  </w:endnote>
  <w:endnote w:type="continuationSeparator" w:id="0">
    <w:p w14:paraId="777F97AB" w14:textId="77777777" w:rsidR="003D7BD2" w:rsidRDefault="003D7BD2" w:rsidP="00890ECE">
      <w:r>
        <w:continuationSeparator/>
      </w:r>
    </w:p>
  </w:endnote>
  <w:endnote w:id="1">
    <w:p w14:paraId="6EED43C9" w14:textId="79DEFF17" w:rsidR="003D7BD2" w:rsidRPr="00D6661E" w:rsidRDefault="003D7BD2">
      <w:pPr>
        <w:pStyle w:val="EndnoteText"/>
        <w:rPr>
          <w:lang w:val="en-US"/>
        </w:rPr>
      </w:pPr>
      <w:r>
        <w:rPr>
          <w:rStyle w:val="EndnoteReference"/>
        </w:rPr>
        <w:endnoteRef/>
      </w:r>
      <w:r>
        <w:t xml:space="preserve"> Jacques </w:t>
      </w:r>
      <w:r>
        <w:rPr>
          <w:lang w:val="en-US"/>
        </w:rPr>
        <w:t>Derrida, “</w:t>
      </w:r>
      <w:r>
        <w:t>To Speculate-on ‘Freud’”</w:t>
      </w:r>
      <w:r w:rsidRPr="004A6134">
        <w:t xml:space="preserve"> in </w:t>
      </w:r>
      <w:r w:rsidRPr="00035E50">
        <w:rPr>
          <w:i/>
        </w:rPr>
        <w:t>The Postcard</w:t>
      </w:r>
      <w:r>
        <w:rPr>
          <w:i/>
        </w:rPr>
        <w:t>: from Socrates to Freud and Beyond</w:t>
      </w:r>
      <w:r>
        <w:t>, Alan Bass, trans. (Chicago University Press, 1987), 288</w:t>
      </w:r>
    </w:p>
  </w:endnote>
  <w:endnote w:id="2">
    <w:p w14:paraId="1573023E" w14:textId="62EB7B2B" w:rsidR="003D7BD2" w:rsidRPr="00D6661E" w:rsidRDefault="003D7BD2">
      <w:pPr>
        <w:pStyle w:val="EndnoteText"/>
        <w:rPr>
          <w:lang w:val="en-US"/>
        </w:rPr>
      </w:pPr>
      <w:r>
        <w:rPr>
          <w:rStyle w:val="EndnoteReference"/>
        </w:rPr>
        <w:endnoteRef/>
      </w:r>
      <w:r>
        <w:t xml:space="preserve"> </w:t>
      </w:r>
      <w:r w:rsidRPr="0038130D">
        <w:t xml:space="preserve">Sándor </w:t>
      </w:r>
      <w:r w:rsidRPr="0038130D">
        <w:rPr>
          <w:lang w:val="en-US"/>
        </w:rPr>
        <w:t>Ferenczi</w:t>
      </w:r>
      <w:r>
        <w:rPr>
          <w:lang w:val="en-US"/>
        </w:rPr>
        <w:t xml:space="preserve">, from his </w:t>
      </w:r>
      <w:r w:rsidRPr="00D6661E">
        <w:rPr>
          <w:i/>
          <w:lang w:val="en-US"/>
        </w:rPr>
        <w:t>Clinical Diary</w:t>
      </w:r>
      <w:r>
        <w:rPr>
          <w:lang w:val="en-US"/>
        </w:rPr>
        <w:t xml:space="preserve">, qtd in </w:t>
      </w:r>
      <w:r>
        <w:t xml:space="preserve">Elizabeth A. </w:t>
      </w:r>
      <w:r>
        <w:rPr>
          <w:lang w:val="en-US"/>
        </w:rPr>
        <w:t xml:space="preserve">Wilson, “Gut Feminism” in </w:t>
      </w:r>
      <w:r w:rsidRPr="006A0A0E">
        <w:rPr>
          <w:i/>
          <w:lang w:val="en-US"/>
        </w:rPr>
        <w:t>differences: a journal of feminist cultural studies</w:t>
      </w:r>
      <w:r>
        <w:rPr>
          <w:lang w:val="en-US"/>
        </w:rPr>
        <w:t xml:space="preserve"> 15.3. (2004): 75.</w:t>
      </w:r>
    </w:p>
  </w:endnote>
  <w:endnote w:id="3">
    <w:p w14:paraId="6151E484" w14:textId="085B6C5D" w:rsidR="003D7BD2" w:rsidRPr="004A6134" w:rsidRDefault="003D7BD2" w:rsidP="00FB2A27">
      <w:pPr>
        <w:pStyle w:val="EndnoteText"/>
        <w:rPr>
          <w:lang w:val="en-US"/>
        </w:rPr>
      </w:pPr>
      <w:r w:rsidRPr="004A6134">
        <w:rPr>
          <w:rStyle w:val="EndnoteReference"/>
        </w:rPr>
        <w:endnoteRef/>
      </w:r>
      <w:r w:rsidRPr="004A6134">
        <w:t xml:space="preserve"> </w:t>
      </w:r>
      <w:r>
        <w:t xml:space="preserve">For ‘material feminism’ </w:t>
      </w:r>
      <w:r>
        <w:rPr>
          <w:lang w:val="en-US"/>
        </w:rPr>
        <w:t>s</w:t>
      </w:r>
      <w:r w:rsidRPr="004A6134">
        <w:rPr>
          <w:lang w:val="en-US"/>
        </w:rPr>
        <w:t xml:space="preserve">ee </w:t>
      </w:r>
      <w:r>
        <w:rPr>
          <w:lang w:val="en-US"/>
        </w:rPr>
        <w:t xml:space="preserve">Stacy </w:t>
      </w:r>
      <w:r w:rsidRPr="004A6134">
        <w:rPr>
          <w:lang w:val="en-US"/>
        </w:rPr>
        <w:t xml:space="preserve">Alaimo and </w:t>
      </w:r>
      <w:r>
        <w:rPr>
          <w:lang w:val="en-US"/>
        </w:rPr>
        <w:t xml:space="preserve">Susan </w:t>
      </w:r>
      <w:r w:rsidRPr="004A6134">
        <w:rPr>
          <w:lang w:val="en-US"/>
        </w:rPr>
        <w:t xml:space="preserve">Hekman, eds. </w:t>
      </w:r>
      <w:r w:rsidRPr="004A6134">
        <w:rPr>
          <w:i/>
          <w:lang w:val="en-US"/>
        </w:rPr>
        <w:t>Material Feminisms</w:t>
      </w:r>
      <w:r>
        <w:rPr>
          <w:lang w:val="en-US"/>
        </w:rPr>
        <w:t xml:space="preserve"> (Indianopolis: Indiana University Press, 2007). </w:t>
      </w:r>
      <w:r>
        <w:t xml:space="preserve">Jacques </w:t>
      </w:r>
      <w:r>
        <w:rPr>
          <w:lang w:val="en-US"/>
        </w:rPr>
        <w:t xml:space="preserve">Derrida, “Freud and the Scene of Writing” in </w:t>
      </w:r>
      <w:r w:rsidRPr="00035E50">
        <w:rPr>
          <w:i/>
          <w:lang w:val="en-US"/>
        </w:rPr>
        <w:t>Writing and Difference</w:t>
      </w:r>
      <w:r>
        <w:rPr>
          <w:lang w:val="en-US"/>
        </w:rPr>
        <w:t>, Alan Bass, trans. (London: Routledge Kegan Paul, 1978) 196-231.</w:t>
      </w:r>
    </w:p>
  </w:endnote>
  <w:endnote w:id="4">
    <w:p w14:paraId="4001ADE7" w14:textId="61F82354" w:rsidR="003D7BD2" w:rsidRPr="00AC78BC" w:rsidRDefault="003D7BD2">
      <w:pPr>
        <w:pStyle w:val="EndnoteText"/>
        <w:rPr>
          <w:lang w:val="en-US"/>
        </w:rPr>
      </w:pPr>
      <w:r>
        <w:rPr>
          <w:rStyle w:val="EndnoteReference"/>
        </w:rPr>
        <w:endnoteRef/>
      </w:r>
      <w:r>
        <w:t xml:space="preserve"> Jacques </w:t>
      </w:r>
      <w:r>
        <w:rPr>
          <w:lang w:val="en-US"/>
        </w:rPr>
        <w:t xml:space="preserve">Derrida, </w:t>
      </w:r>
      <w:r w:rsidRPr="006C0795">
        <w:rPr>
          <w:i/>
          <w:lang w:val="en-US"/>
        </w:rPr>
        <w:t>Archive Fever</w:t>
      </w:r>
      <w:r>
        <w:rPr>
          <w:i/>
          <w:lang w:val="en-US"/>
        </w:rPr>
        <w:t>: A Freudian Impression</w:t>
      </w:r>
      <w:r>
        <w:rPr>
          <w:lang w:val="en-US"/>
        </w:rPr>
        <w:t>, Eric PRenowitz, trans. (Chicago: Chicago University Press, 1998).</w:t>
      </w:r>
    </w:p>
  </w:endnote>
  <w:endnote w:id="5">
    <w:p w14:paraId="6EE56A92" w14:textId="267DA33D" w:rsidR="003D7BD2" w:rsidRPr="00BF2B1D" w:rsidRDefault="003D7BD2" w:rsidP="00E53FA0">
      <w:pPr>
        <w:pStyle w:val="EndnoteText"/>
        <w:rPr>
          <w:lang w:val="en-US"/>
        </w:rPr>
      </w:pPr>
      <w:r w:rsidRPr="004A6134">
        <w:rPr>
          <w:rStyle w:val="EndnoteReference"/>
        </w:rPr>
        <w:endnoteRef/>
      </w:r>
      <w:r w:rsidRPr="004A6134">
        <w:t xml:space="preserve"> </w:t>
      </w:r>
      <w:r>
        <w:t xml:space="preserve">Jacques Lacan, </w:t>
      </w:r>
      <w:r w:rsidRPr="00FA6F33">
        <w:rPr>
          <w:i/>
        </w:rPr>
        <w:t>Ecrits</w:t>
      </w:r>
      <w:r>
        <w:rPr>
          <w:i/>
        </w:rPr>
        <w:t>: a selection</w:t>
      </w:r>
      <w:r>
        <w:t xml:space="preserve"> Alan Sheridan, trans. (New York and </w:t>
      </w:r>
      <w:r>
        <w:rPr>
          <w:lang w:val="en-US"/>
        </w:rPr>
        <w:t>London: Routledge, 2001). For examples of this moment in feminist theory see,</w:t>
      </w:r>
      <w:r w:rsidRPr="004A6134">
        <w:rPr>
          <w:lang w:val="en-US"/>
        </w:rPr>
        <w:t xml:space="preserve"> Kaja Silverman, </w:t>
      </w:r>
      <w:r w:rsidRPr="004A6134">
        <w:rPr>
          <w:i/>
          <w:lang w:val="en-US"/>
        </w:rPr>
        <w:t>The Subject of Semiotics</w:t>
      </w:r>
      <w:r w:rsidRPr="0096660D">
        <w:rPr>
          <w:lang w:val="en-US"/>
        </w:rPr>
        <w:t xml:space="preserve"> (</w:t>
      </w:r>
      <w:r>
        <w:rPr>
          <w:lang w:val="en-US"/>
        </w:rPr>
        <w:t xml:space="preserve">Oxford: Oxford University Press, 1984); Jacqueline Rose, </w:t>
      </w:r>
      <w:r w:rsidRPr="00A24CB9">
        <w:rPr>
          <w:i/>
          <w:lang w:val="en-US"/>
        </w:rPr>
        <w:t>Sexuality in the Field of Vision</w:t>
      </w:r>
      <w:r>
        <w:rPr>
          <w:lang w:val="en-US"/>
        </w:rPr>
        <w:t>, (London: Verso, 1986).</w:t>
      </w:r>
    </w:p>
  </w:endnote>
  <w:endnote w:id="6">
    <w:p w14:paraId="308CDA5A" w14:textId="6A21464F"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See</w:t>
      </w:r>
      <w:r>
        <w:rPr>
          <w:lang w:val="en-US"/>
        </w:rPr>
        <w:t xml:space="preserve"> for example,</w:t>
      </w:r>
      <w:r w:rsidRPr="004A6134">
        <w:rPr>
          <w:lang w:val="en-US"/>
        </w:rPr>
        <w:t xml:space="preserve"> </w:t>
      </w:r>
      <w:r>
        <w:rPr>
          <w:lang w:val="en-US"/>
        </w:rPr>
        <w:t xml:space="preserve">Rosi Braidotti, </w:t>
      </w:r>
      <w:r w:rsidRPr="00AC78BC">
        <w:rPr>
          <w:i/>
          <w:lang w:val="en-US"/>
        </w:rPr>
        <w:t>Nomadic Subjects: Embodiment and Sexual Difference in Contemporary Feminist Theory</w:t>
      </w:r>
      <w:r>
        <w:rPr>
          <w:lang w:val="en-US"/>
        </w:rPr>
        <w:t xml:space="preserve"> (New York: Columbia University Press, 1994).</w:t>
      </w:r>
    </w:p>
  </w:endnote>
  <w:endnote w:id="7">
    <w:p w14:paraId="6A0D7B04" w14:textId="77777777" w:rsidR="003D7BD2" w:rsidRPr="00F427A3" w:rsidRDefault="003D7BD2" w:rsidP="003A4529">
      <w:pPr>
        <w:pStyle w:val="EndnoteText"/>
        <w:rPr>
          <w:lang w:val="en-US"/>
        </w:rPr>
      </w:pPr>
      <w:r>
        <w:rPr>
          <w:rStyle w:val="EndnoteReference"/>
        </w:rPr>
        <w:endnoteRef/>
      </w:r>
      <w:r>
        <w:t xml:space="preserve"> </w:t>
      </w:r>
      <w:r>
        <w:rPr>
          <w:lang w:val="en-US"/>
        </w:rPr>
        <w:t xml:space="preserve">Though it is beyond the remit of this chapter, speculation has returned with some vigor in recent years under the name ‘Speculative Realism.’ For a critique of this return see Johnny Golding, “Ecce Homo Sexual: Ontology and Eros in the Age of Incompleteness and Entanglement” in </w:t>
      </w:r>
      <w:r w:rsidRPr="00626043">
        <w:rPr>
          <w:i/>
          <w:lang w:val="en-US"/>
        </w:rPr>
        <w:t>parallax</w:t>
      </w:r>
      <w:r>
        <w:rPr>
          <w:lang w:val="en-US"/>
        </w:rPr>
        <w:t xml:space="preserve"> 20.3 (2014): 217-230.</w:t>
      </w:r>
    </w:p>
  </w:endnote>
  <w:endnote w:id="8">
    <w:p w14:paraId="7A345F49" w14:textId="77777777" w:rsidR="003D7BD2" w:rsidRPr="004A6134" w:rsidRDefault="003D7BD2" w:rsidP="00CB7F0D">
      <w:pPr>
        <w:pStyle w:val="EndnoteText"/>
        <w:rPr>
          <w:lang w:val="en-US"/>
        </w:rPr>
      </w:pPr>
      <w:r w:rsidRPr="004A6134">
        <w:rPr>
          <w:rStyle w:val="EndnoteReference"/>
        </w:rPr>
        <w:endnoteRef/>
      </w:r>
      <w:r w:rsidRPr="004A6134">
        <w:t xml:space="preserve"> </w:t>
      </w:r>
      <w:r>
        <w:rPr>
          <w:lang w:val="en-US"/>
        </w:rPr>
        <w:t>Freud writes</w:t>
      </w:r>
      <w:r w:rsidRPr="004A6134">
        <w:rPr>
          <w:lang w:val="en-US"/>
        </w:rPr>
        <w:t xml:space="preserve">: </w:t>
      </w:r>
    </w:p>
    <w:p w14:paraId="46386170" w14:textId="77777777" w:rsidR="003D7BD2" w:rsidRPr="0055047D" w:rsidRDefault="003D7BD2" w:rsidP="00CB7F0D">
      <w:pPr>
        <w:pStyle w:val="EndnoteText"/>
        <w:ind w:left="720"/>
      </w:pPr>
      <w:r w:rsidRPr="004A6134">
        <w:t xml:space="preserve">[…] the juxtaposition ‘feminine libido’ is without any justification. Furthermore, it is </w:t>
      </w:r>
      <w:r w:rsidRPr="005F1146">
        <w:t xml:space="preserve">our impression that more constraint has been applied to the libido when it is pressed into the service of the feminine function, and that – </w:t>
      </w:r>
      <w:r w:rsidRPr="005F1146">
        <w:rPr>
          <w:i/>
        </w:rPr>
        <w:t>to speak teleologically</w:t>
      </w:r>
      <w:r w:rsidRPr="005F1146">
        <w:t xml:space="preserve"> – Nature takes less careful account of its [that function’s] demands than in the</w:t>
      </w:r>
      <w:r w:rsidRPr="004A6134">
        <w:t xml:space="preserve"> case of masculinity. And the reason for this may lie – thinking once again </w:t>
      </w:r>
      <w:r w:rsidRPr="00733ABD">
        <w:rPr>
          <w:i/>
        </w:rPr>
        <w:t>teleologically</w:t>
      </w:r>
      <w:r w:rsidRPr="004A6134">
        <w:t xml:space="preserve"> – in the fact that the accomplishment of the aim of biology has been entrusted to the aggressiveness of men and has been made to some extent independent of women’s consent. </w:t>
      </w:r>
      <w:r>
        <w:t xml:space="preserve">(my emphasis) “Femininity” in </w:t>
      </w:r>
      <w:r w:rsidRPr="00275903">
        <w:rPr>
          <w:i/>
        </w:rPr>
        <w:t>New Introductory Lectures on Psychoanalysis</w:t>
      </w:r>
      <w:r>
        <w:t>, V 2 in The Penguin Freud Library, James Strachey, trans. (London: Penguin, 1991) 166</w:t>
      </w:r>
      <w:r w:rsidRPr="004A6134">
        <w:rPr>
          <w:lang w:val="en-US"/>
        </w:rPr>
        <w:t xml:space="preserve"> </w:t>
      </w:r>
    </w:p>
  </w:endnote>
  <w:endnote w:id="9">
    <w:p w14:paraId="07424FE5" w14:textId="77777777" w:rsidR="003D7BD2" w:rsidRPr="004263A1" w:rsidRDefault="003D7BD2" w:rsidP="00362413">
      <w:pPr>
        <w:pStyle w:val="EndnoteText"/>
        <w:rPr>
          <w:lang w:eastAsia="en-US"/>
        </w:rPr>
      </w:pPr>
      <w:r w:rsidRPr="004263A1">
        <w:rPr>
          <w:rStyle w:val="EndnoteReference"/>
        </w:rPr>
        <w:endnoteRef/>
      </w:r>
      <w:r w:rsidRPr="004263A1">
        <w:t xml:space="preserve"> </w:t>
      </w:r>
      <w:r>
        <w:rPr>
          <w:lang w:val="en-US"/>
        </w:rPr>
        <w:t>See</w:t>
      </w:r>
      <w:r w:rsidRPr="004263A1">
        <w:rPr>
          <w:lang w:val="en-US"/>
        </w:rPr>
        <w:t xml:space="preserve"> Donna Haraway</w:t>
      </w:r>
      <w:r>
        <w:rPr>
          <w:lang w:val="en-US"/>
        </w:rPr>
        <w:t xml:space="preserve">’s </w:t>
      </w:r>
      <w:r w:rsidRPr="004263A1">
        <w:rPr>
          <w:rFonts w:eastAsiaTheme="minorEastAsia"/>
          <w:lang w:val="en-US" w:eastAsia="en-US"/>
        </w:rPr>
        <w:t>Pilgrim Award acceptance comments</w:t>
      </w:r>
      <w:r>
        <w:rPr>
          <w:lang w:val="en-US"/>
        </w:rPr>
        <w:t>: “</w:t>
      </w:r>
      <w:r w:rsidRPr="004263A1">
        <w:rPr>
          <w:rFonts w:eastAsiaTheme="minorEastAsia"/>
          <w:lang w:val="en-US" w:eastAsia="en-US"/>
        </w:rPr>
        <w:t>SF: Science Fiction, Speculative Fabu</w:t>
      </w:r>
      <w:r>
        <w:rPr>
          <w:rFonts w:eastAsiaTheme="minorEastAsia"/>
          <w:lang w:val="en-US" w:eastAsia="en-US"/>
        </w:rPr>
        <w:t>lation, String Figures, So Far,” in</w:t>
      </w:r>
      <w:r w:rsidRPr="004263A1">
        <w:rPr>
          <w:rFonts w:eastAsiaTheme="minorEastAsia"/>
          <w:lang w:val="en-US" w:eastAsia="en-US"/>
        </w:rPr>
        <w:t xml:space="preserve"> </w:t>
      </w:r>
      <w:r w:rsidRPr="004263A1">
        <w:rPr>
          <w:i/>
          <w:shd w:val="clear" w:color="auto" w:fill="FAFAFB"/>
          <w:lang w:eastAsia="en-US"/>
        </w:rPr>
        <w:t>SFRA</w:t>
      </w:r>
      <w:r w:rsidRPr="004263A1">
        <w:rPr>
          <w:shd w:val="clear" w:color="auto" w:fill="FAFAFB"/>
          <w:lang w:eastAsia="en-US"/>
        </w:rPr>
        <w:t xml:space="preserve"> </w:t>
      </w:r>
      <w:r w:rsidRPr="004263A1">
        <w:rPr>
          <w:i/>
          <w:shd w:val="clear" w:color="auto" w:fill="FAFAFB"/>
          <w:lang w:eastAsia="en-US"/>
        </w:rPr>
        <w:t>Review</w:t>
      </w:r>
      <w:r>
        <w:rPr>
          <w:shd w:val="clear" w:color="auto" w:fill="FAFAFB"/>
          <w:lang w:eastAsia="en-US"/>
        </w:rPr>
        <w:t xml:space="preserve"> 297 (2011):</w:t>
      </w:r>
      <w:r w:rsidRPr="004263A1">
        <w:rPr>
          <w:shd w:val="clear" w:color="auto" w:fill="FAFAFB"/>
          <w:lang w:eastAsia="en-US"/>
        </w:rPr>
        <w:t xml:space="preserve"> 12-19.</w:t>
      </w:r>
      <w:r>
        <w:rPr>
          <w:lang w:eastAsia="en-US"/>
        </w:rPr>
        <w:t xml:space="preserve"> </w:t>
      </w:r>
      <w:r w:rsidRPr="004263A1">
        <w:rPr>
          <w:rFonts w:eastAsiaTheme="minorEastAsia"/>
          <w:lang w:val="en-US" w:eastAsia="en-US"/>
        </w:rPr>
        <w:t>Her work frequently appeals to feminist science fiction such as that of Octavia Butler or Ursula LeGuin.</w:t>
      </w:r>
      <w:r>
        <w:rPr>
          <w:rFonts w:eastAsiaTheme="minorEastAsia"/>
          <w:lang w:val="en-US" w:eastAsia="en-US"/>
        </w:rPr>
        <w:t xml:space="preserve"> </w:t>
      </w:r>
    </w:p>
  </w:endnote>
  <w:endnote w:id="10">
    <w:p w14:paraId="4E2B0F54" w14:textId="364FFD24" w:rsidR="003D7BD2" w:rsidRPr="004A6134" w:rsidRDefault="003D7BD2" w:rsidP="003C14D0">
      <w:pPr>
        <w:pStyle w:val="EndnoteText"/>
        <w:rPr>
          <w:lang w:val="en-US"/>
        </w:rPr>
      </w:pPr>
      <w:r w:rsidRPr="004A6134">
        <w:rPr>
          <w:rStyle w:val="EndnoteReference"/>
        </w:rPr>
        <w:endnoteRef/>
      </w:r>
      <w:r w:rsidRPr="004A6134">
        <w:t xml:space="preserve"> </w:t>
      </w:r>
      <w:r>
        <w:t xml:space="preserve">I roughly and provisionally distinguish between those scholars associated strongly with deconstruction who have also foregrounded feminist questions such as Peggy Kamuf or Elissa Marder, from feminist theorists who also incorporate strong readings of Derrida. </w:t>
      </w:r>
    </w:p>
  </w:endnote>
  <w:endnote w:id="11">
    <w:p w14:paraId="7EF781FA" w14:textId="6FD189A4" w:rsidR="003D7BD2" w:rsidRPr="004A6134" w:rsidRDefault="003D7BD2" w:rsidP="00C97D92">
      <w:pPr>
        <w:pStyle w:val="EndnoteText"/>
        <w:rPr>
          <w:lang w:val="en-US"/>
        </w:rPr>
      </w:pPr>
      <w:r w:rsidRPr="004A6134">
        <w:rPr>
          <w:rStyle w:val="EndnoteReference"/>
        </w:rPr>
        <w:endnoteRef/>
      </w:r>
      <w:r w:rsidRPr="004A6134">
        <w:t xml:space="preserve"> </w:t>
      </w:r>
      <w:r w:rsidRPr="004A6134">
        <w:rPr>
          <w:lang w:val="en-US"/>
        </w:rPr>
        <w:t xml:space="preserve">Freud, </w:t>
      </w:r>
      <w:r>
        <w:rPr>
          <w:lang w:val="en-US"/>
        </w:rPr>
        <w:t xml:space="preserve">“Beyond the Pleasure Principle,” </w:t>
      </w:r>
      <w:r w:rsidRPr="004A6134">
        <w:rPr>
          <w:lang w:val="en-US"/>
        </w:rPr>
        <w:t>334.</w:t>
      </w:r>
    </w:p>
  </w:endnote>
  <w:endnote w:id="12">
    <w:p w14:paraId="264818ED" w14:textId="75252F7D"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 xml:space="preserve">Freud, </w:t>
      </w:r>
      <w:r>
        <w:rPr>
          <w:lang w:val="en-US"/>
        </w:rPr>
        <w:t>“Beyond the Pleasure Principle,”</w:t>
      </w:r>
      <w:r w:rsidRPr="004A6134">
        <w:rPr>
          <w:lang w:val="en-US"/>
        </w:rPr>
        <w:t xml:space="preserve"> 275.</w:t>
      </w:r>
    </w:p>
  </w:endnote>
  <w:endnote w:id="13">
    <w:p w14:paraId="644E9AB9" w14:textId="69724409"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 xml:space="preserve">Freud, </w:t>
      </w:r>
      <w:r>
        <w:rPr>
          <w:lang w:val="en-US"/>
        </w:rPr>
        <w:t>“Beyond the Pleasure Principle,”</w:t>
      </w:r>
      <w:r w:rsidRPr="004A6134">
        <w:rPr>
          <w:lang w:val="en-US"/>
        </w:rPr>
        <w:t xml:space="preserve"> 275.</w:t>
      </w:r>
    </w:p>
  </w:endnote>
  <w:endnote w:id="14">
    <w:p w14:paraId="1B69456E" w14:textId="59B53791"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Derrida, “To Speculate,” </w:t>
      </w:r>
      <w:r w:rsidRPr="004A6134">
        <w:rPr>
          <w:lang w:val="en-US"/>
        </w:rPr>
        <w:t>293.</w:t>
      </w:r>
    </w:p>
  </w:endnote>
  <w:endnote w:id="15">
    <w:p w14:paraId="1727A218" w14:textId="142691C3" w:rsidR="003D7BD2" w:rsidRPr="00BD0413" w:rsidRDefault="003D7BD2">
      <w:pPr>
        <w:pStyle w:val="EndnoteText"/>
        <w:rPr>
          <w:lang w:val="en-US"/>
        </w:rPr>
      </w:pPr>
      <w:r>
        <w:rPr>
          <w:rStyle w:val="EndnoteReference"/>
        </w:rPr>
        <w:endnoteRef/>
      </w:r>
      <w:r>
        <w:t xml:space="preserve"> </w:t>
      </w:r>
      <w:r>
        <w:rPr>
          <w:lang w:val="en-US"/>
        </w:rPr>
        <w:t>Derrida, “Freud and the Scene of Writing,” 230.</w:t>
      </w:r>
    </w:p>
  </w:endnote>
  <w:endnote w:id="16">
    <w:p w14:paraId="7D63AF73" w14:textId="5CBAF41D" w:rsidR="003D7BD2" w:rsidRPr="003B7739" w:rsidRDefault="003D7BD2">
      <w:pPr>
        <w:pStyle w:val="EndnoteText"/>
        <w:rPr>
          <w:lang w:val="en-US"/>
        </w:rPr>
      </w:pPr>
      <w:r>
        <w:rPr>
          <w:rStyle w:val="EndnoteReference"/>
        </w:rPr>
        <w:endnoteRef/>
      </w:r>
      <w:r>
        <w:t xml:space="preserve"> </w:t>
      </w:r>
      <w:r>
        <w:rPr>
          <w:lang w:val="en-US"/>
        </w:rPr>
        <w:t>Derrida, “To Speculate,” 317</w:t>
      </w:r>
      <w:r w:rsidRPr="004A6134">
        <w:rPr>
          <w:lang w:val="en-US"/>
        </w:rPr>
        <w:t>.</w:t>
      </w:r>
      <w:r>
        <w:rPr>
          <w:lang w:val="en-US"/>
        </w:rPr>
        <w:t xml:space="preserve"> See Freud “Beyond the Pleasure Principle,” 284.</w:t>
      </w:r>
    </w:p>
  </w:endnote>
  <w:endnote w:id="17">
    <w:p w14:paraId="72E5A653" w14:textId="2391EFFC"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Derrida, “To Speculate,” </w:t>
      </w:r>
      <w:r w:rsidRPr="004A6134">
        <w:rPr>
          <w:lang w:val="en-US"/>
        </w:rPr>
        <w:t>393.</w:t>
      </w:r>
    </w:p>
  </w:endnote>
  <w:endnote w:id="18">
    <w:p w14:paraId="5B3DE631" w14:textId="4C8CB2B1" w:rsidR="003D7BD2" w:rsidRPr="004A6134" w:rsidRDefault="003D7BD2">
      <w:pPr>
        <w:pStyle w:val="EndnoteText"/>
        <w:rPr>
          <w:lang w:val="en-US"/>
        </w:rPr>
      </w:pPr>
      <w:r w:rsidRPr="004A6134">
        <w:rPr>
          <w:rStyle w:val="EndnoteReference"/>
        </w:rPr>
        <w:endnoteRef/>
      </w:r>
      <w:r w:rsidRPr="004A6134">
        <w:t xml:space="preserve"> </w:t>
      </w:r>
      <w:r>
        <w:rPr>
          <w:lang w:val="en-US"/>
        </w:rPr>
        <w:t>David Wills suggests it is an “Order Catastrophically Unknown”</w:t>
      </w:r>
      <w:r w:rsidRPr="004A6134">
        <w:rPr>
          <w:lang w:val="en-US"/>
        </w:rPr>
        <w:t xml:space="preserve"> in </w:t>
      </w:r>
      <w:r w:rsidRPr="004A6134">
        <w:rPr>
          <w:i/>
          <w:lang w:val="en-US"/>
        </w:rPr>
        <w:t>Mosaic: a journal for the interdisciplinary study of literature</w:t>
      </w:r>
      <w:r>
        <w:rPr>
          <w:lang w:val="en-US"/>
        </w:rPr>
        <w:t xml:space="preserve"> 44.4</w:t>
      </w:r>
      <w:r w:rsidRPr="004A6134">
        <w:rPr>
          <w:lang w:val="en-US"/>
        </w:rPr>
        <w:t xml:space="preserve"> </w:t>
      </w:r>
      <w:r>
        <w:rPr>
          <w:lang w:val="en-US"/>
        </w:rPr>
        <w:t>(2011):</w:t>
      </w:r>
      <w:r w:rsidRPr="004A6134">
        <w:rPr>
          <w:lang w:val="en-US"/>
        </w:rPr>
        <w:t xml:space="preserve"> 21-41.</w:t>
      </w:r>
    </w:p>
  </w:endnote>
  <w:endnote w:id="19">
    <w:p w14:paraId="4AAD420F" w14:textId="27967500"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Derrida, “To Speculate” </w:t>
      </w:r>
      <w:r w:rsidRPr="004A6134">
        <w:rPr>
          <w:lang w:val="en-US"/>
        </w:rPr>
        <w:t>259.</w:t>
      </w:r>
    </w:p>
  </w:endnote>
  <w:endnote w:id="20">
    <w:p w14:paraId="6E663B58" w14:textId="69150597" w:rsidR="003D7BD2" w:rsidRPr="004A6134" w:rsidRDefault="003D7BD2" w:rsidP="007513E6">
      <w:pPr>
        <w:pStyle w:val="EndnoteText"/>
        <w:rPr>
          <w:lang w:val="en-US"/>
        </w:rPr>
      </w:pPr>
      <w:r w:rsidRPr="004A6134">
        <w:rPr>
          <w:rStyle w:val="EndnoteReference"/>
        </w:rPr>
        <w:endnoteRef/>
      </w:r>
      <w:r w:rsidRPr="004A6134">
        <w:t xml:space="preserve"> </w:t>
      </w:r>
      <w:r>
        <w:t xml:space="preserve">For </w:t>
      </w:r>
      <w:r w:rsidRPr="004A6134">
        <w:t>Freud</w:t>
      </w:r>
      <w:r>
        <w:t>’s famous summation of the primal feast as murder and cannibalism of the father see</w:t>
      </w:r>
      <w:r w:rsidRPr="004A6134">
        <w:t xml:space="preserve">, </w:t>
      </w:r>
      <w:r w:rsidRPr="004A6134">
        <w:rPr>
          <w:i/>
        </w:rPr>
        <w:t>Totem and Taboo</w:t>
      </w:r>
      <w:r>
        <w:rPr>
          <w:i/>
        </w:rPr>
        <w:t>: some points of agreement between the Mental Lives of Savages and Neurotics</w:t>
      </w:r>
      <w:r w:rsidRPr="004A6134">
        <w:t>,</w:t>
      </w:r>
      <w:r>
        <w:t xml:space="preserve"> James Strachey, trans. (London: Routledge, 2001) 164. </w:t>
      </w:r>
      <w:r w:rsidRPr="0038130D">
        <w:t xml:space="preserve">Sándor </w:t>
      </w:r>
      <w:r w:rsidRPr="0038130D">
        <w:rPr>
          <w:lang w:val="en-US"/>
        </w:rPr>
        <w:t>Ferenczi</w:t>
      </w:r>
      <w:r w:rsidRPr="004A6134">
        <w:rPr>
          <w:lang w:val="en-US"/>
        </w:rPr>
        <w:t xml:space="preserve">, </w:t>
      </w:r>
      <w:r w:rsidRPr="004A6134">
        <w:rPr>
          <w:i/>
          <w:lang w:val="en-US"/>
        </w:rPr>
        <w:t>Thalassa</w:t>
      </w:r>
      <w:r>
        <w:rPr>
          <w:i/>
          <w:lang w:val="en-US"/>
        </w:rPr>
        <w:t>: A Theory of Genitality,</w:t>
      </w:r>
      <w:r>
        <w:rPr>
          <w:lang w:val="en-US"/>
        </w:rPr>
        <w:t xml:space="preserve"> Henry Alden Bunker</w:t>
      </w:r>
      <w:r w:rsidRPr="004A6134">
        <w:rPr>
          <w:i/>
          <w:lang w:val="en-US"/>
        </w:rPr>
        <w:t>,</w:t>
      </w:r>
      <w:r>
        <w:rPr>
          <w:lang w:val="en-US"/>
        </w:rPr>
        <w:t xml:space="preserve"> trans. (London: Karnac, 2005) </w:t>
      </w:r>
      <w:r w:rsidRPr="004A6134">
        <w:rPr>
          <w:lang w:val="en-US"/>
        </w:rPr>
        <w:t>99.</w:t>
      </w:r>
    </w:p>
  </w:endnote>
  <w:endnote w:id="21">
    <w:p w14:paraId="0ABCA233" w14:textId="7FAB970D"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 xml:space="preserve">Ferenczi, </w:t>
      </w:r>
      <w:r w:rsidRPr="004A6134">
        <w:rPr>
          <w:i/>
          <w:lang w:val="en-US"/>
        </w:rPr>
        <w:t>Thalassa</w:t>
      </w:r>
      <w:r>
        <w:rPr>
          <w:lang w:val="en-US"/>
        </w:rPr>
        <w:t xml:space="preserve">, </w:t>
      </w:r>
      <w:r w:rsidRPr="004A6134">
        <w:rPr>
          <w:lang w:val="en-US"/>
        </w:rPr>
        <w:t>5</w:t>
      </w:r>
    </w:p>
  </w:endnote>
  <w:endnote w:id="22">
    <w:p w14:paraId="58E2B604" w14:textId="36EF66DD" w:rsidR="003D7BD2" w:rsidRPr="00155C36" w:rsidRDefault="003D7BD2">
      <w:pPr>
        <w:pStyle w:val="EndnoteText"/>
        <w:rPr>
          <w:lang w:val="en-US"/>
        </w:rPr>
      </w:pPr>
      <w:r>
        <w:rPr>
          <w:rStyle w:val="EndnoteReference"/>
        </w:rPr>
        <w:endnoteRef/>
      </w:r>
      <w:r>
        <w:t xml:space="preserve"> </w:t>
      </w:r>
      <w:r>
        <w:rPr>
          <w:lang w:val="en-US"/>
        </w:rPr>
        <w:t>Ferenczi dates his introduction ‘1923’, Freud’s ‘Beyond’ was first published in 1920. Todd Dufresne notes Ferenczi’s claims to priority,</w:t>
      </w:r>
      <w:r w:rsidRPr="004A6134">
        <w:rPr>
          <w:lang w:val="en-US"/>
        </w:rPr>
        <w:t xml:space="preserve"> </w:t>
      </w:r>
      <w:r>
        <w:rPr>
          <w:lang w:val="en-US"/>
        </w:rPr>
        <w:t xml:space="preserve">see </w:t>
      </w:r>
      <w:r w:rsidRPr="004A6134">
        <w:rPr>
          <w:i/>
          <w:lang w:val="en-US"/>
        </w:rPr>
        <w:t>Tales From the Freudian Crypt: The Death Drive in Text and Context</w:t>
      </w:r>
      <w:r>
        <w:rPr>
          <w:lang w:val="en-US"/>
        </w:rPr>
        <w:t xml:space="preserve"> (</w:t>
      </w:r>
      <w:r w:rsidRPr="004A6134">
        <w:rPr>
          <w:lang w:val="en-US"/>
        </w:rPr>
        <w:t>Stanford</w:t>
      </w:r>
      <w:r>
        <w:rPr>
          <w:lang w:val="en-US"/>
        </w:rPr>
        <w:t>:</w:t>
      </w:r>
      <w:r w:rsidRPr="004A6134">
        <w:rPr>
          <w:lang w:val="en-US"/>
        </w:rPr>
        <w:t xml:space="preserve"> Stanford University Press, 2000</w:t>
      </w:r>
      <w:r>
        <w:rPr>
          <w:lang w:val="en-US"/>
        </w:rPr>
        <w:t>) 62.</w:t>
      </w:r>
    </w:p>
  </w:endnote>
  <w:endnote w:id="23">
    <w:p w14:paraId="40FDABF2" w14:textId="4ACA07BF" w:rsidR="003D7BD2" w:rsidRPr="002D4EC0" w:rsidRDefault="003D7BD2" w:rsidP="00E11D2E">
      <w:pPr>
        <w:pStyle w:val="EndnoteText"/>
        <w:rPr>
          <w:lang w:val="en-US"/>
        </w:rPr>
      </w:pPr>
      <w:r w:rsidRPr="004A6134">
        <w:rPr>
          <w:rStyle w:val="EndnoteReference"/>
        </w:rPr>
        <w:endnoteRef/>
      </w:r>
      <w:r w:rsidRPr="004A6134">
        <w:t xml:space="preserve"> </w:t>
      </w:r>
      <w:r>
        <w:rPr>
          <w:lang w:val="en-US"/>
        </w:rPr>
        <w:t xml:space="preserve">Wilson, “Gut Feminism,” in </w:t>
      </w:r>
      <w:r w:rsidRPr="006A0A0E">
        <w:rPr>
          <w:i/>
          <w:lang w:val="en-US"/>
        </w:rPr>
        <w:t>differences: a journal of feminist cultural studies</w:t>
      </w:r>
      <w:r>
        <w:rPr>
          <w:lang w:val="en-US"/>
        </w:rPr>
        <w:t xml:space="preserve">, 15.3. 2004, </w:t>
      </w:r>
      <w:r w:rsidRPr="004A6134">
        <w:rPr>
          <w:lang w:val="en-US"/>
        </w:rPr>
        <w:t xml:space="preserve">70. Wilson also remarks on the scant attention to </w:t>
      </w:r>
      <w:r w:rsidRPr="004A6134">
        <w:rPr>
          <w:i/>
          <w:lang w:val="en-US"/>
        </w:rPr>
        <w:t>Thalassa</w:t>
      </w:r>
      <w:r w:rsidRPr="004A6134">
        <w:rPr>
          <w:lang w:val="en-US"/>
        </w:rPr>
        <w:t xml:space="preserve">, however we </w:t>
      </w:r>
      <w:r w:rsidRPr="002D4EC0">
        <w:rPr>
          <w:lang w:val="en-US"/>
        </w:rPr>
        <w:t>should note the affirmative introduction written for the French edition by Nicolas Abraham in 1962 (Editions Payot, 1968).</w:t>
      </w:r>
    </w:p>
  </w:endnote>
  <w:endnote w:id="24">
    <w:p w14:paraId="0A6226BA" w14:textId="2362A5C4" w:rsidR="003D7BD2" w:rsidRPr="002D4EC0" w:rsidRDefault="003D7BD2" w:rsidP="002D4EC0">
      <w:pPr>
        <w:pStyle w:val="EndnoteText"/>
        <w:rPr>
          <w:rFonts w:eastAsiaTheme="minorEastAsia"/>
          <w:lang w:val="en-US" w:eastAsia="en-US"/>
        </w:rPr>
      </w:pPr>
      <w:r w:rsidRPr="002D4EC0">
        <w:rPr>
          <w:rStyle w:val="EndnoteReference"/>
        </w:rPr>
        <w:endnoteRef/>
      </w:r>
      <w:r w:rsidRPr="002D4EC0">
        <w:t xml:space="preserve"> </w:t>
      </w:r>
      <w:r w:rsidRPr="002D4EC0">
        <w:rPr>
          <w:lang w:val="en-US"/>
        </w:rPr>
        <w:t xml:space="preserve">Wilson cites the correspondence published as: </w:t>
      </w:r>
      <w:r w:rsidRPr="002D4EC0">
        <w:rPr>
          <w:rFonts w:eastAsiaTheme="minorEastAsia"/>
          <w:lang w:val="en-US" w:eastAsia="en-US"/>
        </w:rPr>
        <w:t xml:space="preserve">Ferenczi, Sándor, and Sigmund Freud. </w:t>
      </w:r>
      <w:r w:rsidRPr="002D4EC0">
        <w:rPr>
          <w:rFonts w:eastAsiaTheme="minorEastAsia"/>
          <w:i/>
          <w:iCs/>
          <w:lang w:val="en-US" w:eastAsia="en-US"/>
        </w:rPr>
        <w:t>The Correspondence of Sigmund Freud and Sándor Ferenczi: Vol. 2, 1914–1919</w:t>
      </w:r>
      <w:r>
        <w:rPr>
          <w:rFonts w:eastAsiaTheme="minorEastAsia"/>
          <w:lang w:val="en-US" w:eastAsia="en-US"/>
        </w:rPr>
        <w:t>,</w:t>
      </w:r>
      <w:r w:rsidRPr="002D4EC0">
        <w:rPr>
          <w:rFonts w:eastAsiaTheme="minorEastAsia"/>
          <w:lang w:val="en-US" w:eastAsia="en-US"/>
        </w:rPr>
        <w:t xml:space="preserve"> </w:t>
      </w:r>
      <w:r>
        <w:rPr>
          <w:rFonts w:eastAsiaTheme="minorEastAsia"/>
          <w:lang w:val="en-US" w:eastAsia="en-US"/>
        </w:rPr>
        <w:t>Ernst Falzeder and Eva Brandt, e</w:t>
      </w:r>
      <w:r w:rsidRPr="002D4EC0">
        <w:rPr>
          <w:rFonts w:eastAsiaTheme="minorEastAsia"/>
          <w:lang w:val="en-US" w:eastAsia="en-US"/>
        </w:rPr>
        <w:t>d</w:t>
      </w:r>
      <w:r>
        <w:rPr>
          <w:rFonts w:eastAsiaTheme="minorEastAsia"/>
          <w:lang w:val="en-US" w:eastAsia="en-US"/>
        </w:rPr>
        <w:t>s</w:t>
      </w:r>
      <w:r w:rsidRPr="002D4EC0">
        <w:rPr>
          <w:rFonts w:eastAsiaTheme="minorEastAsia"/>
          <w:lang w:val="en-US" w:eastAsia="en-US"/>
        </w:rPr>
        <w:t xml:space="preserve">. </w:t>
      </w:r>
      <w:r>
        <w:rPr>
          <w:rFonts w:eastAsiaTheme="minorEastAsia"/>
          <w:lang w:val="en-US" w:eastAsia="en-US"/>
        </w:rPr>
        <w:t>Peter T. Hoffer, t</w:t>
      </w:r>
      <w:r w:rsidRPr="002D4EC0">
        <w:rPr>
          <w:rFonts w:eastAsiaTheme="minorEastAsia"/>
          <w:lang w:val="en-US" w:eastAsia="en-US"/>
        </w:rPr>
        <w:t xml:space="preserve">rans. </w:t>
      </w:r>
      <w:r>
        <w:rPr>
          <w:rFonts w:eastAsiaTheme="minorEastAsia"/>
          <w:lang w:val="en-US" w:eastAsia="en-US"/>
        </w:rPr>
        <w:t>(</w:t>
      </w:r>
      <w:r w:rsidRPr="002D4EC0">
        <w:rPr>
          <w:rFonts w:eastAsiaTheme="minorEastAsia"/>
          <w:lang w:val="en-US" w:eastAsia="en-US"/>
        </w:rPr>
        <w:t>Cambridge: Belknap, 1996</w:t>
      </w:r>
      <w:r>
        <w:rPr>
          <w:rFonts w:eastAsiaTheme="minorEastAsia"/>
          <w:lang w:val="en-US" w:eastAsia="en-US"/>
        </w:rPr>
        <w:t>)</w:t>
      </w:r>
      <w:r w:rsidRPr="002D4EC0">
        <w:rPr>
          <w:rFonts w:eastAsiaTheme="minorEastAsia"/>
          <w:lang w:val="en-US" w:eastAsia="en-US"/>
        </w:rPr>
        <w:t>.</w:t>
      </w:r>
      <w:r>
        <w:rPr>
          <w:rFonts w:eastAsiaTheme="minorEastAsia"/>
          <w:lang w:val="en-US" w:eastAsia="en-US"/>
        </w:rPr>
        <w:t xml:space="preserve"> The citation ironically shows up the hierarchy between these proper names when Freud comes before </w:t>
      </w:r>
      <w:r w:rsidRPr="002D4EC0">
        <w:rPr>
          <w:rFonts w:eastAsiaTheme="minorEastAsia"/>
          <w:iCs/>
          <w:lang w:val="en-US" w:eastAsia="en-US"/>
        </w:rPr>
        <w:t>Ferenczi</w:t>
      </w:r>
      <w:r>
        <w:rPr>
          <w:rFonts w:eastAsiaTheme="minorEastAsia"/>
          <w:iCs/>
          <w:lang w:val="en-US" w:eastAsia="en-US"/>
        </w:rPr>
        <w:t>. Wilson’s own publications show, also ironically, her efforts to identify herself by virtue of the middle initial, given the host of other established academics also publishing in the humanities under the name ‘Elizabeth Wilson’.</w:t>
      </w:r>
    </w:p>
  </w:endnote>
  <w:endnote w:id="25">
    <w:p w14:paraId="3B8DF3F9" w14:textId="1A7E17EA" w:rsidR="003D7BD2" w:rsidRPr="004A6134" w:rsidRDefault="003D7BD2">
      <w:pPr>
        <w:pStyle w:val="EndnoteText"/>
        <w:rPr>
          <w:lang w:val="en-US"/>
        </w:rPr>
      </w:pPr>
      <w:r w:rsidRPr="002D4EC0">
        <w:rPr>
          <w:rStyle w:val="EndnoteReference"/>
        </w:rPr>
        <w:endnoteRef/>
      </w:r>
      <w:r w:rsidRPr="002D4EC0">
        <w:t xml:space="preserve"> </w:t>
      </w:r>
      <w:r w:rsidRPr="002D4EC0">
        <w:rPr>
          <w:lang w:val="en-US"/>
        </w:rPr>
        <w:t xml:space="preserve">Ferenczi, </w:t>
      </w:r>
      <w:r w:rsidRPr="002D4EC0">
        <w:rPr>
          <w:i/>
          <w:lang w:val="en-US"/>
        </w:rPr>
        <w:t xml:space="preserve">Thalassa, </w:t>
      </w:r>
      <w:r w:rsidRPr="002D4EC0">
        <w:rPr>
          <w:lang w:val="en-US"/>
        </w:rPr>
        <w:t>19.</w:t>
      </w:r>
    </w:p>
  </w:endnote>
  <w:endnote w:id="26">
    <w:p w14:paraId="42C0622D" w14:textId="0463E6ED"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Emp</w:t>
      </w:r>
      <w:r>
        <w:rPr>
          <w:lang w:val="en-US"/>
        </w:rPr>
        <w:t>hasis mine. Notes to the essay “Gut Feminism”</w:t>
      </w:r>
      <w:r w:rsidRPr="004A6134">
        <w:rPr>
          <w:lang w:val="en-US"/>
        </w:rPr>
        <w:t xml:space="preserve"> inform the reader that this is the name of a wider project, which includes </w:t>
      </w:r>
      <w:r>
        <w:rPr>
          <w:lang w:val="en-US"/>
        </w:rPr>
        <w:t>her later essay published as “Underbelly”.</w:t>
      </w:r>
      <w:r w:rsidRPr="004A6134">
        <w:rPr>
          <w:lang w:val="en-US"/>
        </w:rPr>
        <w:t xml:space="preserve"> The other major feminist engagement with Ferenczi, by She Hawke and Anna Gibbs, similarly avoids his heteronormative retrofitting of the thalassal trend even as they connect this trend with Elaine Morgan’s subsequent work on </w:t>
      </w:r>
      <w:r w:rsidRPr="004A6134">
        <w:rPr>
          <w:i/>
          <w:lang w:val="en-US"/>
        </w:rPr>
        <w:t xml:space="preserve">The Aquatic Ape Hypothesis </w:t>
      </w:r>
      <w:r>
        <w:rPr>
          <w:lang w:val="en-US"/>
        </w:rPr>
        <w:t>(1988), see their essay “</w:t>
      </w:r>
      <w:r w:rsidRPr="004A6134">
        <w:rPr>
          <w:lang w:val="en-US"/>
        </w:rPr>
        <w:t>The Currency of Water: Ferenczi’s Thalassal Trend, the Evolution of Tears and the Role of Affec</w:t>
      </w:r>
      <w:r>
        <w:rPr>
          <w:lang w:val="en-US"/>
        </w:rPr>
        <w:t>t in the Psychosomatic Relation”</w:t>
      </w:r>
      <w:r w:rsidRPr="004A6134">
        <w:rPr>
          <w:lang w:val="en-US"/>
        </w:rPr>
        <w:t xml:space="preserve"> in </w:t>
      </w:r>
      <w:r w:rsidRPr="004A6134">
        <w:rPr>
          <w:i/>
          <w:lang w:val="en-US"/>
        </w:rPr>
        <w:t>Thalassa: The Hungarian Journal of Psychoanalysis</w:t>
      </w:r>
      <w:r>
        <w:rPr>
          <w:lang w:val="en-US"/>
        </w:rPr>
        <w:t xml:space="preserve"> 19.1 (2008): </w:t>
      </w:r>
      <w:r w:rsidRPr="004A6134">
        <w:rPr>
          <w:lang w:val="en-US"/>
        </w:rPr>
        <w:t>37-57, accessed here: https://www.academia.edu/769475/Ferenczis_Thalssal_Trend_The_Evolution_of_Tears_and_the_Role_of_Affect_in_the_Psychosomatic_Relation_t</w:t>
      </w:r>
    </w:p>
  </w:endnote>
  <w:endnote w:id="27">
    <w:p w14:paraId="70250646" w14:textId="5762427A" w:rsidR="003D7BD2" w:rsidRPr="004A6134" w:rsidRDefault="003D7BD2">
      <w:pPr>
        <w:pStyle w:val="EndnoteText"/>
        <w:rPr>
          <w:lang w:val="en-US"/>
        </w:rPr>
      </w:pPr>
      <w:r w:rsidRPr="004A6134">
        <w:rPr>
          <w:rStyle w:val="EndnoteReference"/>
        </w:rPr>
        <w:endnoteRef/>
      </w:r>
      <w:r w:rsidRPr="004A6134">
        <w:t xml:space="preserve"> </w:t>
      </w:r>
      <w:r>
        <w:rPr>
          <w:lang w:val="en-US"/>
        </w:rPr>
        <w:t>Wilson, “The Brain in the Gut”</w:t>
      </w:r>
      <w:r w:rsidRPr="004A6134">
        <w:rPr>
          <w:lang w:val="en-US"/>
        </w:rPr>
        <w:t xml:space="preserve"> </w:t>
      </w:r>
      <w:r>
        <w:rPr>
          <w:lang w:val="en-US"/>
        </w:rPr>
        <w:t xml:space="preserve">in </w:t>
      </w:r>
      <w:r w:rsidRPr="004A6134">
        <w:rPr>
          <w:i/>
          <w:lang w:val="en-US"/>
        </w:rPr>
        <w:t>Psychosomatic</w:t>
      </w:r>
      <w:r>
        <w:rPr>
          <w:i/>
          <w:lang w:val="en-US"/>
        </w:rPr>
        <w:t xml:space="preserve">: Feminism and the Neurological Body </w:t>
      </w:r>
      <w:r>
        <w:rPr>
          <w:lang w:val="en-US"/>
        </w:rPr>
        <w:t xml:space="preserve">(Durham: Duke University Press, 2004) </w:t>
      </w:r>
      <w:r w:rsidRPr="004A6134">
        <w:rPr>
          <w:lang w:val="en-US"/>
        </w:rPr>
        <w:t>31-48.</w:t>
      </w:r>
      <w:r>
        <w:rPr>
          <w:lang w:val="en-US"/>
        </w:rPr>
        <w:t xml:space="preserve"> In an interview Wilson indicates her work as feminist inquiry yet not necessarily governed by a focus on ‘gender and sex’, see “A Conversation with Vicki Kirby and Elizabeth A. Wilson” in </w:t>
      </w:r>
      <w:r w:rsidRPr="000A20D0">
        <w:rPr>
          <w:i/>
          <w:lang w:val="en-US"/>
        </w:rPr>
        <w:t>Feminist Theory</w:t>
      </w:r>
      <w:r>
        <w:rPr>
          <w:lang w:val="en-US"/>
        </w:rPr>
        <w:t xml:space="preserve"> 12.2 (2012): 227.</w:t>
      </w:r>
    </w:p>
  </w:endnote>
  <w:endnote w:id="28">
    <w:p w14:paraId="3AA2E644" w14:textId="65194634" w:rsidR="003D7BD2" w:rsidRPr="004263A1" w:rsidRDefault="003D7BD2" w:rsidP="000536C1">
      <w:pPr>
        <w:pStyle w:val="EndnoteText"/>
        <w:rPr>
          <w:lang w:val="en-US"/>
        </w:rPr>
      </w:pPr>
      <w:r>
        <w:rPr>
          <w:rStyle w:val="EndnoteReference"/>
        </w:rPr>
        <w:endnoteRef/>
      </w:r>
      <w:r>
        <w:t xml:space="preserve"> </w:t>
      </w:r>
      <w:r>
        <w:rPr>
          <w:lang w:val="en-US"/>
        </w:rPr>
        <w:t xml:space="preserve">Wilson, “Gut Feminism,” </w:t>
      </w:r>
      <w:r w:rsidRPr="004263A1">
        <w:rPr>
          <w:lang w:val="en-US"/>
        </w:rPr>
        <w:t xml:space="preserve">79, Ferenczi, </w:t>
      </w:r>
      <w:r w:rsidRPr="004263A1">
        <w:rPr>
          <w:i/>
          <w:lang w:val="en-US"/>
        </w:rPr>
        <w:t>Thalassa</w:t>
      </w:r>
      <w:r>
        <w:rPr>
          <w:lang w:val="en-US"/>
        </w:rPr>
        <w:t xml:space="preserve">, </w:t>
      </w:r>
      <w:r w:rsidRPr="004263A1">
        <w:rPr>
          <w:lang w:val="en-US"/>
        </w:rPr>
        <w:t>86.</w:t>
      </w:r>
    </w:p>
  </w:endnote>
  <w:endnote w:id="29">
    <w:p w14:paraId="3ECC1633" w14:textId="4B87ADA5" w:rsidR="003D7BD2" w:rsidRPr="004263A1" w:rsidRDefault="003D7BD2" w:rsidP="000536C1">
      <w:pPr>
        <w:pStyle w:val="EndnoteText"/>
        <w:rPr>
          <w:lang w:val="en-US"/>
        </w:rPr>
      </w:pPr>
      <w:r w:rsidRPr="004263A1">
        <w:rPr>
          <w:rStyle w:val="EndnoteReference"/>
        </w:rPr>
        <w:endnoteRef/>
      </w:r>
      <w:r w:rsidRPr="004263A1">
        <w:t xml:space="preserve"> </w:t>
      </w:r>
      <w:r w:rsidRPr="004263A1">
        <w:rPr>
          <w:lang w:val="en-US"/>
        </w:rPr>
        <w:t>Feren</w:t>
      </w:r>
      <w:r>
        <w:rPr>
          <w:lang w:val="en-US"/>
        </w:rPr>
        <w:t>czi qtd in Wilson, “</w:t>
      </w:r>
      <w:r w:rsidRPr="004263A1">
        <w:rPr>
          <w:lang w:val="en-US"/>
        </w:rPr>
        <w:t>Gut Feminism</w:t>
      </w:r>
      <w:r>
        <w:rPr>
          <w:lang w:val="en-US"/>
        </w:rPr>
        <w:t xml:space="preserve">,” </w:t>
      </w:r>
      <w:r w:rsidRPr="004263A1">
        <w:rPr>
          <w:lang w:val="en-US"/>
        </w:rPr>
        <w:t xml:space="preserve">81, see Ferenczi, </w:t>
      </w:r>
      <w:r w:rsidRPr="004263A1">
        <w:rPr>
          <w:i/>
          <w:lang w:val="en-US"/>
        </w:rPr>
        <w:t>Thalassa</w:t>
      </w:r>
      <w:r>
        <w:rPr>
          <w:lang w:val="en-US"/>
        </w:rPr>
        <w:t xml:space="preserve">, </w:t>
      </w:r>
      <w:r w:rsidRPr="004263A1">
        <w:rPr>
          <w:lang w:val="en-US"/>
        </w:rPr>
        <w:t>12.</w:t>
      </w:r>
      <w:r>
        <w:rPr>
          <w:lang w:val="en-US"/>
        </w:rPr>
        <w:t xml:space="preserve"> This is all the more entertaining for those contemporary readers aware of a particular type of American ‘personal massager’ known precisely as the ‘Magic Wand’.</w:t>
      </w:r>
    </w:p>
  </w:endnote>
  <w:endnote w:id="30">
    <w:p w14:paraId="490FE37C" w14:textId="78432BA0"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Dufresne, </w:t>
      </w:r>
      <w:r w:rsidRPr="004A6134">
        <w:rPr>
          <w:lang w:val="en-US"/>
        </w:rPr>
        <w:t>34, 57, 61.</w:t>
      </w:r>
    </w:p>
  </w:endnote>
  <w:endnote w:id="31">
    <w:p w14:paraId="4D9670F3" w14:textId="0B7C5026"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Dufresne, </w:t>
      </w:r>
      <w:r w:rsidRPr="004A6134">
        <w:rPr>
          <w:lang w:val="en-US"/>
        </w:rPr>
        <w:t>xv and passim.</w:t>
      </w:r>
    </w:p>
  </w:endnote>
  <w:endnote w:id="32">
    <w:p w14:paraId="0943B5F9" w14:textId="2C181D73" w:rsidR="003D7BD2" w:rsidRPr="00624CDE" w:rsidRDefault="003D7BD2">
      <w:pPr>
        <w:pStyle w:val="EndnoteText"/>
        <w:rPr>
          <w:lang w:val="en-US"/>
        </w:rPr>
      </w:pPr>
      <w:r>
        <w:rPr>
          <w:rStyle w:val="EndnoteReference"/>
        </w:rPr>
        <w:endnoteRef/>
      </w:r>
      <w:r>
        <w:t xml:space="preserve"> Sigmund Freud and Josef Breuer, </w:t>
      </w:r>
      <w:r w:rsidRPr="00624CDE">
        <w:rPr>
          <w:i/>
        </w:rPr>
        <w:t>Studies on Hysteria</w:t>
      </w:r>
      <w:r w:rsidRPr="00C43AEE">
        <w:t xml:space="preserve"> </w:t>
      </w:r>
      <w:r>
        <w:t>V 3 in The Penguin Freud Library, James Strachey, trans. (London: Penguin, 1991).</w:t>
      </w:r>
    </w:p>
  </w:endnote>
  <w:endnote w:id="33">
    <w:p w14:paraId="5CBD49AF" w14:textId="26978688" w:rsidR="003D7BD2" w:rsidRPr="004A6134" w:rsidRDefault="003D7BD2">
      <w:pPr>
        <w:pStyle w:val="EndnoteText"/>
        <w:rPr>
          <w:lang w:val="en-US"/>
        </w:rPr>
      </w:pPr>
      <w:r w:rsidRPr="004A6134">
        <w:rPr>
          <w:rStyle w:val="EndnoteReference"/>
        </w:rPr>
        <w:endnoteRef/>
      </w:r>
      <w:r w:rsidRPr="004A6134">
        <w:t xml:space="preserve"> </w:t>
      </w:r>
      <w:r>
        <w:rPr>
          <w:lang w:val="en-US"/>
        </w:rPr>
        <w:t xml:space="preserve">Ferenczi, </w:t>
      </w:r>
      <w:r w:rsidRPr="004A6134">
        <w:rPr>
          <w:lang w:val="en-US"/>
        </w:rPr>
        <w:t>7.</w:t>
      </w:r>
    </w:p>
  </w:endnote>
  <w:endnote w:id="34">
    <w:p w14:paraId="127FE4B0" w14:textId="4C169114"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Wi</w:t>
      </w:r>
      <w:r>
        <w:rPr>
          <w:lang w:val="en-US"/>
        </w:rPr>
        <w:t xml:space="preserve">lson, “Gut Feminism,” </w:t>
      </w:r>
      <w:r w:rsidRPr="004A6134">
        <w:rPr>
          <w:lang w:val="en-US"/>
        </w:rPr>
        <w:t>76.</w:t>
      </w:r>
    </w:p>
  </w:endnote>
  <w:endnote w:id="35">
    <w:p w14:paraId="4B7262ED" w14:textId="6066701D" w:rsidR="003D7BD2" w:rsidRPr="004A6134" w:rsidRDefault="003D7BD2">
      <w:pPr>
        <w:pStyle w:val="EndnoteText"/>
        <w:rPr>
          <w:lang w:val="en-US"/>
        </w:rPr>
      </w:pPr>
      <w:r w:rsidRPr="004A6134">
        <w:rPr>
          <w:rStyle w:val="EndnoteReference"/>
        </w:rPr>
        <w:endnoteRef/>
      </w:r>
      <w:r w:rsidRPr="004A6134">
        <w:t xml:space="preserve"> </w:t>
      </w:r>
      <w:r w:rsidRPr="004A6134">
        <w:rPr>
          <w:lang w:val="en-US"/>
        </w:rPr>
        <w:t>Wilson</w:t>
      </w:r>
      <w:r>
        <w:rPr>
          <w:lang w:val="en-US"/>
        </w:rPr>
        <w:t>, “Gut Feminism,” 77.</w:t>
      </w:r>
    </w:p>
  </w:endnote>
  <w:endnote w:id="36">
    <w:p w14:paraId="1BA1EE0B" w14:textId="7E3A2D98" w:rsidR="003D7BD2" w:rsidRPr="00362413" w:rsidRDefault="003D7BD2">
      <w:pPr>
        <w:pStyle w:val="EndnoteText"/>
        <w:rPr>
          <w:lang w:val="en-US"/>
        </w:rPr>
      </w:pPr>
      <w:r>
        <w:rPr>
          <w:rStyle w:val="EndnoteReference"/>
        </w:rPr>
        <w:endnoteRef/>
      </w:r>
      <w:r>
        <w:t xml:space="preserve"> </w:t>
      </w:r>
      <w:r w:rsidRPr="004A6134">
        <w:rPr>
          <w:lang w:val="en-US"/>
        </w:rPr>
        <w:t>Elizabeth A. Wilson</w:t>
      </w:r>
      <w:r>
        <w:rPr>
          <w:lang w:val="en-US"/>
        </w:rPr>
        <w:t>,</w:t>
      </w:r>
      <w:r w:rsidRPr="004A6134">
        <w:rPr>
          <w:lang w:val="en-US"/>
        </w:rPr>
        <w:t xml:space="preserve"> </w:t>
      </w:r>
      <w:r>
        <w:rPr>
          <w:i/>
          <w:lang w:val="en-US"/>
        </w:rPr>
        <w:t xml:space="preserve">Neural Geographies: Feminism and the Microstructure of Cognition, </w:t>
      </w:r>
      <w:r>
        <w:rPr>
          <w:lang w:val="en-US"/>
        </w:rPr>
        <w:t>London: Routledge, 1998</w:t>
      </w:r>
    </w:p>
  </w:endnote>
  <w:endnote w:id="37">
    <w:p w14:paraId="143B695C" w14:textId="7098FED8" w:rsidR="003D7BD2" w:rsidRPr="001B41C8" w:rsidRDefault="003D7BD2">
      <w:pPr>
        <w:pStyle w:val="EndnoteText"/>
        <w:rPr>
          <w:lang w:val="en-US"/>
        </w:rPr>
      </w:pPr>
      <w:r>
        <w:rPr>
          <w:rStyle w:val="EndnoteReference"/>
        </w:rPr>
        <w:endnoteRef/>
      </w:r>
      <w:r>
        <w:t xml:space="preserve"> </w:t>
      </w:r>
      <w:r>
        <w:rPr>
          <w:lang w:val="en-US"/>
        </w:rPr>
        <w:t xml:space="preserve">Wilson, </w:t>
      </w:r>
      <w:r w:rsidRPr="00DC4706">
        <w:rPr>
          <w:i/>
          <w:lang w:val="en-US"/>
        </w:rPr>
        <w:t>Psychosomatic</w:t>
      </w:r>
      <w:r>
        <w:rPr>
          <w:lang w:val="en-US"/>
        </w:rPr>
        <w:t>, 19.</w:t>
      </w:r>
    </w:p>
  </w:endnote>
  <w:endnote w:id="38">
    <w:p w14:paraId="5DA15C49" w14:textId="0A7FDCDB" w:rsidR="003D7BD2" w:rsidRPr="00DC4706" w:rsidRDefault="003D7BD2">
      <w:pPr>
        <w:pStyle w:val="EndnoteText"/>
        <w:rPr>
          <w:lang w:val="en-US"/>
        </w:rPr>
      </w:pPr>
      <w:r>
        <w:rPr>
          <w:rStyle w:val="EndnoteReference"/>
        </w:rPr>
        <w:endnoteRef/>
      </w:r>
      <w:r>
        <w:t xml:space="preserve"> </w:t>
      </w:r>
      <w:r>
        <w:rPr>
          <w:lang w:val="en-US"/>
        </w:rPr>
        <w:t xml:space="preserve">Wilson, </w:t>
      </w:r>
      <w:r w:rsidRPr="00DC4706">
        <w:rPr>
          <w:i/>
          <w:lang w:val="en-US"/>
        </w:rPr>
        <w:t>Psychosomatic</w:t>
      </w:r>
      <w:r>
        <w:rPr>
          <w:lang w:val="en-US"/>
        </w:rPr>
        <w:t>, 20.</w:t>
      </w:r>
    </w:p>
  </w:endnote>
  <w:endnote w:id="39">
    <w:p w14:paraId="70760380" w14:textId="6CCF92AD" w:rsidR="003D7BD2" w:rsidRPr="00FD10C8" w:rsidRDefault="003D7BD2">
      <w:pPr>
        <w:pStyle w:val="EndnoteText"/>
        <w:rPr>
          <w:lang w:val="en-US"/>
        </w:rPr>
      </w:pPr>
      <w:r>
        <w:rPr>
          <w:rStyle w:val="EndnoteReference"/>
        </w:rPr>
        <w:endnoteRef/>
      </w:r>
      <w:r>
        <w:t xml:space="preserve"> </w:t>
      </w:r>
      <w:r>
        <w:rPr>
          <w:lang w:val="en-US"/>
        </w:rPr>
        <w:t>Ferenczi, 9.</w:t>
      </w:r>
    </w:p>
  </w:endnote>
  <w:endnote w:id="40">
    <w:p w14:paraId="049D925C" w14:textId="5716CE3B" w:rsidR="003D7BD2" w:rsidRPr="00944C34" w:rsidRDefault="003D7BD2">
      <w:pPr>
        <w:pStyle w:val="EndnoteText"/>
        <w:rPr>
          <w:lang w:val="en-US"/>
        </w:rPr>
      </w:pPr>
      <w:r>
        <w:rPr>
          <w:rStyle w:val="EndnoteReference"/>
        </w:rPr>
        <w:endnoteRef/>
      </w:r>
      <w:r>
        <w:t xml:space="preserve"> </w:t>
      </w:r>
      <w:r>
        <w:rPr>
          <w:lang w:val="en-US"/>
        </w:rPr>
        <w:t>Ferenczi, 11.</w:t>
      </w:r>
    </w:p>
  </w:endnote>
  <w:endnote w:id="41">
    <w:p w14:paraId="4E3BC72D" w14:textId="13FFD14F" w:rsidR="003D7BD2" w:rsidRPr="009F02B8" w:rsidRDefault="003D7BD2">
      <w:pPr>
        <w:pStyle w:val="EndnoteText"/>
        <w:rPr>
          <w:lang w:val="en-US"/>
        </w:rPr>
      </w:pPr>
      <w:r>
        <w:rPr>
          <w:rStyle w:val="EndnoteReference"/>
        </w:rPr>
        <w:endnoteRef/>
      </w:r>
      <w:r>
        <w:t xml:space="preserve"> </w:t>
      </w:r>
      <w:r>
        <w:rPr>
          <w:lang w:val="en-US"/>
        </w:rPr>
        <w:t>Ferenczi, 12.</w:t>
      </w:r>
    </w:p>
  </w:endnote>
  <w:endnote w:id="42">
    <w:p w14:paraId="20DFFDC6" w14:textId="1B8FDDC2" w:rsidR="003D7BD2" w:rsidRPr="009F02B8" w:rsidRDefault="003D7BD2">
      <w:pPr>
        <w:pStyle w:val="EndnoteText"/>
        <w:rPr>
          <w:lang w:val="en-US"/>
        </w:rPr>
      </w:pPr>
      <w:r>
        <w:rPr>
          <w:rStyle w:val="EndnoteReference"/>
        </w:rPr>
        <w:endnoteRef/>
      </w:r>
      <w:r>
        <w:t xml:space="preserve"> </w:t>
      </w:r>
      <w:r>
        <w:rPr>
          <w:lang w:val="en-US"/>
        </w:rPr>
        <w:t>Ferenczi, 14, 24.</w:t>
      </w:r>
    </w:p>
  </w:endnote>
  <w:endnote w:id="43">
    <w:p w14:paraId="23E52767" w14:textId="06C456BD" w:rsidR="003D7BD2" w:rsidRPr="00F05A1B" w:rsidRDefault="003D7BD2">
      <w:pPr>
        <w:pStyle w:val="EndnoteText"/>
        <w:rPr>
          <w:lang w:val="en-US"/>
        </w:rPr>
      </w:pPr>
      <w:r>
        <w:rPr>
          <w:rStyle w:val="EndnoteReference"/>
        </w:rPr>
        <w:endnoteRef/>
      </w:r>
      <w:r>
        <w:t xml:space="preserve"> </w:t>
      </w:r>
      <w:r>
        <w:rPr>
          <w:lang w:val="en-US"/>
        </w:rPr>
        <w:t>Freud, “Femininity,” 374.</w:t>
      </w:r>
    </w:p>
  </w:endnote>
  <w:endnote w:id="44">
    <w:p w14:paraId="24E50472" w14:textId="7C1B748D" w:rsidR="003D7BD2" w:rsidRPr="00B62319" w:rsidRDefault="003D7BD2">
      <w:pPr>
        <w:pStyle w:val="EndnoteText"/>
        <w:rPr>
          <w:lang w:val="en-US"/>
        </w:rPr>
      </w:pPr>
      <w:r>
        <w:rPr>
          <w:rStyle w:val="EndnoteReference"/>
        </w:rPr>
        <w:endnoteRef/>
      </w:r>
      <w:r>
        <w:t xml:space="preserve"> </w:t>
      </w:r>
      <w:r>
        <w:rPr>
          <w:lang w:val="en-US"/>
        </w:rPr>
        <w:t>Ferenczi, 24</w:t>
      </w:r>
    </w:p>
  </w:endnote>
  <w:endnote w:id="45">
    <w:p w14:paraId="7A14DECD" w14:textId="5036866F" w:rsidR="003D7BD2" w:rsidRPr="00071C5E" w:rsidRDefault="003D7BD2">
      <w:pPr>
        <w:pStyle w:val="EndnoteText"/>
        <w:rPr>
          <w:lang w:val="en-US"/>
        </w:rPr>
      </w:pPr>
      <w:r>
        <w:rPr>
          <w:rStyle w:val="EndnoteReference"/>
        </w:rPr>
        <w:endnoteRef/>
      </w:r>
      <w:r>
        <w:t xml:space="preserve"> </w:t>
      </w:r>
      <w:r>
        <w:rPr>
          <w:lang w:val="en-US"/>
        </w:rPr>
        <w:t xml:space="preserve">Gayatri Spivak, “French Feminism in an International Frame” in </w:t>
      </w:r>
      <w:r w:rsidRPr="00071C5E">
        <w:rPr>
          <w:i/>
          <w:lang w:val="en-US"/>
        </w:rPr>
        <w:t>Yale French Studies</w:t>
      </w:r>
      <w:r>
        <w:rPr>
          <w:lang w:val="en-US"/>
        </w:rPr>
        <w:t xml:space="preserve"> 62 (1981): 118. Spivak finds the insistence on feminine </w:t>
      </w:r>
      <w:r w:rsidRPr="00841D2B">
        <w:rPr>
          <w:i/>
          <w:lang w:val="en-US"/>
        </w:rPr>
        <w:t>jouissance</w:t>
      </w:r>
      <w:r>
        <w:rPr>
          <w:lang w:val="en-US"/>
        </w:rPr>
        <w:t xml:space="preserve"> to be the greatest gift of ‘French Feminism’.</w:t>
      </w:r>
    </w:p>
  </w:endnote>
  <w:endnote w:id="46">
    <w:p w14:paraId="11195008" w14:textId="0D66C27B" w:rsidR="003D7BD2" w:rsidRPr="009C58DE" w:rsidRDefault="003D7BD2">
      <w:pPr>
        <w:pStyle w:val="EndnoteText"/>
        <w:rPr>
          <w:lang w:val="en-US"/>
        </w:rPr>
      </w:pPr>
      <w:r>
        <w:rPr>
          <w:rStyle w:val="EndnoteReference"/>
        </w:rPr>
        <w:endnoteRef/>
      </w:r>
      <w:r>
        <w:t xml:space="preserve"> </w:t>
      </w:r>
      <w:r>
        <w:rPr>
          <w:lang w:val="en-US"/>
        </w:rPr>
        <w:t>Ferenczi, 24.</w:t>
      </w:r>
    </w:p>
  </w:endnote>
  <w:endnote w:id="47">
    <w:p w14:paraId="6BF8FF05" w14:textId="3761CB08" w:rsidR="003D7BD2" w:rsidRPr="009966FC" w:rsidRDefault="003D7BD2">
      <w:pPr>
        <w:pStyle w:val="EndnoteText"/>
        <w:rPr>
          <w:lang w:val="en-US"/>
        </w:rPr>
      </w:pPr>
      <w:r>
        <w:rPr>
          <w:rStyle w:val="EndnoteReference"/>
        </w:rPr>
        <w:endnoteRef/>
      </w:r>
      <w:r>
        <w:t xml:space="preserve"> </w:t>
      </w:r>
      <w:r>
        <w:rPr>
          <w:lang w:val="en-US"/>
        </w:rPr>
        <w:t>Ferenczi, 24-5.</w:t>
      </w:r>
    </w:p>
  </w:endnote>
  <w:endnote w:id="48">
    <w:p w14:paraId="416FD7CA" w14:textId="2577554E" w:rsidR="003D7BD2" w:rsidRPr="00A77E2F" w:rsidRDefault="003D7BD2">
      <w:pPr>
        <w:pStyle w:val="EndnoteText"/>
        <w:rPr>
          <w:lang w:val="en-US"/>
        </w:rPr>
      </w:pPr>
      <w:r>
        <w:rPr>
          <w:rStyle w:val="EndnoteReference"/>
        </w:rPr>
        <w:endnoteRef/>
      </w:r>
      <w:r>
        <w:t xml:space="preserve"> </w:t>
      </w:r>
      <w:r>
        <w:rPr>
          <w:lang w:val="en-US"/>
        </w:rPr>
        <w:t>Ferenczi, 25.</w:t>
      </w:r>
    </w:p>
  </w:endnote>
  <w:endnote w:id="49">
    <w:p w14:paraId="501DA0C6" w14:textId="54A0B207" w:rsidR="003D7BD2" w:rsidRPr="0053049C" w:rsidRDefault="003D7BD2" w:rsidP="0053049C">
      <w:pPr>
        <w:pStyle w:val="BodyText2"/>
      </w:pPr>
      <w:r>
        <w:rPr>
          <w:rStyle w:val="EndnoteReference"/>
        </w:rPr>
        <w:endnoteRef/>
      </w:r>
      <w:r>
        <w:t xml:space="preserve"> </w:t>
      </w:r>
      <w:r w:rsidRPr="007E56D7">
        <w:rPr>
          <w:rStyle w:val="EndnoteTextChar"/>
          <w:rFonts w:eastAsia="Times"/>
        </w:rPr>
        <w:t xml:space="preserve">See Luce Irigaray, </w:t>
      </w:r>
      <w:r w:rsidRPr="007E56D7">
        <w:rPr>
          <w:rStyle w:val="EndnoteTextChar"/>
          <w:rFonts w:eastAsia="Times"/>
          <w:i/>
        </w:rPr>
        <w:t>Speculum</w:t>
      </w:r>
      <w:r>
        <w:rPr>
          <w:rStyle w:val="EndnoteTextChar"/>
          <w:rFonts w:eastAsia="Times"/>
          <w:i/>
        </w:rPr>
        <w:t xml:space="preserve"> of the Other Woman</w:t>
      </w:r>
      <w:r w:rsidRPr="007E56D7">
        <w:rPr>
          <w:rStyle w:val="EndnoteTextChar"/>
          <w:rFonts w:eastAsia="Times"/>
        </w:rPr>
        <w:t xml:space="preserve"> and also, on ‘</w:t>
      </w:r>
      <w:r w:rsidRPr="002D0665">
        <w:rPr>
          <w:rStyle w:val="EndnoteTextChar"/>
          <w:rFonts w:eastAsia="Times"/>
          <w:i/>
        </w:rPr>
        <w:t>fort-da’</w:t>
      </w:r>
      <w:r>
        <w:rPr>
          <w:rStyle w:val="EndnoteTextChar"/>
          <w:rFonts w:eastAsia="Times"/>
        </w:rPr>
        <w:t xml:space="preserve"> as a specifically masculine defence reaction, see her “Gesture in Psychoanalysis”</w:t>
      </w:r>
      <w:r w:rsidRPr="007E56D7">
        <w:rPr>
          <w:rStyle w:val="EndnoteTextChar"/>
          <w:rFonts w:eastAsia="Times"/>
        </w:rPr>
        <w:t xml:space="preserve"> [1985] in </w:t>
      </w:r>
      <w:r w:rsidRPr="0053049C">
        <w:rPr>
          <w:rStyle w:val="EndnoteTextChar"/>
          <w:rFonts w:eastAsia="Times"/>
          <w:i/>
        </w:rPr>
        <w:t>Between Feminism &amp; Psychoanalysis</w:t>
      </w:r>
      <w:r>
        <w:rPr>
          <w:rStyle w:val="EndnoteTextChar"/>
          <w:rFonts w:eastAsia="Times"/>
        </w:rPr>
        <w:t xml:space="preserve"> </w:t>
      </w:r>
      <w:r w:rsidRPr="0053049C">
        <w:rPr>
          <w:rStyle w:val="EndnoteTextChar"/>
          <w:rFonts w:eastAsia="Times"/>
        </w:rPr>
        <w:t xml:space="preserve">Teresa Brennan, ed. </w:t>
      </w:r>
      <w:r>
        <w:rPr>
          <w:rStyle w:val="EndnoteTextChar"/>
          <w:rFonts w:eastAsia="Times"/>
        </w:rPr>
        <w:t>(</w:t>
      </w:r>
      <w:r w:rsidRPr="0053049C">
        <w:rPr>
          <w:rStyle w:val="EndnoteTextChar"/>
          <w:rFonts w:eastAsia="Times"/>
        </w:rPr>
        <w:t>New</w:t>
      </w:r>
      <w:r>
        <w:rPr>
          <w:rStyle w:val="EndnoteTextChar"/>
          <w:rFonts w:eastAsia="Times"/>
        </w:rPr>
        <w:t xml:space="preserve"> York &amp; London: Routledge, 1989): </w:t>
      </w:r>
      <w:r w:rsidRPr="0053049C">
        <w:rPr>
          <w:rStyle w:val="EndnoteTextChar"/>
          <w:rFonts w:eastAsia="Times"/>
        </w:rPr>
        <w:t>127-138. I discuss Irigaray’s uncanny repetition of the speculative endeavours of Freud – in terms of the forecasting of a legacy</w:t>
      </w:r>
      <w:r>
        <w:rPr>
          <w:rStyle w:val="EndnoteTextChar"/>
          <w:rFonts w:eastAsia="Times"/>
        </w:rPr>
        <w:t xml:space="preserve"> of her own, in “</w:t>
      </w:r>
      <w:r w:rsidRPr="0053049C">
        <w:rPr>
          <w:rStyle w:val="EndnoteTextChar"/>
          <w:rFonts w:eastAsia="Times"/>
        </w:rPr>
        <w:t>Unhoming Pigeons: the Postal Principle in Lynn Hershm</w:t>
      </w:r>
      <w:r>
        <w:rPr>
          <w:rStyle w:val="EndnoteTextChar"/>
          <w:rFonts w:eastAsia="Times"/>
        </w:rPr>
        <w:t>ann-Leeson and Hussein Chalayan”</w:t>
      </w:r>
      <w:r w:rsidRPr="0053049C">
        <w:rPr>
          <w:rStyle w:val="EndnoteTextChar"/>
          <w:rFonts w:eastAsia="Times"/>
        </w:rPr>
        <w:t xml:space="preserve"> in </w:t>
      </w:r>
      <w:r w:rsidRPr="0053049C">
        <w:rPr>
          <w:rStyle w:val="EndnoteTextChar"/>
          <w:rFonts w:eastAsia="Times"/>
          <w:i/>
        </w:rPr>
        <w:t>Derrida Today</w:t>
      </w:r>
      <w:r>
        <w:rPr>
          <w:rStyle w:val="EndnoteTextChar"/>
          <w:rFonts w:eastAsia="Times"/>
        </w:rPr>
        <w:t xml:space="preserve"> 5.1 (2012): 92-110.</w:t>
      </w:r>
      <w:r>
        <w:rPr>
          <w:lang w:val="en-US"/>
        </w:rPr>
        <w:t xml:space="preserve"> </w:t>
      </w:r>
    </w:p>
  </w:endnote>
  <w:endnote w:id="50">
    <w:p w14:paraId="21326144" w14:textId="77777777" w:rsidR="003D7BD2" w:rsidRPr="00B87EBA" w:rsidRDefault="003D7BD2" w:rsidP="00E33F98">
      <w:pPr>
        <w:pStyle w:val="EndnoteText"/>
        <w:rPr>
          <w:lang w:val="en-US"/>
        </w:rPr>
      </w:pPr>
      <w:r>
        <w:rPr>
          <w:rStyle w:val="EndnoteReference"/>
        </w:rPr>
        <w:endnoteRef/>
      </w:r>
      <w:r>
        <w:t xml:space="preserve"> Luce </w:t>
      </w:r>
      <w:r>
        <w:rPr>
          <w:lang w:val="en-US"/>
        </w:rPr>
        <w:t xml:space="preserve">Irigaray, “The Blindspot in an Old Dream of Symmetry” in </w:t>
      </w:r>
      <w:r w:rsidRPr="00E7196D">
        <w:rPr>
          <w:i/>
          <w:lang w:val="en-US"/>
        </w:rPr>
        <w:t>Speculum</w:t>
      </w:r>
      <w:r>
        <w:rPr>
          <w:i/>
          <w:lang w:val="en-US"/>
        </w:rPr>
        <w:t xml:space="preserve"> of the Other Woman</w:t>
      </w:r>
      <w:r>
        <w:rPr>
          <w:lang w:val="en-US"/>
        </w:rPr>
        <w:t xml:space="preserve"> [1974] Gillian C. Gill, trans. (Ithaca: Cornell University Press, 1985): 51.</w:t>
      </w:r>
    </w:p>
  </w:endnote>
  <w:endnote w:id="51">
    <w:p w14:paraId="7028463F" w14:textId="65239747" w:rsidR="003D7BD2" w:rsidRPr="00F04EAA" w:rsidRDefault="003D7BD2">
      <w:pPr>
        <w:pStyle w:val="EndnoteText"/>
        <w:rPr>
          <w:lang w:val="en-US"/>
        </w:rPr>
      </w:pPr>
      <w:r>
        <w:rPr>
          <w:rStyle w:val="EndnoteReference"/>
        </w:rPr>
        <w:endnoteRef/>
      </w:r>
      <w:r>
        <w:t xml:space="preserve"> </w:t>
      </w:r>
      <w:r>
        <w:rPr>
          <w:lang w:val="en-US"/>
        </w:rPr>
        <w:t xml:space="preserve">Ferenczi, 17. ‘Introjection’ is the concept through which Ferenczi’s work is more broadly known and appreciated. Nicolas Abraham – who was subsequently to finesse this concept in tandem with Maria Torok – wrote the introduction to the French edition of </w:t>
      </w:r>
      <w:r w:rsidRPr="00E97CDE">
        <w:rPr>
          <w:i/>
          <w:lang w:val="en-US"/>
        </w:rPr>
        <w:t>Thalassa</w:t>
      </w:r>
      <w:r>
        <w:rPr>
          <w:i/>
          <w:lang w:val="en-US"/>
        </w:rPr>
        <w:t xml:space="preserve"> </w:t>
      </w:r>
      <w:r>
        <w:rPr>
          <w:lang w:val="en-US"/>
        </w:rPr>
        <w:t xml:space="preserve">(Paris: Payot, 1969). </w:t>
      </w:r>
    </w:p>
  </w:endnote>
  <w:endnote w:id="52">
    <w:p w14:paraId="1C757240" w14:textId="49EF9645" w:rsidR="003D7BD2" w:rsidRPr="00F04EAA" w:rsidRDefault="003D7BD2">
      <w:pPr>
        <w:pStyle w:val="EndnoteText"/>
        <w:rPr>
          <w:lang w:val="en-US"/>
        </w:rPr>
      </w:pPr>
      <w:r>
        <w:rPr>
          <w:rStyle w:val="EndnoteReference"/>
        </w:rPr>
        <w:endnoteRef/>
      </w:r>
      <w:r>
        <w:t xml:space="preserve"> </w:t>
      </w:r>
      <w:r>
        <w:rPr>
          <w:lang w:val="en-US"/>
        </w:rPr>
        <w:t>Ferenczi, 17.</w:t>
      </w:r>
    </w:p>
  </w:endnote>
  <w:endnote w:id="53">
    <w:p w14:paraId="0BAAB73B" w14:textId="3DA21FED" w:rsidR="003D7BD2" w:rsidRPr="007D784C" w:rsidRDefault="003D7BD2">
      <w:pPr>
        <w:pStyle w:val="EndnoteText"/>
        <w:rPr>
          <w:lang w:val="en-US"/>
        </w:rPr>
      </w:pPr>
      <w:r>
        <w:rPr>
          <w:rStyle w:val="EndnoteReference"/>
        </w:rPr>
        <w:endnoteRef/>
      </w:r>
      <w:r>
        <w:t xml:space="preserve"> </w:t>
      </w:r>
      <w:r>
        <w:rPr>
          <w:lang w:val="en-US"/>
        </w:rPr>
        <w:t>Ferenczi, 18.</w:t>
      </w:r>
    </w:p>
  </w:endnote>
  <w:endnote w:id="54">
    <w:p w14:paraId="4775E859" w14:textId="5FBB08FD" w:rsidR="003D7BD2" w:rsidRPr="00C12F5A" w:rsidRDefault="003D7BD2">
      <w:pPr>
        <w:pStyle w:val="EndnoteText"/>
        <w:rPr>
          <w:lang w:val="en-US"/>
        </w:rPr>
      </w:pPr>
      <w:r>
        <w:rPr>
          <w:rStyle w:val="EndnoteReference"/>
        </w:rPr>
        <w:endnoteRef/>
      </w:r>
      <w:r>
        <w:t xml:space="preserve"> </w:t>
      </w:r>
      <w:r>
        <w:rPr>
          <w:lang w:val="en-US"/>
        </w:rPr>
        <w:t>Ferenczi, 18, italics original.</w:t>
      </w:r>
    </w:p>
  </w:endnote>
  <w:endnote w:id="55">
    <w:p w14:paraId="556A3036" w14:textId="397E1696" w:rsidR="003D7BD2" w:rsidRPr="00D3642C" w:rsidRDefault="003D7BD2">
      <w:pPr>
        <w:pStyle w:val="EndnoteText"/>
        <w:rPr>
          <w:lang w:val="en-US"/>
        </w:rPr>
      </w:pPr>
      <w:r>
        <w:rPr>
          <w:rStyle w:val="EndnoteReference"/>
        </w:rPr>
        <w:endnoteRef/>
      </w:r>
      <w:r>
        <w:t xml:space="preserve"> </w:t>
      </w:r>
      <w:r>
        <w:rPr>
          <w:lang w:val="en-US"/>
        </w:rPr>
        <w:t xml:space="preserve">Some mammals have already returned to the waters. Their return, however, is not a simple regression. In their recent book, Hal Whitehead and Luke Rendell note that the cetacean return to the sea was radically reshaped by their evolutionary advantage of breathing air, a capacity that supports both speed, by virtue of oxygenation, and vocal communication. See </w:t>
      </w:r>
      <w:r w:rsidRPr="00591E2B">
        <w:rPr>
          <w:i/>
          <w:lang w:val="en-US"/>
        </w:rPr>
        <w:t>The Cultural Lives of Whales and Dolphins</w:t>
      </w:r>
      <w:r>
        <w:rPr>
          <w:lang w:val="en-US"/>
        </w:rPr>
        <w:t xml:space="preserve"> (Chicago: University of Chicago Press, 2015).</w:t>
      </w:r>
    </w:p>
  </w:endnote>
  <w:endnote w:id="56">
    <w:p w14:paraId="78191775" w14:textId="45639A1C" w:rsidR="003D7BD2" w:rsidRPr="00CA2C68" w:rsidRDefault="003D7BD2">
      <w:pPr>
        <w:pStyle w:val="EndnoteText"/>
        <w:rPr>
          <w:lang w:val="en-US"/>
        </w:rPr>
      </w:pPr>
      <w:r>
        <w:rPr>
          <w:rStyle w:val="EndnoteReference"/>
        </w:rPr>
        <w:endnoteRef/>
      </w:r>
      <w:r>
        <w:t xml:space="preserve"> </w:t>
      </w:r>
      <w:r>
        <w:rPr>
          <w:lang w:val="en-US"/>
        </w:rPr>
        <w:t>Emily Martin challenges the persistent sexual imaginary of active sperm and passive egg in her article “The Egg and the Sperm: How Science has Constructed a Romance Based on Stereotypical Male-Female Roles”</w:t>
      </w:r>
      <w:r w:rsidRPr="00CA2C68">
        <w:rPr>
          <w:lang w:val="en-US"/>
        </w:rPr>
        <w:t xml:space="preserve"> in </w:t>
      </w:r>
      <w:r w:rsidRPr="00CA2C68">
        <w:rPr>
          <w:i/>
          <w:lang w:val="en-US"/>
        </w:rPr>
        <w:t>Signs: Journal of Women in Culture and Society</w:t>
      </w:r>
      <w:r>
        <w:rPr>
          <w:lang w:val="en-US"/>
        </w:rPr>
        <w:t xml:space="preserve"> 16.3 (1991): </w:t>
      </w:r>
      <w:r w:rsidRPr="00CA2C68">
        <w:rPr>
          <w:lang w:val="en-US"/>
        </w:rPr>
        <w:t>485-501.</w:t>
      </w:r>
      <w:r>
        <w:rPr>
          <w:lang w:val="en-US"/>
        </w:rPr>
        <w:t xml:space="preserve"> Derrida readdresses the philosophical imaginary of sperm in </w:t>
      </w:r>
      <w:r w:rsidRPr="00B82216">
        <w:rPr>
          <w:i/>
          <w:lang w:val="en-US"/>
        </w:rPr>
        <w:t>Dissemination</w:t>
      </w:r>
      <w:r>
        <w:rPr>
          <w:lang w:val="en-US"/>
        </w:rPr>
        <w:t>, Barbara Johnson, trans. (London: Athlone, 1981).</w:t>
      </w:r>
    </w:p>
  </w:endnote>
  <w:endnote w:id="57">
    <w:p w14:paraId="7FD78470" w14:textId="6BE8219A" w:rsidR="003D7BD2" w:rsidRPr="00CA2C68" w:rsidRDefault="003D7BD2" w:rsidP="008C2ACB">
      <w:pPr>
        <w:pStyle w:val="EndnoteText"/>
        <w:rPr>
          <w:lang w:val="en-US"/>
        </w:rPr>
      </w:pPr>
      <w:r w:rsidRPr="00CA2C68">
        <w:rPr>
          <w:rStyle w:val="EndnoteReference"/>
        </w:rPr>
        <w:endnoteRef/>
      </w:r>
      <w:r w:rsidRPr="00CA2C68">
        <w:t xml:space="preserve"> </w:t>
      </w:r>
      <w:r>
        <w:rPr>
          <w:lang w:val="en-US"/>
        </w:rPr>
        <w:t>See Irigaray’s essay “The Mechanics of Fluids”</w:t>
      </w:r>
      <w:r w:rsidRPr="00CA2C68">
        <w:rPr>
          <w:lang w:val="en-US"/>
        </w:rPr>
        <w:t xml:space="preserve"> in </w:t>
      </w:r>
      <w:r w:rsidRPr="00CA2C68">
        <w:rPr>
          <w:i/>
          <w:lang w:val="en-US"/>
        </w:rPr>
        <w:t>This Sex Which Is Not One</w:t>
      </w:r>
      <w:r w:rsidRPr="00CA2C68">
        <w:rPr>
          <w:lang w:val="en-US"/>
        </w:rPr>
        <w:t xml:space="preserve">, Catherine Porter, trans. </w:t>
      </w:r>
      <w:r>
        <w:rPr>
          <w:lang w:val="en-US"/>
        </w:rPr>
        <w:t>(</w:t>
      </w:r>
      <w:r w:rsidRPr="00CA2C68">
        <w:rPr>
          <w:lang w:val="en-US"/>
        </w:rPr>
        <w:t>Ithaca: Cornell University Press, 198</w:t>
      </w:r>
      <w:r>
        <w:rPr>
          <w:lang w:val="en-US"/>
        </w:rPr>
        <w:t xml:space="preserve">5): </w:t>
      </w:r>
      <w:r w:rsidRPr="00CA2C68">
        <w:rPr>
          <w:lang w:val="en-US"/>
        </w:rPr>
        <w:t>106-118</w:t>
      </w:r>
      <w:r>
        <w:rPr>
          <w:lang w:val="en-US"/>
        </w:rPr>
        <w:t>.</w:t>
      </w:r>
    </w:p>
  </w:endnote>
  <w:endnote w:id="58">
    <w:p w14:paraId="5449512C" w14:textId="0D77AC3F" w:rsidR="003D7BD2" w:rsidRPr="00C408AA" w:rsidRDefault="003D7BD2">
      <w:pPr>
        <w:pStyle w:val="EndnoteText"/>
        <w:rPr>
          <w:lang w:val="en-US"/>
        </w:rPr>
      </w:pPr>
      <w:r>
        <w:rPr>
          <w:rStyle w:val="EndnoteReference"/>
        </w:rPr>
        <w:endnoteRef/>
      </w:r>
      <w:r>
        <w:t xml:space="preserve"> </w:t>
      </w:r>
      <w:r>
        <w:rPr>
          <w:lang w:val="en-US"/>
        </w:rPr>
        <w:t xml:space="preserve">Astrida Neimanis is developing a poetics that is also an ecologic of water (albeit one without any psychoanalytic investment), see her “Feminist Subjectivity, Watered” in </w:t>
      </w:r>
      <w:r w:rsidRPr="00C408AA">
        <w:rPr>
          <w:i/>
          <w:lang w:val="en-US"/>
        </w:rPr>
        <w:t>feminist review</w:t>
      </w:r>
      <w:r>
        <w:rPr>
          <w:lang w:val="en-US"/>
        </w:rPr>
        <w:t xml:space="preserve"> 103 (2013): 24, italics as original.</w:t>
      </w:r>
    </w:p>
  </w:endnote>
  <w:endnote w:id="59">
    <w:p w14:paraId="337EBF91" w14:textId="399F19FA" w:rsidR="003D7BD2" w:rsidRPr="00DC15E0" w:rsidRDefault="003D7BD2">
      <w:pPr>
        <w:pStyle w:val="EndnoteText"/>
      </w:pPr>
      <w:r w:rsidRPr="00CA2C68">
        <w:rPr>
          <w:rStyle w:val="EndnoteReference"/>
        </w:rPr>
        <w:endnoteRef/>
      </w:r>
      <w:r w:rsidRPr="00CA2C68">
        <w:t xml:space="preserve"> While Irigaray’s poetics speak to the phenomenological feminine body </w:t>
      </w:r>
      <w:r>
        <w:t xml:space="preserve">thus </w:t>
      </w:r>
      <w:r w:rsidRPr="00CA2C68">
        <w:t xml:space="preserve">refusing its philosophical negation, it is </w:t>
      </w:r>
      <w:r>
        <w:t xml:space="preserve">Irina </w:t>
      </w:r>
      <w:r w:rsidRPr="00CA2C68">
        <w:t>Aristarkhova</w:t>
      </w:r>
      <w:r>
        <w:t xml:space="preserve"> that insists on more detailed traffic between the biology of the uterus (against its frequent misleading abstraction into an undifferentiated space) and the philosophical concept of </w:t>
      </w:r>
      <w:r w:rsidRPr="00CA2C68">
        <w:rPr>
          <w:i/>
        </w:rPr>
        <w:t>chora</w:t>
      </w:r>
      <w:r>
        <w:t xml:space="preserve">, </w:t>
      </w:r>
      <w:r w:rsidRPr="004229B6">
        <w:t>see her</w:t>
      </w:r>
      <w:r>
        <w:rPr>
          <w:i/>
        </w:rPr>
        <w:t xml:space="preserve"> </w:t>
      </w:r>
      <w:r>
        <w:rPr>
          <w:i/>
          <w:lang w:val="en-US"/>
        </w:rPr>
        <w:t>Hospitality of the Matrix: Philosophy, Biomedicine, Culture,</w:t>
      </w:r>
      <w:r w:rsidRPr="004A6134">
        <w:rPr>
          <w:i/>
          <w:lang w:val="en-US"/>
        </w:rPr>
        <w:t xml:space="preserve"> </w:t>
      </w:r>
      <w:r>
        <w:rPr>
          <w:lang w:val="en-US"/>
        </w:rPr>
        <w:t>New York: Columbia University Press, 2012</w:t>
      </w:r>
    </w:p>
  </w:endnote>
  <w:endnote w:id="60">
    <w:p w14:paraId="530EB223" w14:textId="1FCC8B5B" w:rsidR="003D7BD2" w:rsidRPr="006B400D" w:rsidRDefault="003D7BD2">
      <w:pPr>
        <w:pStyle w:val="EndnoteText"/>
        <w:rPr>
          <w:lang w:val="en-US"/>
        </w:rPr>
      </w:pPr>
      <w:r>
        <w:rPr>
          <w:rStyle w:val="EndnoteReference"/>
        </w:rPr>
        <w:endnoteRef/>
      </w:r>
      <w:r>
        <w:t xml:space="preserve"> </w:t>
      </w:r>
      <w:r>
        <w:rPr>
          <w:lang w:val="en-US"/>
        </w:rPr>
        <w:t>Ferenczi, 61.</w:t>
      </w:r>
    </w:p>
  </w:endnote>
  <w:endnote w:id="61">
    <w:p w14:paraId="12FBB020" w14:textId="0C6C71E9" w:rsidR="003D7BD2" w:rsidRPr="00F43014" w:rsidRDefault="003D7BD2">
      <w:pPr>
        <w:pStyle w:val="EndnoteText"/>
        <w:rPr>
          <w:lang w:val="en-US"/>
        </w:rPr>
      </w:pPr>
      <w:r>
        <w:rPr>
          <w:rStyle w:val="EndnoteReference"/>
        </w:rPr>
        <w:endnoteRef/>
      </w:r>
      <w:r>
        <w:t xml:space="preserve"> </w:t>
      </w:r>
      <w:r>
        <w:rPr>
          <w:lang w:val="en-US"/>
        </w:rPr>
        <w:t>Ferenczi, 60.</w:t>
      </w:r>
    </w:p>
  </w:endnote>
  <w:endnote w:id="62">
    <w:p w14:paraId="14F695EB" w14:textId="77777777" w:rsidR="003D7BD2" w:rsidRPr="00914100" w:rsidRDefault="003D7BD2" w:rsidP="00FE35E4">
      <w:pPr>
        <w:pStyle w:val="EndnoteText"/>
        <w:rPr>
          <w:lang w:val="en-US"/>
        </w:rPr>
      </w:pPr>
      <w:r w:rsidRPr="00CA2C68">
        <w:rPr>
          <w:rStyle w:val="EndnoteReference"/>
        </w:rPr>
        <w:endnoteRef/>
      </w:r>
      <w:r w:rsidRPr="00CA2C68">
        <w:t xml:space="preserve"> </w:t>
      </w:r>
      <w:r w:rsidRPr="00CA2C68">
        <w:rPr>
          <w:lang w:val="en-US"/>
        </w:rPr>
        <w:t xml:space="preserve">Wilhelm Bolsche, qtd in Frank J. Sulloway, Freud, </w:t>
      </w:r>
      <w:r w:rsidRPr="00FE341F">
        <w:rPr>
          <w:i/>
          <w:lang w:val="en-US"/>
        </w:rPr>
        <w:t>Biologist of the Mind: Beyond the Psychoanalytic Legacy</w:t>
      </w:r>
      <w:r>
        <w:rPr>
          <w:lang w:val="en-US"/>
        </w:rPr>
        <w:t xml:space="preserve"> (Harvard University Press, 1992): 262.</w:t>
      </w:r>
    </w:p>
  </w:endnote>
  <w:endnote w:id="63">
    <w:p w14:paraId="203029F9" w14:textId="2BCE1CA9" w:rsidR="003D7BD2" w:rsidRPr="006E71E7" w:rsidRDefault="003D7BD2">
      <w:pPr>
        <w:pStyle w:val="EndnoteText"/>
        <w:rPr>
          <w:lang w:val="en-US"/>
        </w:rPr>
      </w:pPr>
      <w:r>
        <w:rPr>
          <w:rStyle w:val="EndnoteReference"/>
        </w:rPr>
        <w:endnoteRef/>
      </w:r>
      <w:r>
        <w:t xml:space="preserve"> </w:t>
      </w:r>
      <w:r>
        <w:rPr>
          <w:lang w:val="en-US"/>
        </w:rPr>
        <w:t>Ferenczi, 62.</w:t>
      </w:r>
    </w:p>
  </w:endnote>
  <w:endnote w:id="64">
    <w:p w14:paraId="3D5224D8" w14:textId="13AF80AA" w:rsidR="003D7BD2" w:rsidRPr="00252D6B" w:rsidRDefault="003D7BD2">
      <w:pPr>
        <w:pStyle w:val="EndnoteText"/>
        <w:rPr>
          <w:lang w:val="en-US"/>
        </w:rPr>
      </w:pPr>
      <w:r>
        <w:rPr>
          <w:rStyle w:val="EndnoteReference"/>
        </w:rPr>
        <w:endnoteRef/>
      </w:r>
      <w:r>
        <w:t xml:space="preserve"> </w:t>
      </w:r>
      <w:r>
        <w:rPr>
          <w:lang w:val="en-US"/>
        </w:rPr>
        <w:t>See Sulloway, 261-263.</w:t>
      </w:r>
    </w:p>
  </w:endnote>
  <w:endnote w:id="65">
    <w:p w14:paraId="0F307C74" w14:textId="2B438D92" w:rsidR="003D7BD2" w:rsidRPr="00E96AD7" w:rsidRDefault="003D7BD2">
      <w:pPr>
        <w:pStyle w:val="EndnoteText"/>
        <w:rPr>
          <w:lang w:val="en-US"/>
        </w:rPr>
      </w:pPr>
      <w:r>
        <w:rPr>
          <w:rStyle w:val="EndnoteReference"/>
        </w:rPr>
        <w:endnoteRef/>
      </w:r>
      <w:r>
        <w:t xml:space="preserve"> </w:t>
      </w:r>
      <w:r>
        <w:rPr>
          <w:lang w:val="en-US"/>
        </w:rPr>
        <w:t>Ferenczi, 94-5.</w:t>
      </w:r>
    </w:p>
  </w:endnote>
  <w:endnote w:id="66">
    <w:p w14:paraId="11F907F2" w14:textId="267FA7F3" w:rsidR="003D7BD2" w:rsidRPr="00F91A9E" w:rsidRDefault="003D7BD2">
      <w:pPr>
        <w:pStyle w:val="EndnoteText"/>
        <w:rPr>
          <w:lang w:val="en-US"/>
        </w:rPr>
      </w:pPr>
      <w:r>
        <w:rPr>
          <w:rStyle w:val="EndnoteReference"/>
        </w:rPr>
        <w:endnoteRef/>
      </w:r>
      <w:r>
        <w:t xml:space="preserve"> </w:t>
      </w:r>
      <w:r>
        <w:rPr>
          <w:lang w:val="en-US"/>
        </w:rPr>
        <w:t>Ferenczi, 99.</w:t>
      </w:r>
    </w:p>
  </w:endnote>
  <w:endnote w:id="67">
    <w:p w14:paraId="51CE7528" w14:textId="3565AAA3" w:rsidR="003D7BD2" w:rsidRPr="0065425F" w:rsidRDefault="003D7BD2">
      <w:pPr>
        <w:pStyle w:val="EndnoteText"/>
        <w:rPr>
          <w:lang w:val="en-US"/>
        </w:rPr>
      </w:pPr>
      <w:r>
        <w:rPr>
          <w:rStyle w:val="EndnoteReference"/>
        </w:rPr>
        <w:endnoteRef/>
      </w:r>
      <w:r>
        <w:t xml:space="preserve"> </w:t>
      </w:r>
      <w:r>
        <w:rPr>
          <w:lang w:val="en-US"/>
        </w:rPr>
        <w:t xml:space="preserve">Wilson, “Underbelly,” 202. Dufresne notes that Klein </w:t>
      </w:r>
      <w:r w:rsidRPr="004A6134">
        <w:rPr>
          <w:lang w:val="en-US"/>
        </w:rPr>
        <w:t xml:space="preserve">supported </w:t>
      </w:r>
      <w:r>
        <w:rPr>
          <w:lang w:val="en-US"/>
        </w:rPr>
        <w:t>Ferenczi’s</w:t>
      </w:r>
      <w:r w:rsidRPr="004A6134">
        <w:rPr>
          <w:lang w:val="en-US"/>
        </w:rPr>
        <w:t xml:space="preserve"> interest in phylogenesis and notion of the ‘th</w:t>
      </w:r>
      <w:r>
        <w:rPr>
          <w:lang w:val="en-US"/>
        </w:rPr>
        <w:t xml:space="preserve">alassal trend’ (See Dufresne, </w:t>
      </w:r>
      <w:r w:rsidRPr="004A6134">
        <w:rPr>
          <w:lang w:val="en-US"/>
        </w:rPr>
        <w:t>76).</w:t>
      </w:r>
    </w:p>
  </w:endnote>
  <w:endnote w:id="68">
    <w:p w14:paraId="7AFBDEE1" w14:textId="49687589" w:rsidR="003D7BD2" w:rsidRPr="000F085D" w:rsidRDefault="003D7BD2">
      <w:pPr>
        <w:pStyle w:val="EndnoteText"/>
        <w:rPr>
          <w:lang w:val="en-US"/>
        </w:rPr>
      </w:pPr>
      <w:r>
        <w:rPr>
          <w:rStyle w:val="EndnoteReference"/>
        </w:rPr>
        <w:endnoteRef/>
      </w:r>
      <w:r>
        <w:t xml:space="preserve"> Wilson cites Rubin from her 1975 text “The Traffic in Women”: ‘The belly’s hunger gives no clues as to the complexities of cuisine,’ 194</w:t>
      </w:r>
    </w:p>
  </w:endnote>
  <w:endnote w:id="69">
    <w:p w14:paraId="4B5730E0" w14:textId="188A01A7" w:rsidR="003D7BD2" w:rsidRPr="00006ABA" w:rsidRDefault="003D7BD2" w:rsidP="003D5DCC">
      <w:pPr>
        <w:pStyle w:val="EndnoteText"/>
        <w:rPr>
          <w:lang w:val="en-US"/>
        </w:rPr>
      </w:pPr>
      <w:r>
        <w:rPr>
          <w:rStyle w:val="EndnoteReference"/>
        </w:rPr>
        <w:endnoteRef/>
      </w:r>
      <w:r>
        <w:t xml:space="preserve"> </w:t>
      </w:r>
      <w:r>
        <w:rPr>
          <w:lang w:val="en-US"/>
        </w:rPr>
        <w:t>Wilson, Underbelly,” 204.</w:t>
      </w:r>
    </w:p>
  </w:endnote>
  <w:endnote w:id="70">
    <w:p w14:paraId="2BD210DB" w14:textId="3B54C712" w:rsidR="003D7BD2" w:rsidRPr="0002605E" w:rsidRDefault="003D7BD2">
      <w:pPr>
        <w:pStyle w:val="EndnoteText"/>
        <w:rPr>
          <w:lang w:val="en-US"/>
        </w:rPr>
      </w:pPr>
      <w:r>
        <w:rPr>
          <w:rStyle w:val="EndnoteReference"/>
        </w:rPr>
        <w:endnoteRef/>
      </w:r>
      <w:r>
        <w:t xml:space="preserve"> </w:t>
      </w:r>
      <w:r>
        <w:rPr>
          <w:lang w:val="en-US"/>
        </w:rPr>
        <w:t xml:space="preserve">Melanie Klein, “Weaning” [1936] in </w:t>
      </w:r>
      <w:r w:rsidRPr="0002605E">
        <w:rPr>
          <w:i/>
          <w:lang w:val="en-US"/>
        </w:rPr>
        <w:t>Love, Guilt and Reparation and Other Works 1921-1945</w:t>
      </w:r>
      <w:r>
        <w:rPr>
          <w:lang w:val="en-US"/>
        </w:rPr>
        <w:t xml:space="preserve"> (London: Vintage, 1998): 291. Wilson splits up this citation, and uses a previous translation published by the Free Press, 203-4.</w:t>
      </w:r>
    </w:p>
  </w:endnote>
  <w:endnote w:id="71">
    <w:p w14:paraId="7BF67842" w14:textId="3C34EC67" w:rsidR="003D7BD2" w:rsidRPr="003D5DCC" w:rsidRDefault="003D7BD2">
      <w:pPr>
        <w:pStyle w:val="EndnoteText"/>
        <w:rPr>
          <w:lang w:val="en-US"/>
        </w:rPr>
      </w:pPr>
      <w:r>
        <w:rPr>
          <w:rStyle w:val="EndnoteReference"/>
        </w:rPr>
        <w:endnoteRef/>
      </w:r>
      <w:r>
        <w:t xml:space="preserve"> </w:t>
      </w:r>
      <w:r>
        <w:rPr>
          <w:lang w:val="en-US"/>
        </w:rPr>
        <w:t>Wilson, “Underbelly,” 204.</w:t>
      </w:r>
    </w:p>
  </w:endnote>
  <w:endnote w:id="72">
    <w:p w14:paraId="04607A74" w14:textId="5CF2D683" w:rsidR="003D7BD2" w:rsidRPr="00333EE7" w:rsidRDefault="003D7BD2" w:rsidP="00FB47B9">
      <w:pPr>
        <w:pStyle w:val="EndnoteText"/>
        <w:rPr>
          <w:lang w:val="en-US"/>
        </w:rPr>
      </w:pPr>
      <w:r>
        <w:rPr>
          <w:rStyle w:val="EndnoteReference"/>
        </w:rPr>
        <w:endnoteRef/>
      </w:r>
      <w:r>
        <w:t xml:space="preserve"> </w:t>
      </w:r>
      <w:r>
        <w:rPr>
          <w:lang w:val="en-US"/>
        </w:rPr>
        <w:t>Derrida, “Freud and the Scene of Writing,” 231, emphasis as original.</w:t>
      </w:r>
    </w:p>
  </w:endnote>
  <w:endnote w:id="73">
    <w:p w14:paraId="7CDB8855" w14:textId="26623EAE" w:rsidR="003D7BD2" w:rsidRPr="00013013" w:rsidRDefault="003D7BD2">
      <w:pPr>
        <w:pStyle w:val="EndnoteText"/>
        <w:rPr>
          <w:lang w:val="en-US"/>
        </w:rPr>
      </w:pPr>
      <w:r>
        <w:rPr>
          <w:rStyle w:val="EndnoteReference"/>
        </w:rPr>
        <w:endnoteRef/>
      </w:r>
      <w:r>
        <w:t xml:space="preserve"> </w:t>
      </w:r>
      <w:r>
        <w:rPr>
          <w:lang w:val="en-US"/>
        </w:rPr>
        <w:t>Derrida, “Freud and the Scene of Writing,” 203.</w:t>
      </w:r>
    </w:p>
  </w:endnote>
  <w:endnote w:id="74">
    <w:p w14:paraId="34A1F3AE" w14:textId="4DB2B6D8" w:rsidR="003D7BD2" w:rsidRPr="00FB47B9" w:rsidRDefault="003D7BD2">
      <w:pPr>
        <w:pStyle w:val="EndnoteText"/>
        <w:rPr>
          <w:lang w:val="en-US"/>
        </w:rPr>
      </w:pPr>
      <w:r>
        <w:rPr>
          <w:rStyle w:val="EndnoteReference"/>
        </w:rPr>
        <w:endnoteRef/>
      </w:r>
      <w:r>
        <w:t xml:space="preserve"> </w:t>
      </w:r>
      <w:r w:rsidRPr="002C0A94">
        <w:t>Jacques Derrida</w:t>
      </w:r>
      <w:r>
        <w:t>,  “</w:t>
      </w:r>
      <w:r w:rsidRPr="002C0A94">
        <w:t>Eating Well' or the Cal</w:t>
      </w:r>
      <w:r>
        <w:t>culation of the Subject,”</w:t>
      </w:r>
      <w:r w:rsidRPr="002C0A94">
        <w:t xml:space="preserve"> in </w:t>
      </w:r>
      <w:r w:rsidRPr="002C0A94">
        <w:rPr>
          <w:i/>
        </w:rPr>
        <w:t>Points</w:t>
      </w:r>
      <w:r w:rsidRPr="002C0A94">
        <w:t>…</w:t>
      </w:r>
      <w:r w:rsidRPr="006A538E">
        <w:rPr>
          <w:i/>
        </w:rPr>
        <w:t>Interviews 1974-1994</w:t>
      </w:r>
      <w:r w:rsidRPr="002C0A94">
        <w:t xml:space="preserve"> </w:t>
      </w:r>
      <w:r>
        <w:t>Elizabeth Weber, ed. (</w:t>
      </w:r>
      <w:r w:rsidRPr="006A538E">
        <w:t>Stanford:</w:t>
      </w:r>
      <w:r>
        <w:t xml:space="preserve"> Stanford University Press, 1995): 281.</w:t>
      </w:r>
    </w:p>
  </w:endnote>
  <w:endnote w:id="75">
    <w:p w14:paraId="410129BD" w14:textId="4C7C1173" w:rsidR="003D7BD2" w:rsidRPr="004E10BD" w:rsidRDefault="003D7BD2">
      <w:pPr>
        <w:pStyle w:val="EndnoteText"/>
        <w:rPr>
          <w:lang w:val="en-US"/>
        </w:rPr>
      </w:pPr>
      <w:r>
        <w:rPr>
          <w:rStyle w:val="EndnoteReference"/>
        </w:rPr>
        <w:endnoteRef/>
      </w:r>
      <w:r>
        <w:t xml:space="preserve"> </w:t>
      </w:r>
      <w:r w:rsidRPr="002C0A94">
        <w:t xml:space="preserve">Prior to </w:t>
      </w:r>
      <w:r>
        <w:t>“Eating Well,”</w:t>
      </w:r>
      <w:r w:rsidRPr="002C0A94">
        <w:t xml:space="preserve"> Derrida had already published “Foreword: </w:t>
      </w:r>
      <w:r w:rsidRPr="002C0A94">
        <w:rPr>
          <w:i/>
        </w:rPr>
        <w:t>Fors</w:t>
      </w:r>
      <w:r w:rsidRPr="002C0A94">
        <w:t xml:space="preserve">: The Anglish Words of Nicolas Abraham and Maria Torok” in </w:t>
      </w:r>
      <w:r w:rsidRPr="002C0A94">
        <w:rPr>
          <w:i/>
        </w:rPr>
        <w:t>The Wolf Man’s Magic Word: A Cryptonomy</w:t>
      </w:r>
      <w:r w:rsidRPr="002C0A94">
        <w:t xml:space="preserve"> </w:t>
      </w:r>
      <w:r>
        <w:t>Nicholas Rand, trans. (</w:t>
      </w:r>
      <w:r w:rsidRPr="002C0A94">
        <w:t>Minneapolis: M</w:t>
      </w:r>
      <w:r>
        <w:t xml:space="preserve">innesota University Press, 1986): xi-xlvii. </w:t>
      </w:r>
    </w:p>
  </w:endnote>
  <w:endnote w:id="76">
    <w:p w14:paraId="0A03D515" w14:textId="707AE730" w:rsidR="003D7BD2" w:rsidRPr="00F13FD3" w:rsidRDefault="003D7BD2">
      <w:pPr>
        <w:pStyle w:val="EndnoteText"/>
        <w:rPr>
          <w:lang w:val="en-US"/>
        </w:rPr>
      </w:pPr>
      <w:r>
        <w:rPr>
          <w:rStyle w:val="EndnoteReference"/>
        </w:rPr>
        <w:endnoteRef/>
      </w:r>
      <w:r>
        <w:t xml:space="preserve"> </w:t>
      </w:r>
      <w:r>
        <w:rPr>
          <w:lang w:val="en-US"/>
        </w:rPr>
        <w:t>Indexed by Derrida, “</w:t>
      </w:r>
      <w:r w:rsidRPr="00F13FD3">
        <w:rPr>
          <w:i/>
          <w:lang w:val="en-US"/>
        </w:rPr>
        <w:t>Fors</w:t>
      </w:r>
      <w:r>
        <w:rPr>
          <w:i/>
          <w:lang w:val="en-US"/>
        </w:rPr>
        <w:t>,</w:t>
      </w:r>
      <w:r w:rsidRPr="00A650FB">
        <w:rPr>
          <w:lang w:val="en-US"/>
        </w:rPr>
        <w:t>”</w:t>
      </w:r>
      <w:r>
        <w:rPr>
          <w:i/>
          <w:lang w:val="en-US"/>
        </w:rPr>
        <w:t xml:space="preserve"> </w:t>
      </w:r>
      <w:r>
        <w:rPr>
          <w:lang w:val="en-US"/>
        </w:rPr>
        <w:t>xvi. ‘Introjection’ doubtless exceeds this genealogy – I merely indicate those most pertinent to this chapter.</w:t>
      </w:r>
    </w:p>
  </w:endnote>
  <w:endnote w:id="77">
    <w:p w14:paraId="2B7E8BE0" w14:textId="3EDA82AB" w:rsidR="003D7BD2" w:rsidRPr="00CB6CF0" w:rsidRDefault="003D7BD2">
      <w:pPr>
        <w:pStyle w:val="EndnoteText"/>
        <w:rPr>
          <w:lang w:val="en-US"/>
        </w:rPr>
      </w:pPr>
      <w:r>
        <w:rPr>
          <w:rStyle w:val="EndnoteReference"/>
        </w:rPr>
        <w:endnoteRef/>
      </w:r>
      <w:r>
        <w:t xml:space="preserve"> </w:t>
      </w:r>
      <w:r>
        <w:rPr>
          <w:lang w:val="en-US"/>
        </w:rPr>
        <w:t xml:space="preserve">See my ‘Animal Melancholia: on the Scent of Dean Spanley’ in </w:t>
      </w:r>
      <w:r w:rsidRPr="00CB6CF0">
        <w:rPr>
          <w:i/>
          <w:lang w:val="en-US"/>
        </w:rPr>
        <w:t>Animality and the Moving Image</w:t>
      </w:r>
      <w:r>
        <w:rPr>
          <w:lang w:val="en-US"/>
        </w:rPr>
        <w:t xml:space="preserve">, Laura Macmahon and Michael Lawrence, eds. (London: BFI, 2015). </w:t>
      </w:r>
    </w:p>
  </w:endnote>
  <w:endnote w:id="78">
    <w:p w14:paraId="2BA6A814" w14:textId="565C7560" w:rsidR="003D7BD2" w:rsidRPr="00D067BD" w:rsidRDefault="003D7BD2">
      <w:pPr>
        <w:pStyle w:val="EndnoteText"/>
        <w:rPr>
          <w:lang w:val="en-US"/>
        </w:rPr>
      </w:pPr>
      <w:r>
        <w:rPr>
          <w:rStyle w:val="EndnoteReference"/>
        </w:rPr>
        <w:endnoteRef/>
      </w:r>
      <w:r>
        <w:t xml:space="preserve"> </w:t>
      </w:r>
      <w:r w:rsidRPr="002C0A94">
        <w:t>Derrida</w:t>
      </w:r>
      <w:r>
        <w:t>,  “</w:t>
      </w:r>
      <w:r w:rsidRPr="002C0A94">
        <w:t>Eat</w:t>
      </w:r>
      <w:r>
        <w:t>ing Well,” 282.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Baskerville">
    <w:panose1 w:val="020205020704010203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D1A8E" w14:textId="77777777" w:rsidR="003D7BD2" w:rsidRDefault="003D7BD2" w:rsidP="00890ECE">
      <w:r>
        <w:separator/>
      </w:r>
    </w:p>
  </w:footnote>
  <w:footnote w:type="continuationSeparator" w:id="0">
    <w:p w14:paraId="241CB894" w14:textId="77777777" w:rsidR="003D7BD2" w:rsidRDefault="003D7BD2" w:rsidP="00890E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88F1E" w14:textId="77777777" w:rsidR="003D7BD2" w:rsidRDefault="003D7BD2" w:rsidP="000063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495EE" w14:textId="77777777" w:rsidR="003D7BD2" w:rsidRDefault="003D7BD2" w:rsidP="002A18B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A1D5" w14:textId="77777777" w:rsidR="003D7BD2" w:rsidRDefault="003D7BD2" w:rsidP="000063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79A1">
      <w:rPr>
        <w:rStyle w:val="PageNumber"/>
        <w:noProof/>
      </w:rPr>
      <w:t>1</w:t>
    </w:r>
    <w:r>
      <w:rPr>
        <w:rStyle w:val="PageNumber"/>
      </w:rPr>
      <w:fldChar w:fldCharType="end"/>
    </w:r>
  </w:p>
  <w:p w14:paraId="0810BFD9" w14:textId="77777777" w:rsidR="003D7BD2" w:rsidRDefault="003D7BD2" w:rsidP="002A18B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18DD"/>
    <w:multiLevelType w:val="hybridMultilevel"/>
    <w:tmpl w:val="CDACD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754495"/>
    <w:multiLevelType w:val="hybridMultilevel"/>
    <w:tmpl w:val="AF6EC0D4"/>
    <w:lvl w:ilvl="0" w:tplc="C55A7930">
      <w:start w:val="13"/>
      <w:numFmt w:val="bullet"/>
      <w:lvlText w:val="-"/>
      <w:lvlJc w:val="left"/>
      <w:pPr>
        <w:tabs>
          <w:tab w:val="num" w:pos="3960"/>
        </w:tabs>
        <w:ind w:left="3960" w:hanging="360"/>
      </w:pPr>
      <w:rPr>
        <w:rFonts w:ascii="Times New Roman" w:eastAsia="Cambria" w:hAnsi="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EE"/>
    <w:rsid w:val="00001A40"/>
    <w:rsid w:val="00006370"/>
    <w:rsid w:val="0000688B"/>
    <w:rsid w:val="00006ABA"/>
    <w:rsid w:val="0001181D"/>
    <w:rsid w:val="00011B23"/>
    <w:rsid w:val="00012940"/>
    <w:rsid w:val="00013013"/>
    <w:rsid w:val="00013155"/>
    <w:rsid w:val="00013AF4"/>
    <w:rsid w:val="00014A9E"/>
    <w:rsid w:val="00014FAA"/>
    <w:rsid w:val="0002072F"/>
    <w:rsid w:val="00024FDB"/>
    <w:rsid w:val="000251B0"/>
    <w:rsid w:val="00025A5D"/>
    <w:rsid w:val="0002605E"/>
    <w:rsid w:val="000265A3"/>
    <w:rsid w:val="00031E81"/>
    <w:rsid w:val="00034236"/>
    <w:rsid w:val="00034C11"/>
    <w:rsid w:val="00035E50"/>
    <w:rsid w:val="00044A9C"/>
    <w:rsid w:val="000536C1"/>
    <w:rsid w:val="00054B1A"/>
    <w:rsid w:val="00056EAF"/>
    <w:rsid w:val="0005705B"/>
    <w:rsid w:val="00063CA5"/>
    <w:rsid w:val="00071C5E"/>
    <w:rsid w:val="000728FB"/>
    <w:rsid w:val="00073302"/>
    <w:rsid w:val="00075D70"/>
    <w:rsid w:val="00076523"/>
    <w:rsid w:val="00081119"/>
    <w:rsid w:val="00081715"/>
    <w:rsid w:val="00083414"/>
    <w:rsid w:val="000840C7"/>
    <w:rsid w:val="000850CF"/>
    <w:rsid w:val="00085C70"/>
    <w:rsid w:val="000860DF"/>
    <w:rsid w:val="0009661F"/>
    <w:rsid w:val="000A20D0"/>
    <w:rsid w:val="000B2D9B"/>
    <w:rsid w:val="000B3690"/>
    <w:rsid w:val="000B435A"/>
    <w:rsid w:val="000B6405"/>
    <w:rsid w:val="000B68A1"/>
    <w:rsid w:val="000C6A7A"/>
    <w:rsid w:val="000D68EB"/>
    <w:rsid w:val="000D6EAD"/>
    <w:rsid w:val="000E0C96"/>
    <w:rsid w:val="000E25DD"/>
    <w:rsid w:val="000E4241"/>
    <w:rsid w:val="000E4A1F"/>
    <w:rsid w:val="000E5864"/>
    <w:rsid w:val="000F085D"/>
    <w:rsid w:val="000F1376"/>
    <w:rsid w:val="000F7BE3"/>
    <w:rsid w:val="001011FC"/>
    <w:rsid w:val="00111F1A"/>
    <w:rsid w:val="00114787"/>
    <w:rsid w:val="00114A01"/>
    <w:rsid w:val="001152B1"/>
    <w:rsid w:val="00121973"/>
    <w:rsid w:val="0012391B"/>
    <w:rsid w:val="00130D2A"/>
    <w:rsid w:val="001324FA"/>
    <w:rsid w:val="0013360B"/>
    <w:rsid w:val="001338B8"/>
    <w:rsid w:val="00136C07"/>
    <w:rsid w:val="00145873"/>
    <w:rsid w:val="001506B1"/>
    <w:rsid w:val="0015213A"/>
    <w:rsid w:val="00154B40"/>
    <w:rsid w:val="00154C18"/>
    <w:rsid w:val="00155C36"/>
    <w:rsid w:val="00155EDF"/>
    <w:rsid w:val="00160E76"/>
    <w:rsid w:val="0016171C"/>
    <w:rsid w:val="00164282"/>
    <w:rsid w:val="001703B7"/>
    <w:rsid w:val="00171034"/>
    <w:rsid w:val="00171E43"/>
    <w:rsid w:val="001720E4"/>
    <w:rsid w:val="00172C52"/>
    <w:rsid w:val="0017660A"/>
    <w:rsid w:val="00180EDB"/>
    <w:rsid w:val="00183B6B"/>
    <w:rsid w:val="00193D68"/>
    <w:rsid w:val="0019637D"/>
    <w:rsid w:val="0019692C"/>
    <w:rsid w:val="00197439"/>
    <w:rsid w:val="001A47BB"/>
    <w:rsid w:val="001B41C8"/>
    <w:rsid w:val="001B5F05"/>
    <w:rsid w:val="001C5F4A"/>
    <w:rsid w:val="001D0980"/>
    <w:rsid w:val="001D311E"/>
    <w:rsid w:val="001D4075"/>
    <w:rsid w:val="001E4C7F"/>
    <w:rsid w:val="001E6861"/>
    <w:rsid w:val="001E7414"/>
    <w:rsid w:val="00200B37"/>
    <w:rsid w:val="00206119"/>
    <w:rsid w:val="00206CD5"/>
    <w:rsid w:val="002078A1"/>
    <w:rsid w:val="0021094B"/>
    <w:rsid w:val="00211524"/>
    <w:rsid w:val="00217253"/>
    <w:rsid w:val="002211DE"/>
    <w:rsid w:val="002231EC"/>
    <w:rsid w:val="002405B6"/>
    <w:rsid w:val="00240A8D"/>
    <w:rsid w:val="00252D6B"/>
    <w:rsid w:val="00252EA4"/>
    <w:rsid w:val="00254572"/>
    <w:rsid w:val="00263751"/>
    <w:rsid w:val="00264D2E"/>
    <w:rsid w:val="00265920"/>
    <w:rsid w:val="0026651B"/>
    <w:rsid w:val="00266809"/>
    <w:rsid w:val="002672C6"/>
    <w:rsid w:val="002679D7"/>
    <w:rsid w:val="002727C1"/>
    <w:rsid w:val="00274671"/>
    <w:rsid w:val="00275903"/>
    <w:rsid w:val="002809C7"/>
    <w:rsid w:val="0028211E"/>
    <w:rsid w:val="002849C1"/>
    <w:rsid w:val="00286CAD"/>
    <w:rsid w:val="00287497"/>
    <w:rsid w:val="00290221"/>
    <w:rsid w:val="00297F57"/>
    <w:rsid w:val="002A18B0"/>
    <w:rsid w:val="002A5CD6"/>
    <w:rsid w:val="002A6F48"/>
    <w:rsid w:val="002B151D"/>
    <w:rsid w:val="002B650F"/>
    <w:rsid w:val="002D0665"/>
    <w:rsid w:val="002D0874"/>
    <w:rsid w:val="002D2667"/>
    <w:rsid w:val="002D2D3A"/>
    <w:rsid w:val="002D4EC0"/>
    <w:rsid w:val="002D69B7"/>
    <w:rsid w:val="002D7088"/>
    <w:rsid w:val="002E1099"/>
    <w:rsid w:val="002E66C4"/>
    <w:rsid w:val="00306855"/>
    <w:rsid w:val="00307AB5"/>
    <w:rsid w:val="00310222"/>
    <w:rsid w:val="0031396F"/>
    <w:rsid w:val="00313C8A"/>
    <w:rsid w:val="00320122"/>
    <w:rsid w:val="00321225"/>
    <w:rsid w:val="00325DBD"/>
    <w:rsid w:val="00326369"/>
    <w:rsid w:val="0032686F"/>
    <w:rsid w:val="003279A1"/>
    <w:rsid w:val="00330942"/>
    <w:rsid w:val="003333FD"/>
    <w:rsid w:val="00333EE7"/>
    <w:rsid w:val="00334FE5"/>
    <w:rsid w:val="003363F0"/>
    <w:rsid w:val="00346DF8"/>
    <w:rsid w:val="00355445"/>
    <w:rsid w:val="0035701F"/>
    <w:rsid w:val="00362413"/>
    <w:rsid w:val="00362D28"/>
    <w:rsid w:val="003667F7"/>
    <w:rsid w:val="003707E6"/>
    <w:rsid w:val="00373972"/>
    <w:rsid w:val="00373DE5"/>
    <w:rsid w:val="003751E6"/>
    <w:rsid w:val="00380A0A"/>
    <w:rsid w:val="0038130D"/>
    <w:rsid w:val="003848C7"/>
    <w:rsid w:val="00385027"/>
    <w:rsid w:val="00391199"/>
    <w:rsid w:val="003914AC"/>
    <w:rsid w:val="00392326"/>
    <w:rsid w:val="003950A3"/>
    <w:rsid w:val="00396D8F"/>
    <w:rsid w:val="003A0F42"/>
    <w:rsid w:val="003A29CF"/>
    <w:rsid w:val="003A4529"/>
    <w:rsid w:val="003A4925"/>
    <w:rsid w:val="003B02A4"/>
    <w:rsid w:val="003B2440"/>
    <w:rsid w:val="003B4279"/>
    <w:rsid w:val="003B7739"/>
    <w:rsid w:val="003C0AF3"/>
    <w:rsid w:val="003C14D0"/>
    <w:rsid w:val="003D0402"/>
    <w:rsid w:val="003D4DCE"/>
    <w:rsid w:val="003D5DCC"/>
    <w:rsid w:val="003D7BD2"/>
    <w:rsid w:val="003D7F82"/>
    <w:rsid w:val="003E1F75"/>
    <w:rsid w:val="003E441C"/>
    <w:rsid w:val="003F0BC2"/>
    <w:rsid w:val="003F34C9"/>
    <w:rsid w:val="00402625"/>
    <w:rsid w:val="004040E9"/>
    <w:rsid w:val="00404AEC"/>
    <w:rsid w:val="004071EC"/>
    <w:rsid w:val="004229B6"/>
    <w:rsid w:val="004229D9"/>
    <w:rsid w:val="00422A41"/>
    <w:rsid w:val="004263A1"/>
    <w:rsid w:val="0043022C"/>
    <w:rsid w:val="00435A58"/>
    <w:rsid w:val="00455CF5"/>
    <w:rsid w:val="00461545"/>
    <w:rsid w:val="0046329F"/>
    <w:rsid w:val="00465F5B"/>
    <w:rsid w:val="0046643B"/>
    <w:rsid w:val="00466AAA"/>
    <w:rsid w:val="00476369"/>
    <w:rsid w:val="00477D00"/>
    <w:rsid w:val="00477FE7"/>
    <w:rsid w:val="00480218"/>
    <w:rsid w:val="00482B70"/>
    <w:rsid w:val="00486A39"/>
    <w:rsid w:val="00491192"/>
    <w:rsid w:val="004911C6"/>
    <w:rsid w:val="00492188"/>
    <w:rsid w:val="00492916"/>
    <w:rsid w:val="0049623C"/>
    <w:rsid w:val="004A05CE"/>
    <w:rsid w:val="004A3032"/>
    <w:rsid w:val="004A44B1"/>
    <w:rsid w:val="004A6134"/>
    <w:rsid w:val="004B1499"/>
    <w:rsid w:val="004C1C58"/>
    <w:rsid w:val="004C4625"/>
    <w:rsid w:val="004C5BE8"/>
    <w:rsid w:val="004C5C48"/>
    <w:rsid w:val="004D377A"/>
    <w:rsid w:val="004D61D9"/>
    <w:rsid w:val="004E0A76"/>
    <w:rsid w:val="004E10BD"/>
    <w:rsid w:val="004E3797"/>
    <w:rsid w:val="004E7DCD"/>
    <w:rsid w:val="004F4830"/>
    <w:rsid w:val="0050149A"/>
    <w:rsid w:val="005025C1"/>
    <w:rsid w:val="00506E04"/>
    <w:rsid w:val="00511947"/>
    <w:rsid w:val="00511B31"/>
    <w:rsid w:val="00517473"/>
    <w:rsid w:val="005226B2"/>
    <w:rsid w:val="00525BE2"/>
    <w:rsid w:val="00525E15"/>
    <w:rsid w:val="00527A98"/>
    <w:rsid w:val="0053049C"/>
    <w:rsid w:val="0053170A"/>
    <w:rsid w:val="0053356B"/>
    <w:rsid w:val="00536000"/>
    <w:rsid w:val="00541C9D"/>
    <w:rsid w:val="00544C8F"/>
    <w:rsid w:val="005468CC"/>
    <w:rsid w:val="0055047D"/>
    <w:rsid w:val="005561CB"/>
    <w:rsid w:val="00556918"/>
    <w:rsid w:val="005625FE"/>
    <w:rsid w:val="0056346F"/>
    <w:rsid w:val="00563D78"/>
    <w:rsid w:val="005704F7"/>
    <w:rsid w:val="0057337A"/>
    <w:rsid w:val="0057717D"/>
    <w:rsid w:val="00580BB5"/>
    <w:rsid w:val="00581A12"/>
    <w:rsid w:val="0058416E"/>
    <w:rsid w:val="0058743A"/>
    <w:rsid w:val="00591E2B"/>
    <w:rsid w:val="005960E6"/>
    <w:rsid w:val="00596100"/>
    <w:rsid w:val="00596447"/>
    <w:rsid w:val="005A60A0"/>
    <w:rsid w:val="005B03E2"/>
    <w:rsid w:val="005B3989"/>
    <w:rsid w:val="005B4A84"/>
    <w:rsid w:val="005B6775"/>
    <w:rsid w:val="005C09AD"/>
    <w:rsid w:val="005C4A86"/>
    <w:rsid w:val="005C5D7D"/>
    <w:rsid w:val="005D0E98"/>
    <w:rsid w:val="005D5827"/>
    <w:rsid w:val="005E1340"/>
    <w:rsid w:val="005E1716"/>
    <w:rsid w:val="005E1D67"/>
    <w:rsid w:val="005E23E3"/>
    <w:rsid w:val="005E2650"/>
    <w:rsid w:val="005E4194"/>
    <w:rsid w:val="005E5962"/>
    <w:rsid w:val="005F1146"/>
    <w:rsid w:val="005F1487"/>
    <w:rsid w:val="005F1E15"/>
    <w:rsid w:val="005F20D2"/>
    <w:rsid w:val="006011E4"/>
    <w:rsid w:val="00607AD8"/>
    <w:rsid w:val="006153C8"/>
    <w:rsid w:val="00621314"/>
    <w:rsid w:val="006234AF"/>
    <w:rsid w:val="0062358A"/>
    <w:rsid w:val="00624CDE"/>
    <w:rsid w:val="00626043"/>
    <w:rsid w:val="00627D2A"/>
    <w:rsid w:val="00630ADF"/>
    <w:rsid w:val="00630DB2"/>
    <w:rsid w:val="0063254E"/>
    <w:rsid w:val="00634A40"/>
    <w:rsid w:val="0064055B"/>
    <w:rsid w:val="00642A10"/>
    <w:rsid w:val="006460E5"/>
    <w:rsid w:val="0065425F"/>
    <w:rsid w:val="00654793"/>
    <w:rsid w:val="00661C00"/>
    <w:rsid w:val="0066266C"/>
    <w:rsid w:val="00670A56"/>
    <w:rsid w:val="00671466"/>
    <w:rsid w:val="00674DDF"/>
    <w:rsid w:val="0067500D"/>
    <w:rsid w:val="00677C0C"/>
    <w:rsid w:val="00680F16"/>
    <w:rsid w:val="00681FB6"/>
    <w:rsid w:val="0068471F"/>
    <w:rsid w:val="00687870"/>
    <w:rsid w:val="006878D7"/>
    <w:rsid w:val="006A0A0E"/>
    <w:rsid w:val="006A3AC9"/>
    <w:rsid w:val="006A7FCF"/>
    <w:rsid w:val="006B400D"/>
    <w:rsid w:val="006C0795"/>
    <w:rsid w:val="006C3031"/>
    <w:rsid w:val="006C352E"/>
    <w:rsid w:val="006C6627"/>
    <w:rsid w:val="006D1F05"/>
    <w:rsid w:val="006D3430"/>
    <w:rsid w:val="006D3D46"/>
    <w:rsid w:val="006E71E7"/>
    <w:rsid w:val="006E7CF5"/>
    <w:rsid w:val="006F387B"/>
    <w:rsid w:val="006F4DF9"/>
    <w:rsid w:val="006F7535"/>
    <w:rsid w:val="00703AF6"/>
    <w:rsid w:val="00710782"/>
    <w:rsid w:val="00712BDB"/>
    <w:rsid w:val="007177D8"/>
    <w:rsid w:val="00720DD3"/>
    <w:rsid w:val="007312B9"/>
    <w:rsid w:val="0073295D"/>
    <w:rsid w:val="00732E88"/>
    <w:rsid w:val="00733ABD"/>
    <w:rsid w:val="00736175"/>
    <w:rsid w:val="00745BBC"/>
    <w:rsid w:val="00750163"/>
    <w:rsid w:val="007513E6"/>
    <w:rsid w:val="007524A4"/>
    <w:rsid w:val="007627BC"/>
    <w:rsid w:val="00762A9D"/>
    <w:rsid w:val="00763A4E"/>
    <w:rsid w:val="00774CCB"/>
    <w:rsid w:val="0077690C"/>
    <w:rsid w:val="007774B0"/>
    <w:rsid w:val="00777C98"/>
    <w:rsid w:val="00781CC4"/>
    <w:rsid w:val="00783681"/>
    <w:rsid w:val="00786126"/>
    <w:rsid w:val="0079073E"/>
    <w:rsid w:val="007957E5"/>
    <w:rsid w:val="007A44D2"/>
    <w:rsid w:val="007A4EE5"/>
    <w:rsid w:val="007A560D"/>
    <w:rsid w:val="007A5CC8"/>
    <w:rsid w:val="007A607F"/>
    <w:rsid w:val="007A7DED"/>
    <w:rsid w:val="007B271E"/>
    <w:rsid w:val="007C1578"/>
    <w:rsid w:val="007C3C40"/>
    <w:rsid w:val="007D5245"/>
    <w:rsid w:val="007D784C"/>
    <w:rsid w:val="007E5099"/>
    <w:rsid w:val="007E56D7"/>
    <w:rsid w:val="007E6464"/>
    <w:rsid w:val="007F022C"/>
    <w:rsid w:val="007F26DB"/>
    <w:rsid w:val="007F2888"/>
    <w:rsid w:val="007F2B0A"/>
    <w:rsid w:val="0080422A"/>
    <w:rsid w:val="008133B7"/>
    <w:rsid w:val="00814626"/>
    <w:rsid w:val="00815F7B"/>
    <w:rsid w:val="008167A8"/>
    <w:rsid w:val="00820E2C"/>
    <w:rsid w:val="008260F6"/>
    <w:rsid w:val="00832C37"/>
    <w:rsid w:val="0083729F"/>
    <w:rsid w:val="00841D2B"/>
    <w:rsid w:val="00844084"/>
    <w:rsid w:val="00845B22"/>
    <w:rsid w:val="00856506"/>
    <w:rsid w:val="008606E4"/>
    <w:rsid w:val="00867ACC"/>
    <w:rsid w:val="008716B9"/>
    <w:rsid w:val="00872FC7"/>
    <w:rsid w:val="00873596"/>
    <w:rsid w:val="00874C25"/>
    <w:rsid w:val="00875809"/>
    <w:rsid w:val="00875812"/>
    <w:rsid w:val="008809C3"/>
    <w:rsid w:val="00882E82"/>
    <w:rsid w:val="00884825"/>
    <w:rsid w:val="00890ECE"/>
    <w:rsid w:val="00897283"/>
    <w:rsid w:val="0089779A"/>
    <w:rsid w:val="008A684C"/>
    <w:rsid w:val="008B4CE2"/>
    <w:rsid w:val="008B710C"/>
    <w:rsid w:val="008C2540"/>
    <w:rsid w:val="008C2ACB"/>
    <w:rsid w:val="008C5FCA"/>
    <w:rsid w:val="008C7ACE"/>
    <w:rsid w:val="008C7F41"/>
    <w:rsid w:val="008D15A4"/>
    <w:rsid w:val="008D289F"/>
    <w:rsid w:val="008D44A8"/>
    <w:rsid w:val="008D7783"/>
    <w:rsid w:val="008D795A"/>
    <w:rsid w:val="008E0305"/>
    <w:rsid w:val="008E77E1"/>
    <w:rsid w:val="008F2193"/>
    <w:rsid w:val="008F27F9"/>
    <w:rsid w:val="008F4058"/>
    <w:rsid w:val="008F51EC"/>
    <w:rsid w:val="008F7AF2"/>
    <w:rsid w:val="00901A43"/>
    <w:rsid w:val="0091298A"/>
    <w:rsid w:val="00914E19"/>
    <w:rsid w:val="009162E7"/>
    <w:rsid w:val="00917E1C"/>
    <w:rsid w:val="00921DF5"/>
    <w:rsid w:val="00930415"/>
    <w:rsid w:val="009327C3"/>
    <w:rsid w:val="00932CE1"/>
    <w:rsid w:val="00933625"/>
    <w:rsid w:val="00933AF2"/>
    <w:rsid w:val="0094012E"/>
    <w:rsid w:val="00941737"/>
    <w:rsid w:val="00944C34"/>
    <w:rsid w:val="00955007"/>
    <w:rsid w:val="00964864"/>
    <w:rsid w:val="0096660D"/>
    <w:rsid w:val="009679FE"/>
    <w:rsid w:val="00970E7F"/>
    <w:rsid w:val="0097231E"/>
    <w:rsid w:val="00980D72"/>
    <w:rsid w:val="009818CB"/>
    <w:rsid w:val="00985014"/>
    <w:rsid w:val="00985241"/>
    <w:rsid w:val="009859D8"/>
    <w:rsid w:val="00987322"/>
    <w:rsid w:val="00990728"/>
    <w:rsid w:val="00990D42"/>
    <w:rsid w:val="009945F1"/>
    <w:rsid w:val="00994AF1"/>
    <w:rsid w:val="009966FC"/>
    <w:rsid w:val="00996C64"/>
    <w:rsid w:val="009A3A17"/>
    <w:rsid w:val="009A61C2"/>
    <w:rsid w:val="009B0DAE"/>
    <w:rsid w:val="009B2B0A"/>
    <w:rsid w:val="009B2B3E"/>
    <w:rsid w:val="009C0CD3"/>
    <w:rsid w:val="009C5260"/>
    <w:rsid w:val="009C58DE"/>
    <w:rsid w:val="009E04EE"/>
    <w:rsid w:val="009E7DE3"/>
    <w:rsid w:val="009F02B8"/>
    <w:rsid w:val="009F1E5C"/>
    <w:rsid w:val="009F401B"/>
    <w:rsid w:val="00A00D60"/>
    <w:rsid w:val="00A0355E"/>
    <w:rsid w:val="00A070EF"/>
    <w:rsid w:val="00A072A4"/>
    <w:rsid w:val="00A107AD"/>
    <w:rsid w:val="00A11660"/>
    <w:rsid w:val="00A125DF"/>
    <w:rsid w:val="00A1316B"/>
    <w:rsid w:val="00A21E1F"/>
    <w:rsid w:val="00A22E7C"/>
    <w:rsid w:val="00A24CB9"/>
    <w:rsid w:val="00A33BBF"/>
    <w:rsid w:val="00A3506F"/>
    <w:rsid w:val="00A3538D"/>
    <w:rsid w:val="00A36B01"/>
    <w:rsid w:val="00A416DA"/>
    <w:rsid w:val="00A437A2"/>
    <w:rsid w:val="00A4529C"/>
    <w:rsid w:val="00A51870"/>
    <w:rsid w:val="00A52B0C"/>
    <w:rsid w:val="00A5602D"/>
    <w:rsid w:val="00A60ADE"/>
    <w:rsid w:val="00A650FB"/>
    <w:rsid w:val="00A660D1"/>
    <w:rsid w:val="00A706B2"/>
    <w:rsid w:val="00A708F0"/>
    <w:rsid w:val="00A740FB"/>
    <w:rsid w:val="00A76246"/>
    <w:rsid w:val="00A7678B"/>
    <w:rsid w:val="00A77E2F"/>
    <w:rsid w:val="00A81509"/>
    <w:rsid w:val="00A825BA"/>
    <w:rsid w:val="00A835C5"/>
    <w:rsid w:val="00A8581D"/>
    <w:rsid w:val="00A86484"/>
    <w:rsid w:val="00A905AC"/>
    <w:rsid w:val="00A928A6"/>
    <w:rsid w:val="00A979E7"/>
    <w:rsid w:val="00AA1D27"/>
    <w:rsid w:val="00AA2F0C"/>
    <w:rsid w:val="00AA5D94"/>
    <w:rsid w:val="00AB2C1B"/>
    <w:rsid w:val="00AB7CFC"/>
    <w:rsid w:val="00AC78BC"/>
    <w:rsid w:val="00AC7B9B"/>
    <w:rsid w:val="00AD1F51"/>
    <w:rsid w:val="00AD5BF0"/>
    <w:rsid w:val="00AD5D8D"/>
    <w:rsid w:val="00AD71F1"/>
    <w:rsid w:val="00AD7510"/>
    <w:rsid w:val="00AE02D9"/>
    <w:rsid w:val="00AE327E"/>
    <w:rsid w:val="00AF032B"/>
    <w:rsid w:val="00B12DC9"/>
    <w:rsid w:val="00B164D7"/>
    <w:rsid w:val="00B20DFF"/>
    <w:rsid w:val="00B2694B"/>
    <w:rsid w:val="00B35C03"/>
    <w:rsid w:val="00B47BD2"/>
    <w:rsid w:val="00B55685"/>
    <w:rsid w:val="00B57037"/>
    <w:rsid w:val="00B61BEE"/>
    <w:rsid w:val="00B62319"/>
    <w:rsid w:val="00B6388B"/>
    <w:rsid w:val="00B65E1B"/>
    <w:rsid w:val="00B67765"/>
    <w:rsid w:val="00B75970"/>
    <w:rsid w:val="00B767ED"/>
    <w:rsid w:val="00B776C7"/>
    <w:rsid w:val="00B82216"/>
    <w:rsid w:val="00B933B6"/>
    <w:rsid w:val="00B93FA3"/>
    <w:rsid w:val="00BA00E6"/>
    <w:rsid w:val="00BA0A3C"/>
    <w:rsid w:val="00BA21A6"/>
    <w:rsid w:val="00BA6093"/>
    <w:rsid w:val="00BA609F"/>
    <w:rsid w:val="00BB0342"/>
    <w:rsid w:val="00BB2C19"/>
    <w:rsid w:val="00BC5A21"/>
    <w:rsid w:val="00BC6F12"/>
    <w:rsid w:val="00BC76A1"/>
    <w:rsid w:val="00BD0413"/>
    <w:rsid w:val="00BE4025"/>
    <w:rsid w:val="00BF0B41"/>
    <w:rsid w:val="00BF124C"/>
    <w:rsid w:val="00BF2B1D"/>
    <w:rsid w:val="00BF7C06"/>
    <w:rsid w:val="00C03FF6"/>
    <w:rsid w:val="00C04DEE"/>
    <w:rsid w:val="00C05545"/>
    <w:rsid w:val="00C12F5A"/>
    <w:rsid w:val="00C13E60"/>
    <w:rsid w:val="00C15145"/>
    <w:rsid w:val="00C2625D"/>
    <w:rsid w:val="00C276F9"/>
    <w:rsid w:val="00C3160F"/>
    <w:rsid w:val="00C3436E"/>
    <w:rsid w:val="00C408AA"/>
    <w:rsid w:val="00C41683"/>
    <w:rsid w:val="00C41F49"/>
    <w:rsid w:val="00C43AEE"/>
    <w:rsid w:val="00C61C24"/>
    <w:rsid w:val="00C70388"/>
    <w:rsid w:val="00C707E0"/>
    <w:rsid w:val="00C71562"/>
    <w:rsid w:val="00C72022"/>
    <w:rsid w:val="00C82F4F"/>
    <w:rsid w:val="00C83D68"/>
    <w:rsid w:val="00C84864"/>
    <w:rsid w:val="00C91BC2"/>
    <w:rsid w:val="00C9258D"/>
    <w:rsid w:val="00C97D92"/>
    <w:rsid w:val="00CA2C68"/>
    <w:rsid w:val="00CA36C6"/>
    <w:rsid w:val="00CA470E"/>
    <w:rsid w:val="00CA585D"/>
    <w:rsid w:val="00CA60DA"/>
    <w:rsid w:val="00CA74FC"/>
    <w:rsid w:val="00CB4783"/>
    <w:rsid w:val="00CB480B"/>
    <w:rsid w:val="00CB6CF0"/>
    <w:rsid w:val="00CB6F3E"/>
    <w:rsid w:val="00CB7F0D"/>
    <w:rsid w:val="00CC2305"/>
    <w:rsid w:val="00CC2E29"/>
    <w:rsid w:val="00CD12DD"/>
    <w:rsid w:val="00CD3ADE"/>
    <w:rsid w:val="00CD4E63"/>
    <w:rsid w:val="00CD599D"/>
    <w:rsid w:val="00CE0209"/>
    <w:rsid w:val="00CE7EA8"/>
    <w:rsid w:val="00CF10F0"/>
    <w:rsid w:val="00D03F61"/>
    <w:rsid w:val="00D067BD"/>
    <w:rsid w:val="00D07C7C"/>
    <w:rsid w:val="00D1249F"/>
    <w:rsid w:val="00D147AE"/>
    <w:rsid w:val="00D14A4B"/>
    <w:rsid w:val="00D17E96"/>
    <w:rsid w:val="00D22716"/>
    <w:rsid w:val="00D23CD0"/>
    <w:rsid w:val="00D25ECF"/>
    <w:rsid w:val="00D3642C"/>
    <w:rsid w:val="00D41336"/>
    <w:rsid w:val="00D4195D"/>
    <w:rsid w:val="00D41E60"/>
    <w:rsid w:val="00D42411"/>
    <w:rsid w:val="00D4638E"/>
    <w:rsid w:val="00D468FE"/>
    <w:rsid w:val="00D47B22"/>
    <w:rsid w:val="00D574D4"/>
    <w:rsid w:val="00D607D0"/>
    <w:rsid w:val="00D61E3D"/>
    <w:rsid w:val="00D63763"/>
    <w:rsid w:val="00D64923"/>
    <w:rsid w:val="00D6661E"/>
    <w:rsid w:val="00D74E74"/>
    <w:rsid w:val="00D80477"/>
    <w:rsid w:val="00D82568"/>
    <w:rsid w:val="00D90E4C"/>
    <w:rsid w:val="00D91741"/>
    <w:rsid w:val="00D91DB1"/>
    <w:rsid w:val="00DA50F1"/>
    <w:rsid w:val="00DA675F"/>
    <w:rsid w:val="00DB30DC"/>
    <w:rsid w:val="00DB34D3"/>
    <w:rsid w:val="00DB3E93"/>
    <w:rsid w:val="00DC0D5B"/>
    <w:rsid w:val="00DC15E0"/>
    <w:rsid w:val="00DC3EB2"/>
    <w:rsid w:val="00DC4706"/>
    <w:rsid w:val="00DC4D4E"/>
    <w:rsid w:val="00DC670E"/>
    <w:rsid w:val="00DD14D6"/>
    <w:rsid w:val="00DE3398"/>
    <w:rsid w:val="00DE4032"/>
    <w:rsid w:val="00DF098F"/>
    <w:rsid w:val="00E00A15"/>
    <w:rsid w:val="00E101C9"/>
    <w:rsid w:val="00E116CB"/>
    <w:rsid w:val="00E11D2E"/>
    <w:rsid w:val="00E133A4"/>
    <w:rsid w:val="00E17A09"/>
    <w:rsid w:val="00E27720"/>
    <w:rsid w:val="00E33F98"/>
    <w:rsid w:val="00E35442"/>
    <w:rsid w:val="00E40B2D"/>
    <w:rsid w:val="00E42E27"/>
    <w:rsid w:val="00E43820"/>
    <w:rsid w:val="00E454D4"/>
    <w:rsid w:val="00E45B3B"/>
    <w:rsid w:val="00E4788C"/>
    <w:rsid w:val="00E53FA0"/>
    <w:rsid w:val="00E55265"/>
    <w:rsid w:val="00E60206"/>
    <w:rsid w:val="00E6453A"/>
    <w:rsid w:val="00E6543E"/>
    <w:rsid w:val="00E65763"/>
    <w:rsid w:val="00E665F0"/>
    <w:rsid w:val="00E71301"/>
    <w:rsid w:val="00E74F44"/>
    <w:rsid w:val="00E80FF2"/>
    <w:rsid w:val="00E83B2E"/>
    <w:rsid w:val="00E84F1D"/>
    <w:rsid w:val="00E91DC9"/>
    <w:rsid w:val="00E9293C"/>
    <w:rsid w:val="00E9414F"/>
    <w:rsid w:val="00E949B5"/>
    <w:rsid w:val="00E9619C"/>
    <w:rsid w:val="00E963AA"/>
    <w:rsid w:val="00E96AD7"/>
    <w:rsid w:val="00E97CDE"/>
    <w:rsid w:val="00EB0A41"/>
    <w:rsid w:val="00EC4436"/>
    <w:rsid w:val="00EC53A0"/>
    <w:rsid w:val="00EC7917"/>
    <w:rsid w:val="00EE1507"/>
    <w:rsid w:val="00EE2251"/>
    <w:rsid w:val="00EE4EBC"/>
    <w:rsid w:val="00EF0B98"/>
    <w:rsid w:val="00EF4D0F"/>
    <w:rsid w:val="00EF6619"/>
    <w:rsid w:val="00F04EAA"/>
    <w:rsid w:val="00F05A1B"/>
    <w:rsid w:val="00F13FD3"/>
    <w:rsid w:val="00F16B6C"/>
    <w:rsid w:val="00F1768C"/>
    <w:rsid w:val="00F17F2C"/>
    <w:rsid w:val="00F2632A"/>
    <w:rsid w:val="00F32B64"/>
    <w:rsid w:val="00F35702"/>
    <w:rsid w:val="00F365AB"/>
    <w:rsid w:val="00F366CF"/>
    <w:rsid w:val="00F41B3C"/>
    <w:rsid w:val="00F427A3"/>
    <w:rsid w:val="00F43014"/>
    <w:rsid w:val="00F43964"/>
    <w:rsid w:val="00F440C2"/>
    <w:rsid w:val="00F46CDD"/>
    <w:rsid w:val="00F66A0D"/>
    <w:rsid w:val="00F725DF"/>
    <w:rsid w:val="00F72CEE"/>
    <w:rsid w:val="00F73BA4"/>
    <w:rsid w:val="00F744FD"/>
    <w:rsid w:val="00F81F9C"/>
    <w:rsid w:val="00F83B00"/>
    <w:rsid w:val="00F901F5"/>
    <w:rsid w:val="00F91A9E"/>
    <w:rsid w:val="00F92EDE"/>
    <w:rsid w:val="00FA55AD"/>
    <w:rsid w:val="00FA6F33"/>
    <w:rsid w:val="00FB2A27"/>
    <w:rsid w:val="00FB35C6"/>
    <w:rsid w:val="00FB369F"/>
    <w:rsid w:val="00FB47B9"/>
    <w:rsid w:val="00FB4E36"/>
    <w:rsid w:val="00FB6938"/>
    <w:rsid w:val="00FC6326"/>
    <w:rsid w:val="00FD10C8"/>
    <w:rsid w:val="00FD2364"/>
    <w:rsid w:val="00FD39B8"/>
    <w:rsid w:val="00FD755A"/>
    <w:rsid w:val="00FE247F"/>
    <w:rsid w:val="00FE2CB9"/>
    <w:rsid w:val="00FE341F"/>
    <w:rsid w:val="00FE35E4"/>
    <w:rsid w:val="00FE43EC"/>
    <w:rsid w:val="00FE4E13"/>
    <w:rsid w:val="00FE65F2"/>
    <w:rsid w:val="00FF0302"/>
    <w:rsid w:val="00FF695D"/>
    <w:rsid w:val="00FF7ABF"/>
    <w:rsid w:val="00FF7F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BD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EE"/>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90ECE"/>
    <w:rPr>
      <w:sz w:val="24"/>
      <w:szCs w:val="24"/>
    </w:rPr>
  </w:style>
  <w:style w:type="character" w:customStyle="1" w:styleId="EndnoteTextChar">
    <w:name w:val="Endnote Text Char"/>
    <w:basedOn w:val="DefaultParagraphFont"/>
    <w:link w:val="EndnoteText"/>
    <w:rsid w:val="00890ECE"/>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890ECE"/>
    <w:rPr>
      <w:vertAlign w:val="superscript"/>
    </w:rPr>
  </w:style>
  <w:style w:type="paragraph" w:styleId="Header">
    <w:name w:val="header"/>
    <w:basedOn w:val="Normal"/>
    <w:link w:val="HeaderChar"/>
    <w:uiPriority w:val="99"/>
    <w:unhideWhenUsed/>
    <w:rsid w:val="002A18B0"/>
    <w:pPr>
      <w:tabs>
        <w:tab w:val="center" w:pos="4320"/>
        <w:tab w:val="right" w:pos="8640"/>
      </w:tabs>
    </w:pPr>
  </w:style>
  <w:style w:type="character" w:customStyle="1" w:styleId="HeaderChar">
    <w:name w:val="Header Char"/>
    <w:basedOn w:val="DefaultParagraphFont"/>
    <w:link w:val="Header"/>
    <w:uiPriority w:val="99"/>
    <w:rsid w:val="002A18B0"/>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semiHidden/>
    <w:unhideWhenUsed/>
    <w:rsid w:val="002A18B0"/>
  </w:style>
  <w:style w:type="paragraph" w:styleId="FootnoteText">
    <w:name w:val="footnote text"/>
    <w:basedOn w:val="Normal"/>
    <w:link w:val="FootnoteTextChar"/>
    <w:uiPriority w:val="99"/>
    <w:unhideWhenUsed/>
    <w:rsid w:val="00710782"/>
    <w:rPr>
      <w:sz w:val="24"/>
      <w:szCs w:val="24"/>
    </w:rPr>
  </w:style>
  <w:style w:type="character" w:customStyle="1" w:styleId="FootnoteTextChar">
    <w:name w:val="Footnote Text Char"/>
    <w:basedOn w:val="DefaultParagraphFont"/>
    <w:link w:val="FootnoteText"/>
    <w:uiPriority w:val="99"/>
    <w:rsid w:val="00710782"/>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710782"/>
    <w:rPr>
      <w:vertAlign w:val="superscript"/>
    </w:rPr>
  </w:style>
  <w:style w:type="paragraph" w:styleId="ListParagraph">
    <w:name w:val="List Paragraph"/>
    <w:basedOn w:val="Normal"/>
    <w:uiPriority w:val="34"/>
    <w:qFormat/>
    <w:rsid w:val="002405B6"/>
    <w:pPr>
      <w:ind w:left="720"/>
      <w:contextualSpacing/>
    </w:pPr>
  </w:style>
  <w:style w:type="paragraph" w:styleId="BodyText2">
    <w:name w:val="Body Text 2"/>
    <w:basedOn w:val="Normal"/>
    <w:link w:val="BodyText2Char"/>
    <w:rsid w:val="007E56D7"/>
    <w:pPr>
      <w:jc w:val="both"/>
    </w:pPr>
    <w:rPr>
      <w:rFonts w:ascii="Baskerville" w:eastAsia="Times" w:hAnsi="Baskerville"/>
      <w:sz w:val="24"/>
      <w:lang w:eastAsia="en-US"/>
    </w:rPr>
  </w:style>
  <w:style w:type="character" w:customStyle="1" w:styleId="BodyText2Char">
    <w:name w:val="Body Text 2 Char"/>
    <w:basedOn w:val="DefaultParagraphFont"/>
    <w:link w:val="BodyText2"/>
    <w:rsid w:val="007E56D7"/>
    <w:rPr>
      <w:rFonts w:ascii="Baskerville" w:eastAsia="Times" w:hAnsi="Baskerville" w:cs="Times New Roman"/>
      <w:szCs w:val="20"/>
      <w:lang w:val="en-GB"/>
    </w:rPr>
  </w:style>
  <w:style w:type="character" w:styleId="Hyperlink">
    <w:name w:val="Hyperlink"/>
    <w:basedOn w:val="DefaultParagraphFont"/>
    <w:uiPriority w:val="99"/>
    <w:unhideWhenUsed/>
    <w:rsid w:val="00DC15E0"/>
    <w:rPr>
      <w:color w:val="0000FF" w:themeColor="hyperlink"/>
      <w:u w:val="single"/>
    </w:rPr>
  </w:style>
  <w:style w:type="paragraph" w:styleId="NormalWeb">
    <w:name w:val="Normal (Web)"/>
    <w:basedOn w:val="Normal"/>
    <w:rsid w:val="0028211E"/>
    <w:pPr>
      <w:spacing w:beforeLines="1" w:afterLines="1"/>
    </w:pPr>
    <w:rPr>
      <w:rFonts w:ascii="Times" w:eastAsia="Cambria" w:hAnsi="Time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EE"/>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90ECE"/>
    <w:rPr>
      <w:sz w:val="24"/>
      <w:szCs w:val="24"/>
    </w:rPr>
  </w:style>
  <w:style w:type="character" w:customStyle="1" w:styleId="EndnoteTextChar">
    <w:name w:val="Endnote Text Char"/>
    <w:basedOn w:val="DefaultParagraphFont"/>
    <w:link w:val="EndnoteText"/>
    <w:rsid w:val="00890ECE"/>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890ECE"/>
    <w:rPr>
      <w:vertAlign w:val="superscript"/>
    </w:rPr>
  </w:style>
  <w:style w:type="paragraph" w:styleId="Header">
    <w:name w:val="header"/>
    <w:basedOn w:val="Normal"/>
    <w:link w:val="HeaderChar"/>
    <w:uiPriority w:val="99"/>
    <w:unhideWhenUsed/>
    <w:rsid w:val="002A18B0"/>
    <w:pPr>
      <w:tabs>
        <w:tab w:val="center" w:pos="4320"/>
        <w:tab w:val="right" w:pos="8640"/>
      </w:tabs>
    </w:pPr>
  </w:style>
  <w:style w:type="character" w:customStyle="1" w:styleId="HeaderChar">
    <w:name w:val="Header Char"/>
    <w:basedOn w:val="DefaultParagraphFont"/>
    <w:link w:val="Header"/>
    <w:uiPriority w:val="99"/>
    <w:rsid w:val="002A18B0"/>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semiHidden/>
    <w:unhideWhenUsed/>
    <w:rsid w:val="002A18B0"/>
  </w:style>
  <w:style w:type="paragraph" w:styleId="FootnoteText">
    <w:name w:val="footnote text"/>
    <w:basedOn w:val="Normal"/>
    <w:link w:val="FootnoteTextChar"/>
    <w:uiPriority w:val="99"/>
    <w:unhideWhenUsed/>
    <w:rsid w:val="00710782"/>
    <w:rPr>
      <w:sz w:val="24"/>
      <w:szCs w:val="24"/>
    </w:rPr>
  </w:style>
  <w:style w:type="character" w:customStyle="1" w:styleId="FootnoteTextChar">
    <w:name w:val="Footnote Text Char"/>
    <w:basedOn w:val="DefaultParagraphFont"/>
    <w:link w:val="FootnoteText"/>
    <w:uiPriority w:val="99"/>
    <w:rsid w:val="00710782"/>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710782"/>
    <w:rPr>
      <w:vertAlign w:val="superscript"/>
    </w:rPr>
  </w:style>
  <w:style w:type="paragraph" w:styleId="ListParagraph">
    <w:name w:val="List Paragraph"/>
    <w:basedOn w:val="Normal"/>
    <w:uiPriority w:val="34"/>
    <w:qFormat/>
    <w:rsid w:val="002405B6"/>
    <w:pPr>
      <w:ind w:left="720"/>
      <w:contextualSpacing/>
    </w:pPr>
  </w:style>
  <w:style w:type="paragraph" w:styleId="BodyText2">
    <w:name w:val="Body Text 2"/>
    <w:basedOn w:val="Normal"/>
    <w:link w:val="BodyText2Char"/>
    <w:rsid w:val="007E56D7"/>
    <w:pPr>
      <w:jc w:val="both"/>
    </w:pPr>
    <w:rPr>
      <w:rFonts w:ascii="Baskerville" w:eastAsia="Times" w:hAnsi="Baskerville"/>
      <w:sz w:val="24"/>
      <w:lang w:eastAsia="en-US"/>
    </w:rPr>
  </w:style>
  <w:style w:type="character" w:customStyle="1" w:styleId="BodyText2Char">
    <w:name w:val="Body Text 2 Char"/>
    <w:basedOn w:val="DefaultParagraphFont"/>
    <w:link w:val="BodyText2"/>
    <w:rsid w:val="007E56D7"/>
    <w:rPr>
      <w:rFonts w:ascii="Baskerville" w:eastAsia="Times" w:hAnsi="Baskerville" w:cs="Times New Roman"/>
      <w:szCs w:val="20"/>
      <w:lang w:val="en-GB"/>
    </w:rPr>
  </w:style>
  <w:style w:type="character" w:styleId="Hyperlink">
    <w:name w:val="Hyperlink"/>
    <w:basedOn w:val="DefaultParagraphFont"/>
    <w:uiPriority w:val="99"/>
    <w:unhideWhenUsed/>
    <w:rsid w:val="00DC15E0"/>
    <w:rPr>
      <w:color w:val="0000FF" w:themeColor="hyperlink"/>
      <w:u w:val="single"/>
    </w:rPr>
  </w:style>
  <w:style w:type="paragraph" w:styleId="NormalWeb">
    <w:name w:val="Normal (Web)"/>
    <w:basedOn w:val="Normal"/>
    <w:rsid w:val="0028211E"/>
    <w:pPr>
      <w:spacing w:beforeLines="1" w:afterLines="1"/>
    </w:pPr>
    <w:rPr>
      <w:rFonts w:ascii="Times" w:eastAsia="Cambria"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36549">
      <w:bodyDiv w:val="1"/>
      <w:marLeft w:val="0"/>
      <w:marRight w:val="0"/>
      <w:marTop w:val="0"/>
      <w:marBottom w:val="0"/>
      <w:divBdr>
        <w:top w:val="none" w:sz="0" w:space="0" w:color="auto"/>
        <w:left w:val="none" w:sz="0" w:space="0" w:color="auto"/>
        <w:bottom w:val="none" w:sz="0" w:space="0" w:color="auto"/>
        <w:right w:val="none" w:sz="0" w:space="0" w:color="auto"/>
      </w:divBdr>
    </w:div>
    <w:div w:id="1834561901">
      <w:bodyDiv w:val="1"/>
      <w:marLeft w:val="0"/>
      <w:marRight w:val="0"/>
      <w:marTop w:val="0"/>
      <w:marBottom w:val="0"/>
      <w:divBdr>
        <w:top w:val="none" w:sz="0" w:space="0" w:color="auto"/>
        <w:left w:val="none" w:sz="0" w:space="0" w:color="auto"/>
        <w:bottom w:val="none" w:sz="0" w:space="0" w:color="auto"/>
        <w:right w:val="none" w:sz="0" w:space="0" w:color="auto"/>
      </w:divBdr>
    </w:div>
    <w:div w:id="2133210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4721</Words>
  <Characters>26916</Characters>
  <Application>Microsoft Macintosh Word</Application>
  <DocSecurity>0</DocSecurity>
  <Lines>224</Lines>
  <Paragraphs>63</Paragraphs>
  <ScaleCrop>false</ScaleCrop>
  <Company>ICAS</Company>
  <LinksUpToDate>false</LinksUpToDate>
  <CharactersWithSpaces>31574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5</cp:revision>
  <dcterms:created xsi:type="dcterms:W3CDTF">2015-03-11T21:47:00Z</dcterms:created>
  <dcterms:modified xsi:type="dcterms:W3CDTF">2015-03-14T08:15:00Z</dcterms:modified>
</cp:coreProperties>
</file>