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E127FD" w14:textId="77777777" w:rsidR="00582C52" w:rsidRDefault="00357D4A" w:rsidP="00912B02">
      <w:r>
        <w:t>Mobile Studio</w:t>
      </w:r>
    </w:p>
    <w:p w14:paraId="7BC821EC" w14:textId="77777777" w:rsidR="00357D4A" w:rsidRDefault="00357D4A" w:rsidP="00912B02">
      <w:r>
        <w:t>A Display for a Display</w:t>
      </w:r>
    </w:p>
    <w:p w14:paraId="47CA553E" w14:textId="77777777" w:rsidR="00357D4A" w:rsidRDefault="00357D4A" w:rsidP="00912B02"/>
    <w:p w14:paraId="40C4AEF4" w14:textId="0F1825B5" w:rsidR="00C26F2B" w:rsidRDefault="00C26F2B" w:rsidP="00C26F2B">
      <w:r>
        <w:t xml:space="preserve">Public participation as a tool for museums </w:t>
      </w:r>
      <w:r w:rsidR="001E4E6B">
        <w:t xml:space="preserve">to take </w:t>
      </w:r>
      <w:r>
        <w:t>a meaningful place in the city</w:t>
      </w:r>
    </w:p>
    <w:p w14:paraId="530C88F3" w14:textId="193222C2" w:rsidR="00651FE3" w:rsidRDefault="00651FE3" w:rsidP="00912B02">
      <w:r>
        <w:t xml:space="preserve">Esther Sayers </w:t>
      </w:r>
    </w:p>
    <w:p w14:paraId="3B0E3865" w14:textId="77777777" w:rsidR="00651FE3" w:rsidRDefault="00651FE3" w:rsidP="00912B02"/>
    <w:p w14:paraId="2D46F157" w14:textId="2C308592" w:rsidR="00651FE3" w:rsidRDefault="00FD6322" w:rsidP="00912B02">
      <w:r>
        <w:t xml:space="preserve">In contemporary society a museum without a public is a </w:t>
      </w:r>
      <w:proofErr w:type="gramStart"/>
      <w:r>
        <w:t>non-sequitur</w:t>
      </w:r>
      <w:proofErr w:type="gramEnd"/>
      <w:r>
        <w:t>, but that has not always been the case. Museums only began to open their doors to non-specialist audiences 150 years ago. The ‘cabinet of curiosities’</w:t>
      </w:r>
      <w:r w:rsidR="00651FE3">
        <w:t>,</w:t>
      </w:r>
      <w:r>
        <w:t xml:space="preserve"> which predates the modern museum</w:t>
      </w:r>
      <w:r w:rsidR="00651FE3">
        <w:t>,</w:t>
      </w:r>
      <w:r w:rsidR="001E4E6B">
        <w:t xml:space="preserve"> was assembled</w:t>
      </w:r>
      <w:r>
        <w:t xml:space="preserve"> by </w:t>
      </w:r>
      <w:r w:rsidR="00C26F2B">
        <w:t xml:space="preserve">those </w:t>
      </w:r>
      <w:r>
        <w:t xml:space="preserve">collectors who could afford to create and maintain their collections. The rationale for what was included and how it was displayed </w:t>
      </w:r>
      <w:proofErr w:type="spellStart"/>
      <w:r>
        <w:t>centred</w:t>
      </w:r>
      <w:proofErr w:type="spellEnd"/>
      <w:r>
        <w:t xml:space="preserve"> </w:t>
      </w:r>
      <w:proofErr w:type="gramStart"/>
      <w:r>
        <w:t>around</w:t>
      </w:r>
      <w:proofErr w:type="gramEnd"/>
      <w:r>
        <w:t xml:space="preserve"> their particular predilections. Often belonging to the monarch or sovereign prince the way in which the visitor appreciated individual objects mirrored their place in society. </w:t>
      </w:r>
      <w:r w:rsidR="00C26F2B">
        <w:t>Only those of high standing in society were given access. They viewed art works for their own enlightenment or enrichment and the main objective for viewing an object was about uncovering its’ ‘truth’ rather than an opportunity for the public to make meaning or construct personal interpretations.</w:t>
      </w:r>
    </w:p>
    <w:p w14:paraId="1CFB6CF6" w14:textId="77777777" w:rsidR="00C26F2B" w:rsidRDefault="00C26F2B" w:rsidP="00912B02"/>
    <w:p w14:paraId="1E5BDD0F" w14:textId="51ED24F6" w:rsidR="00C26F2B" w:rsidRPr="00900B4F" w:rsidRDefault="00494DB0" w:rsidP="00C26F2B">
      <w:r>
        <w:t>From the mid 19</w:t>
      </w:r>
      <w:r w:rsidRPr="00494DB0">
        <w:rPr>
          <w:vertAlign w:val="superscript"/>
        </w:rPr>
        <w:t>th</w:t>
      </w:r>
      <w:r>
        <w:t xml:space="preserve"> century </w:t>
      </w:r>
      <w:r w:rsidR="005D2757">
        <w:t xml:space="preserve">when </w:t>
      </w:r>
      <w:r>
        <w:t xml:space="preserve">public money </w:t>
      </w:r>
      <w:r w:rsidR="005D2757">
        <w:t>began to fund museums</w:t>
      </w:r>
      <w:r w:rsidR="00FE0F50">
        <w:t xml:space="preserve"> they started</w:t>
      </w:r>
      <w:r>
        <w:t xml:space="preserve"> to open up to an audience of ordinary people as a means to educate and civilize the masses. </w:t>
      </w:r>
      <w:r w:rsidR="00C26F2B">
        <w:t>Before long new systems of display were introduced that enabled the public to view and promenade through the space, at their own pace and in random sequences, rather than having to follow a guided tour.</w:t>
      </w:r>
      <w:r w:rsidR="005D2757">
        <w:t xml:space="preserve"> </w:t>
      </w:r>
      <w:r>
        <w:t xml:space="preserve">As Tony Bennett points out, </w:t>
      </w:r>
      <w:r w:rsidRPr="001E4E6B">
        <w:rPr>
          <w:i/>
        </w:rPr>
        <w:t>once museum collections became the property of the state the visitor related to them as citizen and as such as stakeholder in the state, o</w:t>
      </w:r>
      <w:r w:rsidR="005D2757" w:rsidRPr="001E4E6B">
        <w:rPr>
          <w:i/>
        </w:rPr>
        <w:t>wnership became more democratic</w:t>
      </w:r>
      <w:r w:rsidR="001E4E6B">
        <w:rPr>
          <w:i/>
        </w:rPr>
        <w:t xml:space="preserve"> </w:t>
      </w:r>
      <w:r>
        <w:t>(Bennett</w:t>
      </w:r>
      <w:proofErr w:type="gramStart"/>
      <w:r>
        <w:t>:1995:35</w:t>
      </w:r>
      <w:proofErr w:type="gramEnd"/>
      <w:r>
        <w:t>)</w:t>
      </w:r>
      <w:r w:rsidR="005D2757">
        <w:t xml:space="preserve">. This notion of shared ownership was an important factor in collection care where self regulation was vital to ensure that </w:t>
      </w:r>
      <w:r w:rsidR="00FE0F50">
        <w:t>nothing was damaged or stolen as a result of</w:t>
      </w:r>
      <w:r w:rsidR="005D2757">
        <w:t xml:space="preserve"> this new type of visit where the public were free to go wherever the</w:t>
      </w:r>
      <w:r w:rsidR="00054E63">
        <w:t>y pleased. Deep-</w:t>
      </w:r>
      <w:r w:rsidR="001B1395">
        <w:t>seated, philosophical changes affected</w:t>
      </w:r>
      <w:r w:rsidR="00054E63">
        <w:t xml:space="preserve"> the way in which pol</w:t>
      </w:r>
      <w:r w:rsidR="001B1395">
        <w:t>icing and prisons were designed and these changes in turn affected t</w:t>
      </w:r>
      <w:r w:rsidR="005D2757">
        <w:t>he new museum</w:t>
      </w:r>
      <w:r w:rsidR="00F624C9">
        <w:t>s</w:t>
      </w:r>
      <w:r w:rsidR="00912B02">
        <w:t xml:space="preserve"> </w:t>
      </w:r>
      <w:r w:rsidR="00651FE3">
        <w:t xml:space="preserve">that were built </w:t>
      </w:r>
      <w:r w:rsidR="00912B02">
        <w:t xml:space="preserve">for the </w:t>
      </w:r>
      <w:r w:rsidR="00651FE3">
        <w:t xml:space="preserve">rapidly changing society of the </w:t>
      </w:r>
      <w:r w:rsidR="00912B02">
        <w:t>20</w:t>
      </w:r>
      <w:r w:rsidR="00912B02" w:rsidRPr="00912B02">
        <w:rPr>
          <w:vertAlign w:val="superscript"/>
        </w:rPr>
        <w:t>th</w:t>
      </w:r>
      <w:r w:rsidR="00FE0F50">
        <w:t xml:space="preserve"> century. Gallery interiors</w:t>
      </w:r>
      <w:r w:rsidR="001B1395">
        <w:t xml:space="preserve"> </w:t>
      </w:r>
      <w:r w:rsidR="00912B02">
        <w:t>were</w:t>
      </w:r>
      <w:r w:rsidR="00F624C9">
        <w:t xml:space="preserve"> designed with clear sight </w:t>
      </w:r>
      <w:r w:rsidR="005D2757">
        <w:t>lines to enable members of the public to monitor each other</w:t>
      </w:r>
      <w:r w:rsidR="00FE0F50">
        <w:t xml:space="preserve"> as well as the objects on display</w:t>
      </w:r>
      <w:r w:rsidR="005D2757">
        <w:t>.</w:t>
      </w:r>
      <w:r w:rsidR="00C26F2B">
        <w:t xml:space="preserve"> </w:t>
      </w:r>
      <w:r w:rsidR="005C6731">
        <w:t>This idea of self-</w:t>
      </w:r>
      <w:r w:rsidR="00C26F2B">
        <w:t xml:space="preserve">surveillance resonates with Mobile Studio’s use of mirror in </w:t>
      </w:r>
      <w:r w:rsidR="00900B4F">
        <w:rPr>
          <w:i/>
        </w:rPr>
        <w:t>Portable G</w:t>
      </w:r>
      <w:r w:rsidR="00C26F2B">
        <w:rPr>
          <w:i/>
        </w:rPr>
        <w:t>allery</w:t>
      </w:r>
      <w:r w:rsidR="00900B4F">
        <w:rPr>
          <w:i/>
        </w:rPr>
        <w:t xml:space="preserve"> </w:t>
      </w:r>
      <w:r w:rsidR="00900B4F" w:rsidRPr="00900B4F">
        <w:t xml:space="preserve">(date?) where the </w:t>
      </w:r>
      <w:r w:rsidR="00900B4F">
        <w:t xml:space="preserve">immediate impression is that the </w:t>
      </w:r>
      <w:r w:rsidR="00900B4F" w:rsidRPr="00900B4F">
        <w:t xml:space="preserve">reflective surface </w:t>
      </w:r>
      <w:r w:rsidR="00900B4F">
        <w:t xml:space="preserve">plays a functional role in allowing the viewer to examine the back of the object. An interesting ‘bi-product’ of this functionality is that </w:t>
      </w:r>
      <w:r w:rsidR="00900B4F" w:rsidRPr="00900B4F">
        <w:t xml:space="preserve">whilst </w:t>
      </w:r>
      <w:r w:rsidR="00900B4F">
        <w:t xml:space="preserve">the viewer looks they </w:t>
      </w:r>
      <w:r w:rsidR="00900B4F" w:rsidRPr="00900B4F">
        <w:t>also see</w:t>
      </w:r>
      <w:r w:rsidR="00900B4F">
        <w:t xml:space="preserve"> themselves looking</w:t>
      </w:r>
      <w:r w:rsidR="00900B4F" w:rsidRPr="00900B4F">
        <w:t xml:space="preserve">. The increased visibility of the </w:t>
      </w:r>
      <w:r w:rsidR="00900B4F">
        <w:t>artifact</w:t>
      </w:r>
      <w:r w:rsidR="00900B4F" w:rsidRPr="00900B4F">
        <w:t xml:space="preserve"> and the spectator are enhanced by the </w:t>
      </w:r>
      <w:r w:rsidR="00900B4F">
        <w:t>mirror’s reflection of</w:t>
      </w:r>
      <w:r w:rsidR="00900B4F" w:rsidRPr="00900B4F">
        <w:t xml:space="preserve"> </w:t>
      </w:r>
      <w:r w:rsidR="00900B4F">
        <w:t>other people in the act o</w:t>
      </w:r>
      <w:r w:rsidR="00900B4F" w:rsidRPr="00900B4F">
        <w:t xml:space="preserve">f looking as well. </w:t>
      </w:r>
    </w:p>
    <w:p w14:paraId="11E608AB" w14:textId="77777777" w:rsidR="00FE0F50" w:rsidRDefault="00FE0F50" w:rsidP="009E0325"/>
    <w:p w14:paraId="4204E7E2" w14:textId="4D8C0E8D" w:rsidR="00C26F2B" w:rsidRPr="005F2CB5" w:rsidRDefault="005D2757" w:rsidP="00C26F2B">
      <w:pPr>
        <w:rPr>
          <w:color w:val="000000" w:themeColor="text1"/>
        </w:rPr>
      </w:pPr>
      <w:bookmarkStart w:id="0" w:name="_GoBack"/>
      <w:r>
        <w:t>Ov</w:t>
      </w:r>
      <w:r w:rsidR="00900B4F">
        <w:t>er the following century arti</w:t>
      </w:r>
      <w:r w:rsidR="00FE0F50">
        <w:t>facts</w:t>
      </w:r>
      <w:r>
        <w:t xml:space="preserve"> grad</w:t>
      </w:r>
      <w:r w:rsidR="006259D8">
        <w:t>u</w:t>
      </w:r>
      <w:r w:rsidR="00912B02">
        <w:t>ally made their way out of</w:t>
      </w:r>
      <w:r w:rsidR="006259D8">
        <w:t xml:space="preserve"> glass cabinets and were more readily available for the public to inspect and even to touch. </w:t>
      </w:r>
      <w:r w:rsidR="009E0325">
        <w:t>This increased awareness of the visitor meant that museums began to structure their displays in a more pedagogic way as they aimed to make the collections intelligible to everyone. This contrasts with the ‘cabine</w:t>
      </w:r>
      <w:r w:rsidR="00C26F2B">
        <w:t>t of curiosities’ approach that</w:t>
      </w:r>
      <w:r w:rsidR="009E0325">
        <w:t xml:space="preserve"> enabled access to knowledge only to those who shared the same sensibilities and cultural reference points as the collector.</w:t>
      </w:r>
      <w:r w:rsidR="00C26F2B">
        <w:t xml:space="preserve"> The display structures </w:t>
      </w:r>
      <w:r w:rsidR="00C26F2B">
        <w:lastRenderedPageBreak/>
        <w:t>created</w:t>
      </w:r>
      <w:r w:rsidR="005C6731">
        <w:t xml:space="preserve"> by Mobile S</w:t>
      </w:r>
      <w:r w:rsidR="00C26F2B">
        <w:t>tudio offer multiple ways in which the viewer can see, touch and participate in the exploration of objects.</w:t>
      </w:r>
      <w:r w:rsidR="00F929F7">
        <w:t xml:space="preserve"> </w:t>
      </w:r>
      <w:r w:rsidR="00900B4F" w:rsidRPr="005F2CB5">
        <w:rPr>
          <w:color w:val="000000" w:themeColor="text1"/>
        </w:rPr>
        <w:t xml:space="preserve">In </w:t>
      </w:r>
      <w:r w:rsidR="00900B4F" w:rsidRPr="005F2CB5">
        <w:rPr>
          <w:i/>
          <w:color w:val="000000" w:themeColor="text1"/>
        </w:rPr>
        <w:t>Writing Table</w:t>
      </w:r>
      <w:r w:rsidR="00900B4F" w:rsidRPr="005F2CB5">
        <w:rPr>
          <w:color w:val="000000" w:themeColor="text1"/>
        </w:rPr>
        <w:t xml:space="preserve"> (date) the display system itself (made from pencils</w:t>
      </w:r>
      <w:r w:rsidR="005F2CB5" w:rsidRPr="005F2CB5">
        <w:rPr>
          <w:color w:val="000000" w:themeColor="text1"/>
        </w:rPr>
        <w:t xml:space="preserve">) provides a structure that </w:t>
      </w:r>
      <w:r w:rsidR="005F2CB5">
        <w:rPr>
          <w:color w:val="000000" w:themeColor="text1"/>
        </w:rPr>
        <w:t xml:space="preserve">both </w:t>
      </w:r>
      <w:r w:rsidR="005F2CB5" w:rsidRPr="005F2CB5">
        <w:rPr>
          <w:color w:val="000000" w:themeColor="text1"/>
        </w:rPr>
        <w:t>offers</w:t>
      </w:r>
      <w:r w:rsidR="005F2CB5">
        <w:rPr>
          <w:color w:val="000000" w:themeColor="text1"/>
        </w:rPr>
        <w:t>-up</w:t>
      </w:r>
      <w:r w:rsidR="005F2CB5" w:rsidRPr="005F2CB5">
        <w:rPr>
          <w:color w:val="000000" w:themeColor="text1"/>
        </w:rPr>
        <w:t xml:space="preserve"> catalogues to the public wh</w:t>
      </w:r>
      <w:r w:rsidR="005F2CB5">
        <w:rPr>
          <w:color w:val="000000" w:themeColor="text1"/>
        </w:rPr>
        <w:t>ilst</w:t>
      </w:r>
      <w:r w:rsidR="005F2CB5" w:rsidRPr="005F2CB5">
        <w:rPr>
          <w:color w:val="000000" w:themeColor="text1"/>
        </w:rPr>
        <w:t xml:space="preserve"> allowing the visitor to use the pencils to write their own notes or to provide feedback. This is exhibition furniture which has participation built in to the look, function and usage for the start. </w:t>
      </w:r>
    </w:p>
    <w:p w14:paraId="5FC2FD68" w14:textId="77777777" w:rsidR="003F1897" w:rsidRPr="005F2CB5" w:rsidRDefault="003F1897" w:rsidP="009E0325">
      <w:pPr>
        <w:rPr>
          <w:color w:val="000000" w:themeColor="text1"/>
        </w:rPr>
      </w:pPr>
    </w:p>
    <w:p w14:paraId="568058B2" w14:textId="4540BF36" w:rsidR="003F1897" w:rsidRDefault="003F1897" w:rsidP="003F1897">
      <w:r>
        <w:t xml:space="preserve">In a political climate in which harmony is sought at all costs the relationships that exist between the ‘public’ and the gallery are not always harmonious. The desire to attract audiences who reflect the changing demographic of the city gives way to initiatives that aim to increase the number and type of people who participate in museums. In an increasingly diverse society it is impossible to justify significant amounts of public money being spent on museums if the visitors only reflect a small proportion of that society. Whilst pedagogic </w:t>
      </w:r>
      <w:r w:rsidR="00AF23A2">
        <w:t>approaches to display,</w:t>
      </w:r>
      <w:r>
        <w:t xml:space="preserve"> interpretation and learning are being continually rethought and reworked to embrace marginal g</w:t>
      </w:r>
      <w:r w:rsidR="00C26F2B">
        <w:t>roups alongside the main cohort</w:t>
      </w:r>
      <w:r>
        <w:t xml:space="preserve"> of museum visitors the development of content has been slow to catch up. Many museum staff </w:t>
      </w:r>
      <w:proofErr w:type="gramStart"/>
      <w:r>
        <w:t>who</w:t>
      </w:r>
      <w:r w:rsidR="00AF23A2">
        <w:t>m</w:t>
      </w:r>
      <w:proofErr w:type="gramEnd"/>
      <w:r>
        <w:t xml:space="preserve"> are entirely committed to making museum collections accessible to all face insurmountable barriers to access because their collections don’t represent a diverse society. Some artists have offered </w:t>
      </w:r>
      <w:r w:rsidR="00D84430">
        <w:t>a critical take on museum collections</w:t>
      </w:r>
      <w:r>
        <w:t xml:space="preserve">, notably Sonia Boyce, Fred Wilson, </w:t>
      </w:r>
      <w:proofErr w:type="spellStart"/>
      <w:r>
        <w:t>Yinka</w:t>
      </w:r>
      <w:proofErr w:type="spellEnd"/>
      <w:r>
        <w:t xml:space="preserve"> </w:t>
      </w:r>
      <w:proofErr w:type="spellStart"/>
      <w:r>
        <w:t>Shonibare</w:t>
      </w:r>
      <w:proofErr w:type="spellEnd"/>
      <w:r>
        <w:t>.</w:t>
      </w:r>
    </w:p>
    <w:p w14:paraId="038CEC8B" w14:textId="77777777" w:rsidR="001B1395" w:rsidRDefault="001B1395" w:rsidP="00912B02"/>
    <w:p w14:paraId="73069AE1" w14:textId="78DDF5D5" w:rsidR="00D84430" w:rsidRDefault="00912B02" w:rsidP="00912B02">
      <w:r>
        <w:t xml:space="preserve">In recent years opportunities for dialogue with the viewer have been </w:t>
      </w:r>
      <w:proofErr w:type="spellStart"/>
      <w:r>
        <w:t>favou</w:t>
      </w:r>
      <w:r w:rsidR="001B1395">
        <w:t>red</w:t>
      </w:r>
      <w:proofErr w:type="spellEnd"/>
      <w:r w:rsidR="001B1395">
        <w:t xml:space="preserve"> over more didactic methods </w:t>
      </w:r>
      <w:r>
        <w:t>and personal meanin</w:t>
      </w:r>
      <w:r w:rsidR="00AF23A2">
        <w:t>g making has replaced knowledge-</w:t>
      </w:r>
      <w:r>
        <w:t>based approaches.</w:t>
      </w:r>
      <w:r w:rsidR="001B1395">
        <w:t xml:space="preserve"> </w:t>
      </w:r>
      <w:r w:rsidR="009E0325">
        <w:t xml:space="preserve">Audience development strategies have heightened the drive to increase participation in public collections and </w:t>
      </w:r>
      <w:r w:rsidR="00AF23A2">
        <w:t xml:space="preserve">in some cases </w:t>
      </w:r>
      <w:r w:rsidR="009E0325">
        <w:t>are a powerful contributory factor to the decisions that are taken about what is shown and how it is displayed.</w:t>
      </w:r>
      <w:r w:rsidR="009E0325" w:rsidRPr="00912B02">
        <w:t xml:space="preserve"> </w:t>
      </w:r>
      <w:r w:rsidR="009E0325">
        <w:t xml:space="preserve">Methods of display constitute one of the many ways in which the museum communicates with it’s public. </w:t>
      </w:r>
    </w:p>
    <w:p w14:paraId="0153C75E" w14:textId="77777777" w:rsidR="00D84430" w:rsidRDefault="00D84430" w:rsidP="00912B02"/>
    <w:p w14:paraId="4A071D17" w14:textId="56929797" w:rsidR="00703742" w:rsidRDefault="00D84430" w:rsidP="00912B02">
      <w:r>
        <w:t>Participation is an active manifestation of the universal entitlement to our shared cultural resources, it is also seen as a form of empowerment. Having been locked out until the 19</w:t>
      </w:r>
      <w:r w:rsidRPr="00D84430">
        <w:rPr>
          <w:vertAlign w:val="superscript"/>
        </w:rPr>
        <w:t>th</w:t>
      </w:r>
      <w:r>
        <w:t xml:space="preserve"> century and then allowed restricted access with control of</w:t>
      </w:r>
      <w:r w:rsidR="006259D8">
        <w:t xml:space="preserve"> what, when and how to view objects todays publics are not only welcomed in to the museum but asked to participate in the interpretation of objects and </w:t>
      </w:r>
      <w:proofErr w:type="spellStart"/>
      <w:r w:rsidR="006259D8">
        <w:t>artefacts</w:t>
      </w:r>
      <w:proofErr w:type="spellEnd"/>
      <w:r w:rsidR="006259D8">
        <w:t xml:space="preserve"> </w:t>
      </w:r>
      <w:r>
        <w:t>as well. Participation, collab</w:t>
      </w:r>
      <w:r w:rsidR="00AF23A2">
        <w:t>oration and performativity have</w:t>
      </w:r>
      <w:r>
        <w:t xml:space="preserve"> become so important that</w:t>
      </w:r>
      <w:r w:rsidR="006259D8">
        <w:t xml:space="preserve">, in the case of new relational art practices, they are </w:t>
      </w:r>
      <w:r>
        <w:t xml:space="preserve">even </w:t>
      </w:r>
      <w:r w:rsidR="006259D8">
        <w:t xml:space="preserve">invited to take part in </w:t>
      </w:r>
      <w:r w:rsidR="00AF23A2">
        <w:t xml:space="preserve">the </w:t>
      </w:r>
      <w:r w:rsidR="006259D8">
        <w:t xml:space="preserve">making </w:t>
      </w:r>
      <w:r w:rsidR="00AF23A2">
        <w:t xml:space="preserve">of </w:t>
      </w:r>
      <w:r w:rsidR="006259D8">
        <w:t>the work itself.</w:t>
      </w:r>
    </w:p>
    <w:bookmarkEnd w:id="0"/>
    <w:p w14:paraId="5729B3F7" w14:textId="77777777" w:rsidR="00F624C9" w:rsidRDefault="00F624C9" w:rsidP="00912B02"/>
    <w:p w14:paraId="703CCE2F" w14:textId="607ABD74" w:rsidR="00AD4728" w:rsidRDefault="00AD4728" w:rsidP="00912B02"/>
    <w:p w14:paraId="7139F078" w14:textId="77777777" w:rsidR="003F1897" w:rsidRDefault="003F1897" w:rsidP="00912B02"/>
    <w:p w14:paraId="684640CF" w14:textId="77777777" w:rsidR="006259D8" w:rsidRDefault="006259D8" w:rsidP="00912B02"/>
    <w:sectPr w:rsidR="006259D8" w:rsidSect="00332185">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D07A08" w14:textId="77777777" w:rsidR="00900B4F" w:rsidRDefault="00900B4F" w:rsidP="005B0A3B">
      <w:r>
        <w:separator/>
      </w:r>
    </w:p>
  </w:endnote>
  <w:endnote w:type="continuationSeparator" w:id="0">
    <w:p w14:paraId="35B335B2" w14:textId="77777777" w:rsidR="00900B4F" w:rsidRDefault="00900B4F" w:rsidP="005B0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D98F06" w14:textId="77777777" w:rsidR="00900B4F" w:rsidRDefault="00900B4F" w:rsidP="005B0A3B">
      <w:r>
        <w:separator/>
      </w:r>
    </w:p>
  </w:footnote>
  <w:footnote w:type="continuationSeparator" w:id="0">
    <w:p w14:paraId="105F2FA8" w14:textId="77777777" w:rsidR="00900B4F" w:rsidRDefault="00900B4F" w:rsidP="005B0A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7D4A"/>
    <w:rsid w:val="00054E63"/>
    <w:rsid w:val="001B1395"/>
    <w:rsid w:val="001E4E6B"/>
    <w:rsid w:val="002937EB"/>
    <w:rsid w:val="00332185"/>
    <w:rsid w:val="00357D4A"/>
    <w:rsid w:val="003C3587"/>
    <w:rsid w:val="003F1897"/>
    <w:rsid w:val="00494DB0"/>
    <w:rsid w:val="004D6A11"/>
    <w:rsid w:val="00582C52"/>
    <w:rsid w:val="005B0A3B"/>
    <w:rsid w:val="005C6731"/>
    <w:rsid w:val="005D2757"/>
    <w:rsid w:val="005F2CB5"/>
    <w:rsid w:val="006259D8"/>
    <w:rsid w:val="00651FE3"/>
    <w:rsid w:val="00703742"/>
    <w:rsid w:val="008159AA"/>
    <w:rsid w:val="008775C9"/>
    <w:rsid w:val="00900B4F"/>
    <w:rsid w:val="00912B02"/>
    <w:rsid w:val="009E0325"/>
    <w:rsid w:val="009F279B"/>
    <w:rsid w:val="00A458FB"/>
    <w:rsid w:val="00AD4728"/>
    <w:rsid w:val="00AF23A2"/>
    <w:rsid w:val="00B96671"/>
    <w:rsid w:val="00C26F2B"/>
    <w:rsid w:val="00C52BA2"/>
    <w:rsid w:val="00D84430"/>
    <w:rsid w:val="00E97134"/>
    <w:rsid w:val="00F624C9"/>
    <w:rsid w:val="00F929F7"/>
    <w:rsid w:val="00FD6322"/>
    <w:rsid w:val="00FE0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EB5C8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B0A3B"/>
    <w:rPr>
      <w:rFonts w:ascii="Times New Roman" w:eastAsia="Times New Roman" w:hAnsi="Times New Roman" w:cs="Times New Roman"/>
      <w:noProof/>
      <w:szCs w:val="20"/>
      <w:lang w:val="en-GB"/>
    </w:rPr>
  </w:style>
  <w:style w:type="character" w:customStyle="1" w:styleId="FootnoteTextChar">
    <w:name w:val="Footnote Text Char"/>
    <w:basedOn w:val="DefaultParagraphFont"/>
    <w:link w:val="FootnoteText"/>
    <w:semiHidden/>
    <w:rsid w:val="005B0A3B"/>
    <w:rPr>
      <w:rFonts w:ascii="Times New Roman" w:eastAsia="Times New Roman" w:hAnsi="Times New Roman" w:cs="Times New Roman"/>
      <w:noProof/>
      <w:szCs w:val="20"/>
      <w:lang w:val="en-GB"/>
    </w:rPr>
  </w:style>
  <w:style w:type="character" w:styleId="FootnoteReference">
    <w:name w:val="footnote reference"/>
    <w:semiHidden/>
    <w:rsid w:val="005B0A3B"/>
    <w:rPr>
      <w:vertAlign w:val="superscript"/>
    </w:rPr>
  </w:style>
  <w:style w:type="paragraph" w:styleId="BodyText">
    <w:name w:val="Body Text"/>
    <w:basedOn w:val="Normal"/>
    <w:link w:val="BodyTextChar"/>
    <w:rsid w:val="005B0A3B"/>
    <w:pPr>
      <w:spacing w:line="360" w:lineRule="auto"/>
    </w:pPr>
    <w:rPr>
      <w:rFonts w:ascii="Times New Roman" w:eastAsia="Times New Roman" w:hAnsi="Times New Roman" w:cs="Times New Roman"/>
      <w:i/>
      <w:noProof/>
      <w:szCs w:val="20"/>
      <w:lang w:val="en-GB"/>
    </w:rPr>
  </w:style>
  <w:style w:type="character" w:customStyle="1" w:styleId="BodyTextChar">
    <w:name w:val="Body Text Char"/>
    <w:basedOn w:val="DefaultParagraphFont"/>
    <w:link w:val="BodyText"/>
    <w:rsid w:val="005B0A3B"/>
    <w:rPr>
      <w:rFonts w:ascii="Times New Roman" w:eastAsia="Times New Roman" w:hAnsi="Times New Roman" w:cs="Times New Roman"/>
      <w:i/>
      <w:noProof/>
      <w:szCs w:val="20"/>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sid w:val="005B0A3B"/>
    <w:rPr>
      <w:rFonts w:ascii="Times New Roman" w:eastAsia="Times New Roman" w:hAnsi="Times New Roman" w:cs="Times New Roman"/>
      <w:noProof/>
      <w:szCs w:val="20"/>
      <w:lang w:val="en-GB"/>
    </w:rPr>
  </w:style>
  <w:style w:type="character" w:customStyle="1" w:styleId="FootnoteTextChar">
    <w:name w:val="Footnote Text Char"/>
    <w:basedOn w:val="DefaultParagraphFont"/>
    <w:link w:val="FootnoteText"/>
    <w:semiHidden/>
    <w:rsid w:val="005B0A3B"/>
    <w:rPr>
      <w:rFonts w:ascii="Times New Roman" w:eastAsia="Times New Roman" w:hAnsi="Times New Roman" w:cs="Times New Roman"/>
      <w:noProof/>
      <w:szCs w:val="20"/>
      <w:lang w:val="en-GB"/>
    </w:rPr>
  </w:style>
  <w:style w:type="character" w:styleId="FootnoteReference">
    <w:name w:val="footnote reference"/>
    <w:semiHidden/>
    <w:rsid w:val="005B0A3B"/>
    <w:rPr>
      <w:vertAlign w:val="superscript"/>
    </w:rPr>
  </w:style>
  <w:style w:type="paragraph" w:styleId="BodyText">
    <w:name w:val="Body Text"/>
    <w:basedOn w:val="Normal"/>
    <w:link w:val="BodyTextChar"/>
    <w:rsid w:val="005B0A3B"/>
    <w:pPr>
      <w:spacing w:line="360" w:lineRule="auto"/>
    </w:pPr>
    <w:rPr>
      <w:rFonts w:ascii="Times New Roman" w:eastAsia="Times New Roman" w:hAnsi="Times New Roman" w:cs="Times New Roman"/>
      <w:i/>
      <w:noProof/>
      <w:szCs w:val="20"/>
      <w:lang w:val="en-GB"/>
    </w:rPr>
  </w:style>
  <w:style w:type="character" w:customStyle="1" w:styleId="BodyTextChar">
    <w:name w:val="Body Text Char"/>
    <w:basedOn w:val="DefaultParagraphFont"/>
    <w:link w:val="BodyText"/>
    <w:rsid w:val="005B0A3B"/>
    <w:rPr>
      <w:rFonts w:ascii="Times New Roman" w:eastAsia="Times New Roman" w:hAnsi="Times New Roman" w:cs="Times New Roman"/>
      <w:i/>
      <w:noProof/>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890</Words>
  <Characters>5078</Characters>
  <Application>Microsoft Macintosh Word</Application>
  <DocSecurity>0</DocSecurity>
  <Lines>42</Lines>
  <Paragraphs>11</Paragraphs>
  <ScaleCrop>false</ScaleCrop>
  <Company/>
  <LinksUpToDate>false</LinksUpToDate>
  <CharactersWithSpaces>5957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Sayers</dc:creator>
  <cp:keywords/>
  <dc:description/>
  <cp:lastModifiedBy>Esther Sayers</cp:lastModifiedBy>
  <cp:revision>2</cp:revision>
  <cp:lastPrinted>2012-03-09T12:41:00Z</cp:lastPrinted>
  <dcterms:created xsi:type="dcterms:W3CDTF">2012-04-12T14:03:00Z</dcterms:created>
  <dcterms:modified xsi:type="dcterms:W3CDTF">2012-04-12T14:03:00Z</dcterms:modified>
</cp:coreProperties>
</file>